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常规项目</w:t>
      </w:r>
      <w:r>
        <w:rPr>
          <w:rFonts w:hint="eastAsia" w:ascii="仿宋_GB2312" w:eastAsia="仿宋_GB2312"/>
          <w:b/>
          <w:bCs/>
          <w:sz w:val="32"/>
          <w:szCs w:val="32"/>
        </w:rPr>
        <w:t>组织单位作品推荐参考指标</w:t>
      </w:r>
    </w:p>
    <w:p>
      <w:pPr>
        <w:spacing w:line="440" w:lineRule="exact"/>
        <w:ind w:firstLine="630" w:firstLineChars="196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</w:t>
      </w:r>
    </w:p>
    <w:tbl>
      <w:tblPr>
        <w:tblStyle w:val="4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使用量达到一定规模。</w:t>
            </w:r>
          </w:p>
        </w:tc>
      </w:tr>
    </w:tbl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．微课</w:t>
      </w:r>
    </w:p>
    <w:tbl>
      <w:tblPr>
        <w:tblStyle w:val="4"/>
        <w:tblW w:w="7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hint="eastAsia" w:ascii="仿宋_GB2312" w:hAnsi="Courier New" w:eastAsia="仿宋_GB2312" w:cs="Courier New"/>
          <w:sz w:val="28"/>
          <w:szCs w:val="28"/>
        </w:rPr>
      </w:pPr>
    </w:p>
    <w:p>
      <w:pPr>
        <w:spacing w:line="440" w:lineRule="exact"/>
        <w:ind w:firstLine="540"/>
        <w:rPr>
          <w:rFonts w:ascii="仿宋_GB2312" w:hAnsi="Courier New" w:eastAsia="仿宋_GB2312" w:cs="Courier New"/>
          <w:sz w:val="28"/>
          <w:szCs w:val="28"/>
        </w:rPr>
      </w:pPr>
      <w:r>
        <w:rPr>
          <w:rFonts w:hint="eastAsia" w:ascii="仿宋_GB2312" w:hAnsi="Courier New" w:eastAsia="仿宋_GB2312" w:cs="Courier New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</w:rPr>
        <w:t>．</w:t>
      </w:r>
      <w:r>
        <w:rPr>
          <w:rFonts w:hint="eastAsia" w:ascii="仿宋_GB2312" w:eastAsia="仿宋_GB2312"/>
          <w:sz w:val="28"/>
          <w:szCs w:val="28"/>
        </w:rPr>
        <w:t>融合创新应用教学案例</w:t>
      </w:r>
    </w:p>
    <w:tbl>
      <w:tblPr>
        <w:tblStyle w:val="4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体现“以学习者为中心”的课程改革理念；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教学设计完整，包括教学目标、教学内容、教学实施和教学评价等；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教学环境设施满足需求，有特色，教学情境符合教学目标和对象的要求；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教学资源选择恰当，形式多样；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教学方式多样；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有常态化应用，学生深度参与，活跃度高，教学效果突出；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好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具有一定的示范推广价值。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35766"/>
    <w:rsid w:val="4F6D6801"/>
    <w:rsid w:val="5E8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2025-05-30T01:04:00Z</dcterms:created>
  <dc:creator>王玉</dc:creator>
  <cp:lastModifiedBy>王玉</cp:lastModifiedBy>
  <dcterms:modified xsi:type="dcterms:W3CDTF">2026-05-25T10:11:58Z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