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7D012">
      <w:pPr>
        <w:keepNext w:val="0"/>
        <w:keepLines w:val="0"/>
        <w:pageBreakBefore w:val="0"/>
        <w:kinsoku/>
        <w:wordWrap/>
        <w:overflowPunct/>
        <w:topLinePunct w:val="0"/>
        <w:autoSpaceDE/>
        <w:autoSpaceDN/>
        <w:bidi w:val="0"/>
        <w:adjustRightInd/>
        <w:snapToGrid/>
        <w:spacing w:before="114" w:after="114" w:line="580" w:lineRule="exact"/>
        <w:ind w:firstLine="0" w:firstLineChars="0"/>
        <w:jc w:val="both"/>
        <w:rPr>
          <w:rFonts w:hint="eastAsia" w:ascii="Times New Roman" w:hAnsi="Times New Roman" w:eastAsia="方正小标宋简体"/>
          <w:sz w:val="36"/>
          <w:szCs w:val="36"/>
          <w:lang w:val="en-US" w:eastAsia="zh-CN"/>
        </w:rPr>
      </w:pPr>
      <w:r>
        <w:rPr>
          <w:rFonts w:hint="eastAsia" w:ascii="Times New Roman" w:hAnsi="Times New Roman" w:eastAsia="方正小标宋简体"/>
          <w:sz w:val="36"/>
          <w:szCs w:val="36"/>
          <w:lang w:val="en-US" w:eastAsia="zh-CN"/>
        </w:rPr>
        <w:t>附件</w:t>
      </w:r>
    </w:p>
    <w:p w14:paraId="2AC1C5F3">
      <w:pPr>
        <w:keepNext w:val="0"/>
        <w:keepLines w:val="0"/>
        <w:pageBreakBefore w:val="0"/>
        <w:kinsoku/>
        <w:wordWrap/>
        <w:overflowPunct/>
        <w:topLinePunct w:val="0"/>
        <w:autoSpaceDE/>
        <w:autoSpaceDN/>
        <w:bidi w:val="0"/>
        <w:adjustRightInd/>
        <w:snapToGrid/>
        <w:spacing w:before="114" w:after="114" w:line="580" w:lineRule="exact"/>
        <w:ind w:firstLine="0" w:firstLineChars="0"/>
        <w:jc w:val="center"/>
        <w:rPr>
          <w:rFonts w:hint="eastAsia" w:ascii="Times New Roman" w:hAnsi="Times New Roman" w:eastAsia="方正小标宋简体"/>
          <w:sz w:val="44"/>
          <w:szCs w:val="44"/>
          <w:lang w:val="en-US" w:eastAsia="zh-CN"/>
        </w:rPr>
      </w:pPr>
    </w:p>
    <w:p w14:paraId="1DDF9C0B">
      <w:pPr>
        <w:keepNext w:val="0"/>
        <w:keepLines w:val="0"/>
        <w:pageBreakBefore w:val="0"/>
        <w:kinsoku/>
        <w:wordWrap/>
        <w:overflowPunct/>
        <w:topLinePunct w:val="0"/>
        <w:autoSpaceDE/>
        <w:autoSpaceDN/>
        <w:bidi w:val="0"/>
        <w:adjustRightInd/>
        <w:snapToGrid/>
        <w:spacing w:before="114" w:after="114" w:line="580" w:lineRule="exact"/>
        <w:ind w:firstLine="0" w:firstLineChars="0"/>
        <w:jc w:val="center"/>
        <w:rPr>
          <w:rFonts w:hint="eastAsia" w:ascii="方正小标宋简体" w:hAnsi="微软雅黑" w:eastAsia="方正小标宋简体"/>
          <w:sz w:val="44"/>
          <w:szCs w:val="44"/>
        </w:rPr>
      </w:pPr>
      <w:bookmarkStart w:id="8" w:name="_GoBack"/>
      <w:r>
        <w:rPr>
          <w:rFonts w:hint="eastAsia" w:ascii="Times New Roman" w:hAnsi="Times New Roman" w:eastAsia="方正小标宋简体"/>
          <w:sz w:val="44"/>
          <w:szCs w:val="44"/>
          <w:lang w:val="en-US" w:eastAsia="zh-CN"/>
        </w:rPr>
        <w:t>2026年</w:t>
      </w:r>
      <w:r>
        <w:rPr>
          <w:rFonts w:hint="eastAsia" w:ascii="Times New Roman" w:hAnsi="Times New Roman" w:eastAsia="方正小标宋简体"/>
          <w:sz w:val="44"/>
          <w:szCs w:val="44"/>
        </w:rPr>
        <w:t>淮北市</w:t>
      </w:r>
      <w:r>
        <w:rPr>
          <w:rFonts w:hint="eastAsia" w:ascii="Times New Roman" w:hAnsi="Times New Roman" w:eastAsia="方正小标宋简体"/>
          <w:sz w:val="44"/>
          <w:szCs w:val="44"/>
          <w:lang w:eastAsia="zh-CN"/>
        </w:rPr>
        <w:t>政务公开专业机构测评</w:t>
      </w:r>
      <w:r>
        <w:rPr>
          <w:rFonts w:hint="eastAsia" w:ascii="Times New Roman" w:hAnsi="Times New Roman" w:eastAsia="方正小标宋简体"/>
          <w:sz w:val="44"/>
          <w:szCs w:val="44"/>
        </w:rPr>
        <w:t>项目</w:t>
      </w:r>
    </w:p>
    <w:p w14:paraId="65A5F8AC">
      <w:pPr>
        <w:keepNext w:val="0"/>
        <w:keepLines w:val="0"/>
        <w:pageBreakBefore w:val="0"/>
        <w:kinsoku/>
        <w:wordWrap/>
        <w:overflowPunct/>
        <w:topLinePunct w:val="0"/>
        <w:autoSpaceDE/>
        <w:autoSpaceDN/>
        <w:bidi w:val="0"/>
        <w:adjustRightInd/>
        <w:snapToGrid/>
        <w:spacing w:before="114" w:after="114" w:line="580" w:lineRule="exact"/>
        <w:ind w:firstLine="0" w:firstLineChars="0"/>
        <w:jc w:val="center"/>
        <w:rPr>
          <w:rFonts w:ascii="方正小标宋简体" w:hAnsi="微软雅黑" w:eastAsia="方正小标宋简体"/>
          <w:sz w:val="44"/>
          <w:szCs w:val="44"/>
        </w:rPr>
      </w:pPr>
      <w:r>
        <w:rPr>
          <w:rFonts w:hint="eastAsia" w:ascii="方正小标宋简体" w:hAnsi="微软雅黑" w:eastAsia="方正小标宋简体"/>
          <w:sz w:val="44"/>
          <w:szCs w:val="44"/>
        </w:rPr>
        <w:t>竞争性磋商文件</w:t>
      </w:r>
    </w:p>
    <w:bookmarkEnd w:id="8"/>
    <w:p w14:paraId="1B2F88F8">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2946F67A">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162A05D7">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rFonts w:hint="eastAsia"/>
          <w:szCs w:val="24"/>
        </w:rPr>
      </w:pPr>
    </w:p>
    <w:p w14:paraId="102042DC">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5C9C55B4">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3CFFC0EB">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55489523">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480"/>
        <w:rPr>
          <w:szCs w:val="24"/>
        </w:rPr>
      </w:pPr>
    </w:p>
    <w:p w14:paraId="71D28FFD">
      <w:pPr>
        <w:pStyle w:val="12"/>
        <w:keepNext w:val="0"/>
        <w:keepLines w:val="0"/>
        <w:pageBreakBefore w:val="0"/>
        <w:kinsoku/>
        <w:wordWrap/>
        <w:overflowPunct/>
        <w:topLinePunct w:val="0"/>
        <w:autoSpaceDE/>
        <w:autoSpaceDN/>
        <w:bidi w:val="0"/>
        <w:adjustRightInd/>
        <w:snapToGrid/>
        <w:spacing w:line="580" w:lineRule="exact"/>
        <w:ind w:firstLine="620"/>
      </w:pPr>
    </w:p>
    <w:p w14:paraId="5140BADC">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640"/>
        <w:rPr>
          <w:rFonts w:hint="eastAsia"/>
          <w:sz w:val="32"/>
          <w:szCs w:val="32"/>
        </w:rPr>
      </w:pPr>
    </w:p>
    <w:p w14:paraId="772FFC4F">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0" w:firstLineChars="0"/>
        <w:jc w:val="center"/>
        <w:rPr>
          <w:rFonts w:hint="eastAsia" w:ascii="仿宋_GB2312" w:hAnsi="仿宋_GB2312" w:eastAsia="仿宋_GB2312" w:cs="仿宋_GB2312"/>
          <w:color w:val="333333"/>
          <w:kern w:val="0"/>
          <w:sz w:val="32"/>
          <w:szCs w:val="32"/>
          <w:shd w:val="clear" w:color="auto" w:fill="FFFFFF"/>
          <w:lang w:val="en-US" w:eastAsia="zh-CN" w:bidi="ar-SA"/>
        </w:rPr>
      </w:pPr>
      <w:r>
        <w:rPr>
          <w:rFonts w:hint="eastAsia" w:ascii="仿宋_GB2312" w:hAnsi="仿宋_GB2312" w:eastAsia="仿宋_GB2312" w:cs="仿宋_GB2312"/>
          <w:color w:val="333333"/>
          <w:kern w:val="0"/>
          <w:sz w:val="32"/>
          <w:szCs w:val="32"/>
          <w:shd w:val="clear" w:color="auto" w:fill="FFFFFF"/>
          <w:lang w:val="en-US" w:eastAsia="zh-CN" w:bidi="ar-SA"/>
        </w:rPr>
        <w:t>淮北市人民政府办公室</w:t>
      </w:r>
    </w:p>
    <w:p w14:paraId="1F21CD2E">
      <w:pPr>
        <w:keepNext w:val="0"/>
        <w:keepLines w:val="0"/>
        <w:pageBreakBefore w:val="0"/>
        <w:kinsoku/>
        <w:wordWrap/>
        <w:overflowPunct/>
        <w:topLinePunct w:val="0"/>
        <w:autoSpaceDE/>
        <w:autoSpaceDN/>
        <w:bidi w:val="0"/>
        <w:adjustRightInd/>
        <w:snapToGrid/>
        <w:spacing w:before="100" w:beforeAutospacing="1" w:after="100" w:afterAutospacing="1" w:line="580" w:lineRule="exact"/>
        <w:ind w:firstLine="0" w:firstLineChars="0"/>
        <w:jc w:val="center"/>
        <w:rPr>
          <w:rFonts w:hint="eastAsia" w:ascii="仿宋_GB2312" w:hAnsi="仿宋_GB2312" w:eastAsia="仿宋_GB2312" w:cs="仿宋_GB2312"/>
          <w:color w:val="333333"/>
          <w:kern w:val="0"/>
          <w:sz w:val="32"/>
          <w:szCs w:val="32"/>
          <w:shd w:val="clear" w:color="auto" w:fill="FFFFFF"/>
          <w:lang w:val="en-US" w:eastAsia="zh-CN" w:bidi="ar-SA"/>
        </w:rPr>
      </w:pPr>
      <w:r>
        <w:rPr>
          <w:rFonts w:hint="eastAsia" w:ascii="Times New Roman" w:hAnsi="Times New Roman" w:eastAsia="仿宋_GB2312" w:cs="Times New Roman"/>
          <w:kern w:val="0"/>
          <w:sz w:val="32"/>
          <w:szCs w:val="32"/>
          <w:lang w:val="en-US" w:eastAsia="zh-CN" w:bidi="ar-SA"/>
        </w:rPr>
        <w:t>2026</w:t>
      </w:r>
      <w:r>
        <w:rPr>
          <w:rFonts w:hint="eastAsia" w:ascii="仿宋_GB2312" w:hAnsi="仿宋_GB2312" w:eastAsia="仿宋_GB2312" w:cs="仿宋_GB2312"/>
          <w:color w:val="333333"/>
          <w:kern w:val="0"/>
          <w:sz w:val="32"/>
          <w:szCs w:val="32"/>
          <w:shd w:val="clear" w:color="auto" w:fill="FFFFFF"/>
          <w:lang w:val="en-US" w:eastAsia="zh-CN" w:bidi="ar-SA"/>
        </w:rPr>
        <w:t>年</w:t>
      </w:r>
      <w:r>
        <w:rPr>
          <w:rFonts w:hint="eastAsia" w:ascii="Times New Roman" w:hAnsi="Times New Roman" w:eastAsia="仿宋_GB2312" w:cs="Times New Roman"/>
          <w:kern w:val="0"/>
          <w:sz w:val="32"/>
          <w:szCs w:val="32"/>
          <w:lang w:val="en-US" w:eastAsia="zh-CN" w:bidi="ar-SA"/>
        </w:rPr>
        <w:t>7</w:t>
      </w:r>
      <w:r>
        <w:rPr>
          <w:rFonts w:hint="eastAsia" w:ascii="仿宋_GB2312" w:hAnsi="仿宋_GB2312" w:eastAsia="仿宋_GB2312" w:cs="仿宋_GB2312"/>
          <w:color w:val="333333"/>
          <w:kern w:val="0"/>
          <w:sz w:val="32"/>
          <w:szCs w:val="32"/>
          <w:shd w:val="clear" w:color="auto" w:fill="FFFFFF"/>
          <w:lang w:val="en-US" w:eastAsia="zh-CN" w:bidi="ar-SA"/>
        </w:rPr>
        <w:t>月</w:t>
      </w:r>
    </w:p>
    <w:p w14:paraId="40DB90E4">
      <w:pPr>
        <w:pStyle w:val="12"/>
        <w:ind w:firstLine="640"/>
        <w:rPr>
          <w:rFonts w:hint="eastAsia" w:ascii="宋体" w:hAnsi="宋体" w:eastAsia="宋体" w:cs="宋体"/>
          <w:sz w:val="32"/>
          <w:szCs w:val="32"/>
        </w:rPr>
      </w:pPr>
    </w:p>
    <w:p w14:paraId="2BD8CE5C">
      <w:pPr>
        <w:spacing w:line="560" w:lineRule="exact"/>
        <w:ind w:firstLine="0" w:firstLineChars="0"/>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供应商须知前附表</w:t>
      </w:r>
    </w:p>
    <w:p w14:paraId="7DC50C8E">
      <w:pPr>
        <w:spacing w:line="560" w:lineRule="exact"/>
        <w:ind w:firstLine="0" w:firstLineChars="0"/>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mc:AlternateContent>
          <mc:Choice Requires="wps">
            <w:drawing>
              <wp:anchor distT="0" distB="0" distL="114300" distR="114300" simplePos="0" relativeHeight="251659264" behindDoc="1" locked="0" layoutInCell="1" allowOverlap="1">
                <wp:simplePos x="0" y="0"/>
                <wp:positionH relativeFrom="page">
                  <wp:posOffset>6802120</wp:posOffset>
                </wp:positionH>
                <wp:positionV relativeFrom="page">
                  <wp:posOffset>1988820</wp:posOffset>
                </wp:positionV>
                <wp:extent cx="56515" cy="6350"/>
                <wp:effectExtent l="0" t="0" r="0" b="0"/>
                <wp:wrapNone/>
                <wp:docPr id="4" name="矩形 4"/>
                <wp:cNvGraphicFramePr/>
                <a:graphic xmlns:a="http://schemas.openxmlformats.org/drawingml/2006/main">
                  <a:graphicData uri="http://schemas.microsoft.com/office/word/2010/wordprocessingShape">
                    <wps:wsp>
                      <wps:cNvSpPr/>
                      <wps:spPr>
                        <a:xfrm>
                          <a:off x="0" y="0"/>
                          <a:ext cx="56515" cy="6350"/>
                        </a:xfrm>
                        <a:prstGeom prst="rect">
                          <a:avLst/>
                        </a:prstGeom>
                        <a:solidFill>
                          <a:srgbClr val="000000"/>
                        </a:solidFill>
                        <a:ln>
                          <a:noFill/>
                        </a:ln>
                        <a:effectLst/>
                      </wps:spPr>
                      <wps:bodyPr upright="1"/>
                    </wps:wsp>
                  </a:graphicData>
                </a:graphic>
              </wp:anchor>
            </w:drawing>
          </mc:Choice>
          <mc:Fallback>
            <w:pict>
              <v:rect id="_x0000_s1026" o:spid="_x0000_s1026" o:spt="1" style="position:absolute;left:0pt;margin-left:535.6pt;margin-top:156.6pt;height:0.5pt;width:4.45pt;mso-position-horizontal-relative:page;mso-position-vertical-relative:page;z-index:-251657216;mso-width-relative:page;mso-height-relative:page;" fillcolor="#000000" filled="t" stroked="f" coordsize="21600,21600" o:gfxdata="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nVuoh2gAAAA0BAAAPAAAAAAAAAAEAIAAAACIAAABkcnMvZG93bnJldi54bWxQSwECFAAUAAAA&#10;CACHTuJAFQl53bMBAABpAwAADgAAAAAAAAABACAAAAApAQAAZHJzL2Uyb0RvYy54bWxQSwUGAAAA&#10;AAYABgBZAQAATgUAAAAA&#10;">
                <v:path/>
                <v:fill on="t" focussize="0,0"/>
                <v:stroke on="f"/>
                <v:imagedata o:title=""/>
                <o:lock v:ext="edit" aspectratio="f"/>
              </v:rect>
            </w:pict>
          </mc:Fallback>
        </mc:AlternateContent>
      </w:r>
    </w:p>
    <w:tbl>
      <w:tblPr>
        <w:tblStyle w:val="10"/>
        <w:tblW w:w="91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7"/>
        <w:gridCol w:w="3075"/>
        <w:gridCol w:w="5315"/>
      </w:tblGrid>
      <w:tr w14:paraId="354E8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17" w:type="dxa"/>
            <w:noWrap w:val="0"/>
            <w:vAlign w:val="center"/>
          </w:tcPr>
          <w:p w14:paraId="3F94BD77">
            <w:pPr>
              <w:pStyle w:val="13"/>
              <w:spacing w:before="48"/>
              <w:ind w:left="0" w:leftChars="0" w:firstLine="0" w:firstLineChars="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序号</w:t>
            </w:r>
          </w:p>
        </w:tc>
        <w:tc>
          <w:tcPr>
            <w:tcW w:w="3075" w:type="dxa"/>
            <w:noWrap w:val="0"/>
            <w:vAlign w:val="center"/>
          </w:tcPr>
          <w:p w14:paraId="4123B083">
            <w:pPr>
              <w:pStyle w:val="13"/>
              <w:spacing w:before="48"/>
              <w:ind w:firstLine="42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条款名称</w:t>
            </w:r>
          </w:p>
        </w:tc>
        <w:tc>
          <w:tcPr>
            <w:tcW w:w="5315" w:type="dxa"/>
            <w:noWrap w:val="0"/>
            <w:vAlign w:val="center"/>
          </w:tcPr>
          <w:p w14:paraId="4E64DBA7">
            <w:pPr>
              <w:pStyle w:val="13"/>
              <w:tabs>
                <w:tab w:val="left" w:pos="429"/>
                <w:tab w:val="left" w:pos="849"/>
                <w:tab w:val="left" w:pos="1269"/>
              </w:tabs>
              <w:spacing w:before="48"/>
              <w:ind w:firstLine="42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编</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t>列</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t>内</w:t>
            </w:r>
            <w:r>
              <w:rPr>
                <w:rFonts w:hint="default" w:ascii="Times New Roman" w:hAnsi="Times New Roman" w:eastAsia="仿宋_GB2312" w:cs="Times New Roman"/>
                <w:b/>
                <w:sz w:val="28"/>
                <w:szCs w:val="28"/>
              </w:rPr>
              <w:tab/>
            </w:r>
            <w:r>
              <w:rPr>
                <w:rFonts w:hint="default" w:ascii="Times New Roman" w:hAnsi="Times New Roman" w:eastAsia="仿宋_GB2312" w:cs="Times New Roman"/>
                <w:b/>
                <w:sz w:val="28"/>
                <w:szCs w:val="28"/>
              </w:rPr>
              <w:t>容</w:t>
            </w:r>
          </w:p>
        </w:tc>
      </w:tr>
      <w:tr w14:paraId="35E98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7B241A4D">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w:t>
            </w:r>
          </w:p>
        </w:tc>
        <w:tc>
          <w:tcPr>
            <w:tcW w:w="3075" w:type="dxa"/>
            <w:noWrap w:val="0"/>
            <w:vAlign w:val="center"/>
          </w:tcPr>
          <w:p w14:paraId="194A47B8">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center"/>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采购</w:t>
            </w:r>
            <w:r>
              <w:rPr>
                <w:rFonts w:hint="eastAsia" w:ascii="Times New Roman" w:hAnsi="Times New Roman" w:eastAsia="仿宋_GB2312" w:cs="Times New Roman"/>
                <w:sz w:val="28"/>
                <w:szCs w:val="28"/>
                <w:lang w:eastAsia="zh-CN"/>
              </w:rPr>
              <w:t>单位</w:t>
            </w:r>
          </w:p>
        </w:tc>
        <w:tc>
          <w:tcPr>
            <w:tcW w:w="5315" w:type="dxa"/>
            <w:noWrap w:val="0"/>
            <w:vAlign w:val="center"/>
          </w:tcPr>
          <w:p w14:paraId="34417982">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淮北市人民政府办公室</w:t>
            </w:r>
          </w:p>
        </w:tc>
      </w:tr>
      <w:tr w14:paraId="755E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5FB2DAD1">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w:t>
            </w:r>
          </w:p>
        </w:tc>
        <w:tc>
          <w:tcPr>
            <w:tcW w:w="3075" w:type="dxa"/>
            <w:noWrap w:val="0"/>
            <w:vAlign w:val="center"/>
          </w:tcPr>
          <w:p w14:paraId="5EF00A5C">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采购项目名称</w:t>
            </w:r>
          </w:p>
        </w:tc>
        <w:tc>
          <w:tcPr>
            <w:tcW w:w="5315" w:type="dxa"/>
            <w:noWrap w:val="0"/>
            <w:vAlign w:val="center"/>
          </w:tcPr>
          <w:p w14:paraId="1FBB5F3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lang w:val="en-US" w:eastAsia="zh-CN" w:bidi="ar-SA"/>
              </w:rPr>
              <w:t>2026年淮北市政务公开专业机构测评项目</w:t>
            </w:r>
          </w:p>
        </w:tc>
      </w:tr>
      <w:tr w14:paraId="3F321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79AB36E">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3</w:t>
            </w:r>
          </w:p>
        </w:tc>
        <w:tc>
          <w:tcPr>
            <w:tcW w:w="3075" w:type="dxa"/>
            <w:noWrap w:val="0"/>
            <w:vAlign w:val="center"/>
          </w:tcPr>
          <w:p w14:paraId="40DC787D">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标段（包别）划分</w:t>
            </w:r>
          </w:p>
        </w:tc>
        <w:tc>
          <w:tcPr>
            <w:tcW w:w="5315" w:type="dxa"/>
            <w:noWrap w:val="0"/>
            <w:vAlign w:val="center"/>
          </w:tcPr>
          <w:p w14:paraId="38EAD827">
            <w:pPr>
              <w:pStyle w:val="13"/>
              <w:keepNext w:val="0"/>
              <w:keepLines w:val="0"/>
              <w:pageBreakBefore w:val="0"/>
              <w:widowControl w:val="0"/>
              <w:kinsoku/>
              <w:wordWrap/>
              <w:overflowPunct/>
              <w:topLinePunct w:val="0"/>
              <w:autoSpaceDE/>
              <w:autoSpaceDN/>
              <w:bidi w:val="0"/>
              <w:adjustRightInd/>
              <w:snapToGrid/>
              <w:spacing w:before="109"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本项目共分为1个标包</w:t>
            </w:r>
          </w:p>
        </w:tc>
      </w:tr>
      <w:tr w14:paraId="31485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3819F00F">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4</w:t>
            </w:r>
          </w:p>
        </w:tc>
        <w:tc>
          <w:tcPr>
            <w:tcW w:w="3075" w:type="dxa"/>
            <w:noWrap w:val="0"/>
            <w:vAlign w:val="center"/>
          </w:tcPr>
          <w:p w14:paraId="704F2D69">
            <w:pPr>
              <w:pStyle w:val="13"/>
              <w:keepNext w:val="0"/>
              <w:keepLines w:val="0"/>
              <w:pageBreakBefore w:val="0"/>
              <w:widowControl w:val="0"/>
              <w:kinsoku/>
              <w:wordWrap/>
              <w:overflowPunct/>
              <w:topLinePunct w:val="0"/>
              <w:autoSpaceDE/>
              <w:autoSpaceDN/>
              <w:bidi w:val="0"/>
              <w:adjustRightInd/>
              <w:snapToGrid/>
              <w:spacing w:before="72"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采购预算</w:t>
            </w:r>
          </w:p>
        </w:tc>
        <w:tc>
          <w:tcPr>
            <w:tcW w:w="5315" w:type="dxa"/>
            <w:noWrap w:val="0"/>
            <w:vAlign w:val="center"/>
          </w:tcPr>
          <w:p w14:paraId="15402738">
            <w:pPr>
              <w:pStyle w:val="13"/>
              <w:keepNext w:val="0"/>
              <w:keepLines w:val="0"/>
              <w:pageBreakBefore w:val="0"/>
              <w:widowControl w:val="0"/>
              <w:kinsoku/>
              <w:wordWrap/>
              <w:overflowPunct/>
              <w:topLinePunct w:val="0"/>
              <w:autoSpaceDE/>
              <w:autoSpaceDN/>
              <w:bidi w:val="0"/>
              <w:adjustRightInd/>
              <w:snapToGrid/>
              <w:spacing w:before="195"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见竞争性磋商公告</w:t>
            </w:r>
          </w:p>
        </w:tc>
      </w:tr>
      <w:tr w14:paraId="5ED4A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27F94F7">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5</w:t>
            </w:r>
          </w:p>
        </w:tc>
        <w:tc>
          <w:tcPr>
            <w:tcW w:w="3075" w:type="dxa"/>
            <w:noWrap w:val="0"/>
            <w:vAlign w:val="center"/>
          </w:tcPr>
          <w:p w14:paraId="5CBE3C5A">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资金落实情况</w:t>
            </w:r>
          </w:p>
        </w:tc>
        <w:tc>
          <w:tcPr>
            <w:tcW w:w="5315" w:type="dxa"/>
            <w:noWrap w:val="0"/>
            <w:vAlign w:val="center"/>
          </w:tcPr>
          <w:p w14:paraId="65DA2544">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已落实</w:t>
            </w:r>
          </w:p>
        </w:tc>
      </w:tr>
      <w:tr w14:paraId="049D1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0292B4F">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6</w:t>
            </w:r>
          </w:p>
        </w:tc>
        <w:tc>
          <w:tcPr>
            <w:tcW w:w="3075" w:type="dxa"/>
            <w:noWrap w:val="0"/>
            <w:vAlign w:val="center"/>
          </w:tcPr>
          <w:p w14:paraId="379F1170">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采购需求</w:t>
            </w:r>
          </w:p>
        </w:tc>
        <w:tc>
          <w:tcPr>
            <w:tcW w:w="5315" w:type="dxa"/>
            <w:noWrap w:val="0"/>
            <w:vAlign w:val="center"/>
          </w:tcPr>
          <w:p w14:paraId="7190697B">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rPr>
              <w:t>具体采购需求详见第</w:t>
            </w:r>
            <w:r>
              <w:rPr>
                <w:rFonts w:hint="eastAsia" w:ascii="Times New Roman" w:hAnsi="Times New Roman" w:eastAsia="仿宋_GB2312" w:cs="Times New Roman"/>
                <w:color w:val="auto"/>
                <w:sz w:val="28"/>
                <w:szCs w:val="28"/>
                <w:lang w:eastAsia="zh-CN"/>
              </w:rPr>
              <w:t>一</w:t>
            </w:r>
            <w:r>
              <w:rPr>
                <w:rFonts w:hint="default" w:ascii="Times New Roman" w:hAnsi="Times New Roman" w:eastAsia="仿宋_GB2312" w:cs="Times New Roman"/>
                <w:color w:val="auto"/>
                <w:sz w:val="28"/>
                <w:szCs w:val="28"/>
              </w:rPr>
              <w:t>章采购需求。</w:t>
            </w:r>
          </w:p>
        </w:tc>
      </w:tr>
      <w:tr w14:paraId="4E1E6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5AE74A4A">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7</w:t>
            </w:r>
          </w:p>
        </w:tc>
        <w:tc>
          <w:tcPr>
            <w:tcW w:w="3075" w:type="dxa"/>
            <w:noWrap w:val="0"/>
            <w:vAlign w:val="center"/>
          </w:tcPr>
          <w:p w14:paraId="1E6D66BE">
            <w:pPr>
              <w:pStyle w:val="13"/>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服务期限</w:t>
            </w:r>
          </w:p>
        </w:tc>
        <w:tc>
          <w:tcPr>
            <w:tcW w:w="5315" w:type="dxa"/>
            <w:noWrap w:val="0"/>
            <w:vAlign w:val="center"/>
          </w:tcPr>
          <w:p w14:paraId="52B02E43">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见竞争性磋商公告。</w:t>
            </w:r>
          </w:p>
        </w:tc>
      </w:tr>
      <w:tr w14:paraId="77C16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1CBB0EDF">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8</w:t>
            </w:r>
          </w:p>
        </w:tc>
        <w:tc>
          <w:tcPr>
            <w:tcW w:w="3075" w:type="dxa"/>
            <w:noWrap w:val="0"/>
            <w:vAlign w:val="center"/>
          </w:tcPr>
          <w:p w14:paraId="717733C6">
            <w:pPr>
              <w:pStyle w:val="13"/>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性能要求</w:t>
            </w:r>
          </w:p>
        </w:tc>
        <w:tc>
          <w:tcPr>
            <w:tcW w:w="5315" w:type="dxa"/>
            <w:noWrap w:val="0"/>
            <w:vAlign w:val="center"/>
          </w:tcPr>
          <w:p w14:paraId="3178FFAC">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是否允许负偏离：☑不允许</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□允许</w:t>
            </w:r>
          </w:p>
        </w:tc>
      </w:tr>
      <w:tr w14:paraId="39E39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E57A7FE">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9</w:t>
            </w:r>
          </w:p>
        </w:tc>
        <w:tc>
          <w:tcPr>
            <w:tcW w:w="3075" w:type="dxa"/>
            <w:noWrap w:val="0"/>
            <w:vAlign w:val="center"/>
          </w:tcPr>
          <w:p w14:paraId="3D4DB047">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付款方式</w:t>
            </w:r>
          </w:p>
        </w:tc>
        <w:tc>
          <w:tcPr>
            <w:tcW w:w="5315" w:type="dxa"/>
            <w:noWrap w:val="0"/>
            <w:vAlign w:val="center"/>
          </w:tcPr>
          <w:p w14:paraId="0E8210E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lang w:val="en-US" w:eastAsia="zh-CN" w:bidi="ar-SA"/>
              </w:rPr>
              <w:t>付款方式：每次测评结束验收合格后，支付实际中标总金额的25%。</w:t>
            </w:r>
          </w:p>
        </w:tc>
      </w:tr>
      <w:tr w14:paraId="4181B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5FD83ED7">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10</w:t>
            </w:r>
          </w:p>
        </w:tc>
        <w:tc>
          <w:tcPr>
            <w:tcW w:w="3075" w:type="dxa"/>
            <w:noWrap w:val="0"/>
            <w:vAlign w:val="center"/>
          </w:tcPr>
          <w:p w14:paraId="002B123D">
            <w:pPr>
              <w:pStyle w:val="13"/>
              <w:keepNext w:val="0"/>
              <w:keepLines w:val="0"/>
              <w:pageBreakBefore w:val="0"/>
              <w:widowControl w:val="0"/>
              <w:kinsoku/>
              <w:wordWrap/>
              <w:overflowPunct/>
              <w:topLinePunct w:val="0"/>
              <w:autoSpaceDE/>
              <w:autoSpaceDN/>
              <w:bidi w:val="0"/>
              <w:adjustRightInd/>
              <w:snapToGrid/>
              <w:spacing w:before="104"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性能响应</w:t>
            </w:r>
          </w:p>
        </w:tc>
        <w:tc>
          <w:tcPr>
            <w:tcW w:w="5315" w:type="dxa"/>
            <w:noWrap w:val="0"/>
            <w:vAlign w:val="center"/>
          </w:tcPr>
          <w:p w14:paraId="01F1F457">
            <w:pPr>
              <w:pStyle w:val="13"/>
              <w:keepNext w:val="0"/>
              <w:keepLines w:val="0"/>
              <w:pageBreakBefore w:val="0"/>
              <w:widowControl w:val="0"/>
              <w:kinsoku/>
              <w:wordWrap/>
              <w:overflowPunct/>
              <w:topLinePunct w:val="0"/>
              <w:autoSpaceDE/>
              <w:autoSpaceDN/>
              <w:bidi w:val="0"/>
              <w:adjustRightInd/>
              <w:snapToGrid/>
              <w:spacing w:before="104"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是否允许负偏离：☑不允许 □允许</w:t>
            </w:r>
          </w:p>
        </w:tc>
      </w:tr>
      <w:tr w14:paraId="1A6C6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48EF21F4">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11</w:t>
            </w:r>
          </w:p>
        </w:tc>
        <w:tc>
          <w:tcPr>
            <w:tcW w:w="3075" w:type="dxa"/>
            <w:noWrap w:val="0"/>
            <w:vAlign w:val="center"/>
          </w:tcPr>
          <w:p w14:paraId="13F6D79E">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供应商资格条件能力和信誉</w:t>
            </w:r>
          </w:p>
        </w:tc>
        <w:tc>
          <w:tcPr>
            <w:tcW w:w="5315" w:type="dxa"/>
            <w:noWrap w:val="0"/>
            <w:vAlign w:val="center"/>
          </w:tcPr>
          <w:p w14:paraId="25F2F272">
            <w:pPr>
              <w:pStyle w:val="13"/>
              <w:keepNext w:val="0"/>
              <w:keepLines w:val="0"/>
              <w:pageBreakBefore w:val="0"/>
              <w:widowControl w:val="0"/>
              <w:kinsoku/>
              <w:wordWrap/>
              <w:overflowPunct/>
              <w:topLinePunct w:val="0"/>
              <w:autoSpaceDE/>
              <w:autoSpaceDN/>
              <w:bidi w:val="0"/>
              <w:adjustRightInd/>
              <w:snapToGrid/>
              <w:spacing w:before="8"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见竞争性磋商公告</w:t>
            </w:r>
          </w:p>
        </w:tc>
      </w:tr>
      <w:tr w14:paraId="2E5B2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4F46A9B0">
            <w:pPr>
              <w:pStyle w:val="13"/>
              <w:keepNext w:val="0"/>
              <w:keepLines w:val="0"/>
              <w:pageBreakBefore w:val="0"/>
              <w:widowControl w:val="0"/>
              <w:kinsoku/>
              <w:wordWrap/>
              <w:overflowPunct/>
              <w:topLinePunct w:val="0"/>
              <w:autoSpaceDE/>
              <w:autoSpaceDN/>
              <w:bidi w:val="0"/>
              <w:adjustRightInd/>
              <w:snapToGrid/>
              <w:spacing w:before="189"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12</w:t>
            </w:r>
          </w:p>
        </w:tc>
        <w:tc>
          <w:tcPr>
            <w:tcW w:w="3075" w:type="dxa"/>
            <w:noWrap w:val="0"/>
            <w:vAlign w:val="center"/>
          </w:tcPr>
          <w:p w14:paraId="407887DB">
            <w:pPr>
              <w:pStyle w:val="13"/>
              <w:keepNext w:val="0"/>
              <w:keepLines w:val="0"/>
              <w:pageBreakBefore w:val="0"/>
              <w:widowControl w:val="0"/>
              <w:kinsoku/>
              <w:wordWrap/>
              <w:overflowPunct/>
              <w:topLinePunct w:val="0"/>
              <w:autoSpaceDE/>
              <w:autoSpaceDN/>
              <w:bidi w:val="0"/>
              <w:adjustRightInd/>
              <w:snapToGrid/>
              <w:spacing w:before="45"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是否接受联合体响应</w:t>
            </w:r>
          </w:p>
        </w:tc>
        <w:tc>
          <w:tcPr>
            <w:tcW w:w="5315" w:type="dxa"/>
            <w:noWrap w:val="0"/>
            <w:vAlign w:val="center"/>
          </w:tcPr>
          <w:p w14:paraId="34D1EBCF">
            <w:pPr>
              <w:pStyle w:val="13"/>
              <w:keepNext w:val="0"/>
              <w:keepLines w:val="0"/>
              <w:pageBreakBefore w:val="0"/>
              <w:widowControl w:val="0"/>
              <w:kinsoku/>
              <w:wordWrap/>
              <w:overflowPunct/>
              <w:topLinePunct w:val="0"/>
              <w:autoSpaceDE/>
              <w:autoSpaceDN/>
              <w:bidi w:val="0"/>
              <w:adjustRightInd/>
              <w:snapToGrid/>
              <w:spacing w:before="16"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☑不接受  □接受</w:t>
            </w:r>
          </w:p>
        </w:tc>
      </w:tr>
      <w:tr w14:paraId="635D4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613AE075">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13</w:t>
            </w:r>
          </w:p>
        </w:tc>
        <w:tc>
          <w:tcPr>
            <w:tcW w:w="3075" w:type="dxa"/>
            <w:noWrap w:val="0"/>
            <w:vAlign w:val="center"/>
          </w:tcPr>
          <w:p w14:paraId="14BDCEBF">
            <w:pPr>
              <w:pStyle w:val="13"/>
              <w:keepNext w:val="0"/>
              <w:keepLines w:val="0"/>
              <w:pageBreakBefore w:val="0"/>
              <w:widowControl w:val="0"/>
              <w:kinsoku/>
              <w:wordWrap/>
              <w:overflowPunct/>
              <w:topLinePunct w:val="0"/>
              <w:autoSpaceDE/>
              <w:autoSpaceDN/>
              <w:bidi w:val="0"/>
              <w:adjustRightInd/>
              <w:snapToGrid/>
              <w:spacing w:before="71" w:line="460" w:lineRule="exact"/>
              <w:ind w:firstLine="0" w:firstLineChars="0"/>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竞争性磋商文件澄清发出的形式</w:t>
            </w:r>
          </w:p>
        </w:tc>
        <w:tc>
          <w:tcPr>
            <w:tcW w:w="5315" w:type="dxa"/>
            <w:noWrap w:val="0"/>
            <w:vAlign w:val="center"/>
          </w:tcPr>
          <w:p w14:paraId="1971B953">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pacing w:val="-1"/>
                <w:sz w:val="28"/>
                <w:szCs w:val="28"/>
                <w:highlight w:val="none"/>
              </w:rPr>
              <w:t>发出时间：如澄清或修改的内容可能影响响应文件编制的，应当在提交响应文</w:t>
            </w:r>
            <w:r>
              <w:rPr>
                <w:rFonts w:hint="default" w:ascii="Times New Roman" w:hAnsi="Times New Roman" w:eastAsia="仿宋_GB2312" w:cs="Times New Roman"/>
                <w:spacing w:val="-7"/>
                <w:sz w:val="28"/>
                <w:szCs w:val="28"/>
                <w:highlight w:val="none"/>
              </w:rPr>
              <w:t>件截止之日至少</w:t>
            </w:r>
            <w:r>
              <w:rPr>
                <w:rFonts w:hint="default" w:ascii="Times New Roman" w:hAnsi="Times New Roman" w:eastAsia="仿宋_GB2312" w:cs="Times New Roman"/>
                <w:sz w:val="28"/>
                <w:szCs w:val="28"/>
                <w:highlight w:val="none"/>
              </w:rPr>
              <w:t>5日前发布澄清或修改</w:t>
            </w:r>
          </w:p>
        </w:tc>
      </w:tr>
      <w:tr w14:paraId="38360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5EE22C2">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14</w:t>
            </w:r>
          </w:p>
        </w:tc>
        <w:tc>
          <w:tcPr>
            <w:tcW w:w="3075" w:type="dxa"/>
            <w:noWrap w:val="0"/>
            <w:vAlign w:val="center"/>
          </w:tcPr>
          <w:p w14:paraId="5E3C2CAA">
            <w:pPr>
              <w:pStyle w:val="13"/>
              <w:keepNext w:val="0"/>
              <w:keepLines w:val="0"/>
              <w:pageBreakBefore w:val="0"/>
              <w:widowControl w:val="0"/>
              <w:kinsoku/>
              <w:wordWrap/>
              <w:overflowPunct/>
              <w:topLinePunct w:val="0"/>
              <w:autoSpaceDE/>
              <w:autoSpaceDN/>
              <w:bidi w:val="0"/>
              <w:adjustRightInd/>
              <w:snapToGrid/>
              <w:spacing w:before="71"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分包</w:t>
            </w:r>
          </w:p>
        </w:tc>
        <w:tc>
          <w:tcPr>
            <w:tcW w:w="5315" w:type="dxa"/>
            <w:noWrap w:val="0"/>
            <w:vAlign w:val="center"/>
          </w:tcPr>
          <w:p w14:paraId="7F988197">
            <w:pPr>
              <w:pStyle w:val="13"/>
              <w:keepNext w:val="0"/>
              <w:keepLines w:val="0"/>
              <w:pageBreakBefore w:val="0"/>
              <w:widowControl w:val="0"/>
              <w:kinsoku/>
              <w:wordWrap/>
              <w:overflowPunct/>
              <w:topLinePunct w:val="0"/>
              <w:autoSpaceDE/>
              <w:autoSpaceDN/>
              <w:bidi w:val="0"/>
              <w:adjustRightInd/>
              <w:snapToGrid/>
              <w:spacing w:before="16"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☑不允许  □允许</w:t>
            </w:r>
          </w:p>
        </w:tc>
      </w:tr>
      <w:tr w14:paraId="4AE21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7469F7C6">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15</w:t>
            </w:r>
          </w:p>
        </w:tc>
        <w:tc>
          <w:tcPr>
            <w:tcW w:w="3075" w:type="dxa"/>
            <w:noWrap w:val="0"/>
            <w:vAlign w:val="center"/>
          </w:tcPr>
          <w:p w14:paraId="336ED671">
            <w:pPr>
              <w:pStyle w:val="13"/>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供应商要求澄清竞争性磋商文件</w:t>
            </w:r>
          </w:p>
        </w:tc>
        <w:tc>
          <w:tcPr>
            <w:tcW w:w="5315" w:type="dxa"/>
            <w:noWrap w:val="0"/>
            <w:vAlign w:val="center"/>
          </w:tcPr>
          <w:p w14:paraId="1AA35E9C">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时间：在提交响应文件截止之日至少5天前（以收到时间为准），逾期提出采购人可不予受理。</w:t>
            </w:r>
          </w:p>
        </w:tc>
      </w:tr>
      <w:tr w14:paraId="0B7E8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4E9F36FC">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16</w:t>
            </w:r>
          </w:p>
        </w:tc>
        <w:tc>
          <w:tcPr>
            <w:tcW w:w="3075" w:type="dxa"/>
            <w:noWrap w:val="0"/>
            <w:vAlign w:val="center"/>
          </w:tcPr>
          <w:p w14:paraId="19C854FB">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响应报价包括的内容</w:t>
            </w:r>
          </w:p>
        </w:tc>
        <w:tc>
          <w:tcPr>
            <w:tcW w:w="5315" w:type="dxa"/>
            <w:noWrap w:val="0"/>
            <w:vAlign w:val="center"/>
          </w:tcPr>
          <w:p w14:paraId="43F18640">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响应报价包括提供服务的一切成本和费用、管理费、利润和税金，以及采购合同中明示或暗示的所有责任、义务和风险。</w:t>
            </w:r>
          </w:p>
        </w:tc>
      </w:tr>
      <w:tr w14:paraId="4CD8E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6047AFF1">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17</w:t>
            </w:r>
          </w:p>
        </w:tc>
        <w:tc>
          <w:tcPr>
            <w:tcW w:w="3075" w:type="dxa"/>
            <w:noWrap w:val="0"/>
            <w:vAlign w:val="center"/>
          </w:tcPr>
          <w:p w14:paraId="2E981F1A">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最高限价</w:t>
            </w:r>
          </w:p>
        </w:tc>
        <w:tc>
          <w:tcPr>
            <w:tcW w:w="5315" w:type="dxa"/>
            <w:noWrap w:val="0"/>
            <w:vAlign w:val="center"/>
          </w:tcPr>
          <w:p w14:paraId="0F03BDEF">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见竞争性磋商公告</w:t>
            </w:r>
          </w:p>
        </w:tc>
      </w:tr>
      <w:tr w14:paraId="3D5BF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72ACE2A">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18</w:t>
            </w:r>
          </w:p>
        </w:tc>
        <w:tc>
          <w:tcPr>
            <w:tcW w:w="3075" w:type="dxa"/>
            <w:noWrap w:val="0"/>
            <w:vAlign w:val="center"/>
          </w:tcPr>
          <w:p w14:paraId="79E892ED">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提交响应文件截止时间</w:t>
            </w:r>
          </w:p>
        </w:tc>
        <w:tc>
          <w:tcPr>
            <w:tcW w:w="5315" w:type="dxa"/>
            <w:noWrap w:val="0"/>
            <w:vAlign w:val="center"/>
          </w:tcPr>
          <w:p w14:paraId="4395F2F0">
            <w:pPr>
              <w:pStyle w:val="13"/>
              <w:keepNext w:val="0"/>
              <w:keepLines w:val="0"/>
              <w:pageBreakBefore w:val="0"/>
              <w:widowControl w:val="0"/>
              <w:kinsoku/>
              <w:wordWrap/>
              <w:overflowPunct/>
              <w:topLinePunct w:val="0"/>
              <w:autoSpaceDE/>
              <w:autoSpaceDN/>
              <w:bidi w:val="0"/>
              <w:adjustRightInd/>
              <w:snapToGrid/>
              <w:spacing w:before="7" w:line="460" w:lineRule="exact"/>
              <w:ind w:firstLine="340"/>
              <w:jc w:val="left"/>
              <w:textAlignment w:val="auto"/>
              <w:rPr>
                <w:rFonts w:hint="default" w:ascii="Times New Roman" w:hAnsi="Times New Roman" w:eastAsia="仿宋_GB2312" w:cs="Times New Roman"/>
                <w:sz w:val="28"/>
                <w:szCs w:val="28"/>
              </w:rPr>
            </w:pPr>
          </w:p>
          <w:p w14:paraId="57F2E26E">
            <w:pPr>
              <w:pStyle w:val="13"/>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见竞争性磋商公告</w:t>
            </w:r>
          </w:p>
        </w:tc>
      </w:tr>
      <w:tr w14:paraId="45C23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6F023B6E">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19</w:t>
            </w:r>
          </w:p>
        </w:tc>
        <w:tc>
          <w:tcPr>
            <w:tcW w:w="3075" w:type="dxa"/>
            <w:noWrap w:val="0"/>
            <w:vAlign w:val="center"/>
          </w:tcPr>
          <w:p w14:paraId="5B931D16">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是否退还响应文件</w:t>
            </w:r>
          </w:p>
        </w:tc>
        <w:tc>
          <w:tcPr>
            <w:tcW w:w="5315" w:type="dxa"/>
            <w:noWrap w:val="0"/>
            <w:vAlign w:val="center"/>
          </w:tcPr>
          <w:p w14:paraId="5512BB7F">
            <w:pPr>
              <w:pStyle w:val="13"/>
              <w:keepNext w:val="0"/>
              <w:keepLines w:val="0"/>
              <w:pageBreakBefore w:val="0"/>
              <w:widowControl w:val="0"/>
              <w:kinsoku/>
              <w:wordWrap/>
              <w:overflowPunct/>
              <w:topLinePunct w:val="0"/>
              <w:autoSpaceDE/>
              <w:autoSpaceDN/>
              <w:bidi w:val="0"/>
              <w:adjustRightInd/>
              <w:snapToGrid/>
              <w:spacing w:before="174"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☑否</w:t>
            </w:r>
          </w:p>
        </w:tc>
      </w:tr>
      <w:tr w14:paraId="0DBDF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7ADD9554">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20</w:t>
            </w:r>
          </w:p>
        </w:tc>
        <w:tc>
          <w:tcPr>
            <w:tcW w:w="3075" w:type="dxa"/>
            <w:noWrap w:val="0"/>
            <w:vAlign w:val="center"/>
          </w:tcPr>
          <w:p w14:paraId="3C67D922">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响应文件开启时间和地点</w:t>
            </w:r>
          </w:p>
        </w:tc>
        <w:tc>
          <w:tcPr>
            <w:tcW w:w="5315" w:type="dxa"/>
            <w:noWrap w:val="0"/>
            <w:vAlign w:val="center"/>
          </w:tcPr>
          <w:p w14:paraId="48E32F7B">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开启时间：同提交响应文件截止时间</w:t>
            </w:r>
          </w:p>
          <w:p w14:paraId="1A600C02">
            <w:pPr>
              <w:pStyle w:val="13"/>
              <w:keepNext w:val="0"/>
              <w:keepLines w:val="0"/>
              <w:pageBreakBefore w:val="0"/>
              <w:widowControl w:val="0"/>
              <w:kinsoku/>
              <w:wordWrap/>
              <w:overflowPunct/>
              <w:topLinePunct w:val="0"/>
              <w:autoSpaceDE/>
              <w:autoSpaceDN/>
              <w:bidi w:val="0"/>
              <w:adjustRightInd/>
              <w:snapToGrid/>
              <w:spacing w:before="71"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开启地点：同响应文件提交地点</w:t>
            </w:r>
          </w:p>
        </w:tc>
      </w:tr>
      <w:tr w14:paraId="6E711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2006DFBE">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21</w:t>
            </w:r>
          </w:p>
        </w:tc>
        <w:tc>
          <w:tcPr>
            <w:tcW w:w="3075" w:type="dxa"/>
            <w:noWrap w:val="0"/>
            <w:vAlign w:val="center"/>
          </w:tcPr>
          <w:p w14:paraId="3BA02691">
            <w:pPr>
              <w:pStyle w:val="13"/>
              <w:keepNext w:val="0"/>
              <w:keepLines w:val="0"/>
              <w:pageBreakBefore w:val="0"/>
              <w:widowControl w:val="0"/>
              <w:kinsoku/>
              <w:wordWrap/>
              <w:overflowPunct/>
              <w:topLinePunct w:val="0"/>
              <w:autoSpaceDE/>
              <w:autoSpaceDN/>
              <w:bidi w:val="0"/>
              <w:adjustRightInd/>
              <w:snapToGrid/>
              <w:spacing w:before="158"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响应文件开启程序</w:t>
            </w:r>
          </w:p>
        </w:tc>
        <w:tc>
          <w:tcPr>
            <w:tcW w:w="5315" w:type="dxa"/>
            <w:noWrap w:val="0"/>
            <w:vAlign w:val="center"/>
          </w:tcPr>
          <w:p w14:paraId="68057EB7">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采购人根据有关规定在开标截止时间内组织评标专家到达开标地点。</w:t>
            </w:r>
          </w:p>
        </w:tc>
      </w:tr>
      <w:tr w14:paraId="53F2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023F8AFA">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22</w:t>
            </w:r>
          </w:p>
        </w:tc>
        <w:tc>
          <w:tcPr>
            <w:tcW w:w="3075" w:type="dxa"/>
            <w:noWrap w:val="0"/>
            <w:vAlign w:val="center"/>
          </w:tcPr>
          <w:p w14:paraId="0365D3FF">
            <w:pPr>
              <w:pStyle w:val="13"/>
              <w:keepNext w:val="0"/>
              <w:keepLines w:val="0"/>
              <w:pageBreakBefore w:val="0"/>
              <w:widowControl w:val="0"/>
              <w:kinsoku/>
              <w:wordWrap/>
              <w:overflowPunct/>
              <w:topLinePunct w:val="0"/>
              <w:autoSpaceDE/>
              <w:autoSpaceDN/>
              <w:bidi w:val="0"/>
              <w:adjustRightInd/>
              <w:snapToGrid/>
              <w:spacing w:before="1"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磋商小组的组建</w:t>
            </w:r>
          </w:p>
        </w:tc>
        <w:tc>
          <w:tcPr>
            <w:tcW w:w="5315" w:type="dxa"/>
            <w:noWrap w:val="0"/>
            <w:vAlign w:val="center"/>
          </w:tcPr>
          <w:p w14:paraId="1447595E">
            <w:pPr>
              <w:pStyle w:val="13"/>
              <w:keepNext w:val="0"/>
              <w:keepLines w:val="0"/>
              <w:pageBreakBefore w:val="0"/>
              <w:widowControl w:val="0"/>
              <w:kinsoku/>
              <w:wordWrap/>
              <w:overflowPunct/>
              <w:topLinePunct w:val="0"/>
              <w:autoSpaceDE/>
              <w:autoSpaceDN/>
              <w:bidi w:val="0"/>
              <w:adjustRightInd/>
              <w:snapToGrid/>
              <w:spacing w:before="32"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磋商小组的组成：由采购人代表选择专家组成。磋商小组的人数：3人或3人以上单数组成。</w:t>
            </w:r>
          </w:p>
        </w:tc>
      </w:tr>
      <w:tr w14:paraId="7AE32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375A4088">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23</w:t>
            </w:r>
          </w:p>
        </w:tc>
        <w:tc>
          <w:tcPr>
            <w:tcW w:w="3075" w:type="dxa"/>
            <w:noWrap w:val="0"/>
            <w:vAlign w:val="center"/>
          </w:tcPr>
          <w:p w14:paraId="79463A22">
            <w:pPr>
              <w:pStyle w:val="13"/>
              <w:keepNext w:val="0"/>
              <w:keepLines w:val="0"/>
              <w:pageBreakBefore w:val="0"/>
              <w:widowControl w:val="0"/>
              <w:kinsoku/>
              <w:wordWrap/>
              <w:overflowPunct/>
              <w:topLinePunct w:val="0"/>
              <w:autoSpaceDE/>
              <w:autoSpaceDN/>
              <w:bidi w:val="0"/>
              <w:adjustRightInd/>
              <w:snapToGrid/>
              <w:spacing w:before="117"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供应商家数</w:t>
            </w:r>
          </w:p>
        </w:tc>
        <w:tc>
          <w:tcPr>
            <w:tcW w:w="5315" w:type="dxa"/>
            <w:noWrap w:val="0"/>
            <w:vAlign w:val="center"/>
          </w:tcPr>
          <w:p w14:paraId="20B8DAED">
            <w:pPr>
              <w:pStyle w:val="13"/>
              <w:keepNext w:val="0"/>
              <w:keepLines w:val="0"/>
              <w:pageBreakBefore w:val="0"/>
              <w:widowControl w:val="0"/>
              <w:kinsoku/>
              <w:wordWrap/>
              <w:overflowPunct/>
              <w:topLinePunct w:val="0"/>
              <w:autoSpaceDE/>
              <w:autoSpaceDN/>
              <w:bidi w:val="0"/>
              <w:adjustRightInd/>
              <w:snapToGrid/>
              <w:spacing w:before="109"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参与竞争性磋商的供应商不得少于3家。</w:t>
            </w:r>
          </w:p>
        </w:tc>
      </w:tr>
      <w:tr w14:paraId="30586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6B857C9E">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24</w:t>
            </w:r>
          </w:p>
        </w:tc>
        <w:tc>
          <w:tcPr>
            <w:tcW w:w="3075" w:type="dxa"/>
            <w:noWrap w:val="0"/>
            <w:vAlign w:val="center"/>
          </w:tcPr>
          <w:p w14:paraId="05ABC637">
            <w:pPr>
              <w:pStyle w:val="13"/>
              <w:keepNext w:val="0"/>
              <w:keepLines w:val="0"/>
              <w:pageBreakBefore w:val="0"/>
              <w:widowControl w:val="0"/>
              <w:kinsoku/>
              <w:wordWrap/>
              <w:overflowPunct/>
              <w:topLinePunct w:val="0"/>
              <w:autoSpaceDE/>
              <w:autoSpaceDN/>
              <w:bidi w:val="0"/>
              <w:adjustRightInd/>
              <w:snapToGrid/>
              <w:spacing w:before="1" w:line="460" w:lineRule="exact"/>
              <w:ind w:hanging="21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确定提交最后报价的</w:t>
            </w:r>
          </w:p>
          <w:p w14:paraId="68BE84D3">
            <w:pPr>
              <w:pStyle w:val="13"/>
              <w:keepNext w:val="0"/>
              <w:keepLines w:val="0"/>
              <w:pageBreakBefore w:val="0"/>
              <w:widowControl w:val="0"/>
              <w:kinsoku/>
              <w:wordWrap/>
              <w:overflowPunct/>
              <w:topLinePunct w:val="0"/>
              <w:autoSpaceDE/>
              <w:autoSpaceDN/>
              <w:bidi w:val="0"/>
              <w:adjustRightInd/>
              <w:snapToGrid/>
              <w:spacing w:before="1" w:line="460" w:lineRule="exact"/>
              <w:ind w:hanging="21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rPr>
              <w:t>供应商</w:t>
            </w:r>
          </w:p>
        </w:tc>
        <w:tc>
          <w:tcPr>
            <w:tcW w:w="5315" w:type="dxa"/>
            <w:noWrap w:val="0"/>
            <w:vAlign w:val="center"/>
          </w:tcPr>
          <w:p w14:paraId="62715A50">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竞争性磋商文件能够详细列明采购标的的技术、服务要求，磋商结束后，磋商小组将要求所有实质性响应的供应商在规定时间内提交最后报价，提交最后报价的供应商家数不得少于3家。</w:t>
            </w:r>
          </w:p>
        </w:tc>
      </w:tr>
      <w:tr w14:paraId="4AFF4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7CAA6AC1">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25</w:t>
            </w:r>
          </w:p>
        </w:tc>
        <w:tc>
          <w:tcPr>
            <w:tcW w:w="3075" w:type="dxa"/>
            <w:noWrap w:val="0"/>
            <w:vAlign w:val="center"/>
          </w:tcPr>
          <w:p w14:paraId="44D10F78">
            <w:pPr>
              <w:pStyle w:val="13"/>
              <w:keepNext w:val="0"/>
              <w:keepLines w:val="0"/>
              <w:pageBreakBefore w:val="0"/>
              <w:widowControl w:val="0"/>
              <w:kinsoku/>
              <w:wordWrap/>
              <w:overflowPunct/>
              <w:topLinePunct w:val="0"/>
              <w:autoSpaceDE/>
              <w:autoSpaceDN/>
              <w:bidi w:val="0"/>
              <w:adjustRightInd/>
              <w:snapToGrid/>
              <w:spacing w:before="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报价轮次</w:t>
            </w:r>
          </w:p>
        </w:tc>
        <w:tc>
          <w:tcPr>
            <w:tcW w:w="5315" w:type="dxa"/>
            <w:noWrap w:val="0"/>
            <w:vAlign w:val="center"/>
          </w:tcPr>
          <w:p w14:paraId="098E1406">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一轮，各供应商首轮报价即最终报价。</w:t>
            </w:r>
          </w:p>
        </w:tc>
      </w:tr>
      <w:tr w14:paraId="23DA5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48119548">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26</w:t>
            </w:r>
          </w:p>
        </w:tc>
        <w:tc>
          <w:tcPr>
            <w:tcW w:w="3075" w:type="dxa"/>
            <w:noWrap w:val="0"/>
            <w:vAlign w:val="center"/>
          </w:tcPr>
          <w:p w14:paraId="49D61B0C">
            <w:pPr>
              <w:pStyle w:val="13"/>
              <w:keepNext w:val="0"/>
              <w:keepLines w:val="0"/>
              <w:pageBreakBefore w:val="0"/>
              <w:widowControl w:val="0"/>
              <w:kinsoku/>
              <w:wordWrap/>
              <w:overflowPunct/>
              <w:topLinePunct w:val="0"/>
              <w:autoSpaceDE/>
              <w:autoSpaceDN/>
              <w:bidi w:val="0"/>
              <w:adjustRightInd/>
              <w:snapToGrid/>
              <w:spacing w:before="48"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磋商小组推荐成交候选人的人数</w:t>
            </w:r>
          </w:p>
        </w:tc>
        <w:tc>
          <w:tcPr>
            <w:tcW w:w="5315" w:type="dxa"/>
            <w:noWrap w:val="0"/>
            <w:vAlign w:val="center"/>
          </w:tcPr>
          <w:p w14:paraId="34834FF1">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color w:val="auto"/>
                <w:sz w:val="28"/>
                <w:szCs w:val="28"/>
              </w:rPr>
              <w:t>磋商小组推荐的成交候选人数量：</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名</w:t>
            </w:r>
          </w:p>
        </w:tc>
      </w:tr>
      <w:tr w14:paraId="20643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717" w:type="dxa"/>
            <w:noWrap w:val="0"/>
            <w:vAlign w:val="center"/>
          </w:tcPr>
          <w:p w14:paraId="55F85FB8">
            <w:pPr>
              <w:pStyle w:val="13"/>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27</w:t>
            </w:r>
          </w:p>
        </w:tc>
        <w:tc>
          <w:tcPr>
            <w:tcW w:w="3075" w:type="dxa"/>
            <w:noWrap w:val="0"/>
            <w:vAlign w:val="center"/>
          </w:tcPr>
          <w:p w14:paraId="6AA263DD">
            <w:pPr>
              <w:pStyle w:val="13"/>
              <w:keepNext w:val="0"/>
              <w:keepLines w:val="0"/>
              <w:pageBreakBefore w:val="0"/>
              <w:widowControl w:val="0"/>
              <w:kinsoku/>
              <w:wordWrap/>
              <w:overflowPunct/>
              <w:topLinePunct w:val="0"/>
              <w:autoSpaceDE/>
              <w:autoSpaceDN/>
              <w:bidi w:val="0"/>
              <w:adjustRightInd/>
              <w:snapToGrid/>
              <w:spacing w:before="33" w:line="460" w:lineRule="exact"/>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合同形式</w:t>
            </w:r>
          </w:p>
        </w:tc>
        <w:tc>
          <w:tcPr>
            <w:tcW w:w="5315" w:type="dxa"/>
            <w:noWrap w:val="0"/>
            <w:vAlign w:val="center"/>
          </w:tcPr>
          <w:p w14:paraId="7E871497">
            <w:pPr>
              <w:pStyle w:val="13"/>
              <w:keepNext w:val="0"/>
              <w:keepLines w:val="0"/>
              <w:pageBreakBefore w:val="0"/>
              <w:widowControl w:val="0"/>
              <w:kinsoku/>
              <w:wordWrap/>
              <w:overflowPunct/>
              <w:topLinePunct w:val="0"/>
              <w:autoSpaceDE/>
              <w:autoSpaceDN/>
              <w:bidi w:val="0"/>
              <w:adjustRightInd/>
              <w:snapToGrid/>
              <w:spacing w:before="10" w:line="460" w:lineRule="exact"/>
              <w:ind w:firstLine="0" w:firstLineChars="0"/>
              <w:jc w:val="left"/>
              <w:textAlignment w:val="auto"/>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固定总价合同</w:t>
            </w:r>
          </w:p>
        </w:tc>
      </w:tr>
    </w:tbl>
    <w:p w14:paraId="0230CD7B">
      <w:pPr>
        <w:spacing w:line="266" w:lineRule="exact"/>
        <w:ind w:firstLine="420"/>
        <w:rPr>
          <w:sz w:val="21"/>
        </w:rPr>
        <w:sectPr>
          <w:footerReference r:id="rId3" w:type="default"/>
          <w:footerReference r:id="rId4" w:type="even"/>
          <w:pgSz w:w="11910" w:h="16840"/>
          <w:pgMar w:top="1984" w:right="1474" w:bottom="1871" w:left="1587" w:header="850" w:footer="1587" w:gutter="0"/>
          <w:pgNumType w:fmt="decimal" w:start="1"/>
          <w:cols w:space="720" w:num="1"/>
          <w:rtlGutter w:val="0"/>
          <w:docGrid w:linePitch="299" w:charSpace="0"/>
        </w:sectPr>
      </w:pPr>
    </w:p>
    <w:p w14:paraId="4584727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一、项目需求</w:t>
      </w:r>
    </w:p>
    <w:p w14:paraId="38CCBD4C">
      <w:pPr>
        <w:pStyle w:val="2"/>
        <w:ind w:firstLine="640" w:firstLineChars="200"/>
        <w:rPr>
          <w:rFonts w:hint="eastAsia" w:ascii="Times New Roman" w:hAnsi="Times New Roman" w:eastAsia="仿宋_GB2312" w:cs="Times New Roman"/>
          <w:b w:val="0"/>
          <w:kern w:val="2"/>
          <w:sz w:val="32"/>
          <w:szCs w:val="32"/>
          <w:highlight w:val="none"/>
          <w:lang w:val="en-US" w:eastAsia="zh-CN" w:bidi="ar-SA"/>
        </w:rPr>
      </w:pPr>
      <w:r>
        <w:rPr>
          <w:rFonts w:hint="default" w:ascii="Times New Roman" w:hAnsi="Times New Roman" w:eastAsia="仿宋_GB2312" w:cs="Times New Roman"/>
          <w:b w:val="0"/>
          <w:kern w:val="2"/>
          <w:sz w:val="32"/>
          <w:szCs w:val="32"/>
          <w:highlight w:val="none"/>
          <w:lang w:val="en-US" w:eastAsia="zh-CN" w:bidi="ar-SA"/>
        </w:rPr>
        <w:t>完成2026年全年共4次全市政务公开测评工作，对测评发现问题进行咨询答疑，并开展一对一整改培训，整改完毕后，测评机构对整改情况进行复测，并出具对应的淮北市政务公开工作专业机构测评报告</w:t>
      </w:r>
      <w:r>
        <w:rPr>
          <w:rFonts w:hint="eastAsia" w:ascii="Times New Roman" w:hAnsi="Times New Roman" w:eastAsia="仿宋_GB2312" w:cs="Times New Roman"/>
          <w:b w:val="0"/>
          <w:kern w:val="2"/>
          <w:sz w:val="32"/>
          <w:szCs w:val="32"/>
          <w:highlight w:val="none"/>
          <w:lang w:val="en-US" w:eastAsia="zh-CN" w:bidi="ar-SA"/>
        </w:rPr>
        <w:t>。</w:t>
      </w:r>
    </w:p>
    <w:p w14:paraId="7EC72EB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、项目内容</w:t>
      </w:r>
    </w:p>
    <w:p w14:paraId="6291132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sz w:val="32"/>
          <w:szCs w:val="32"/>
          <w:highlight w:val="none"/>
        </w:rPr>
        <w:t>（</w:t>
      </w:r>
      <w:r>
        <w:rPr>
          <w:rFonts w:hint="eastAsia" w:ascii="Times New Roman" w:hAnsi="Times New Roman" w:eastAsia="楷体_GB2312" w:cs="Times New Roman"/>
          <w:b/>
          <w:sz w:val="32"/>
          <w:szCs w:val="32"/>
          <w:highlight w:val="none"/>
          <w:lang w:val="en-US" w:eastAsia="zh-CN"/>
        </w:rPr>
        <w:t>一</w:t>
      </w:r>
      <w:r>
        <w:rPr>
          <w:rFonts w:hint="default" w:ascii="Times New Roman" w:hAnsi="Times New Roman" w:eastAsia="楷体_GB2312" w:cs="Times New Roman"/>
          <w:b/>
          <w:sz w:val="32"/>
          <w:szCs w:val="32"/>
          <w:highlight w:val="none"/>
        </w:rPr>
        <w:t>）测评范围：</w:t>
      </w:r>
      <w:r>
        <w:rPr>
          <w:rFonts w:hint="default" w:ascii="Times New Roman" w:hAnsi="Times New Roman" w:eastAsia="仿宋_GB2312" w:cs="Times New Roman"/>
          <w:color w:val="auto"/>
          <w:sz w:val="32"/>
          <w:szCs w:val="32"/>
          <w:highlight w:val="none"/>
        </w:rPr>
        <w:t>1个市本级、</w:t>
      </w:r>
      <w:r>
        <w:rPr>
          <w:rFonts w:hint="default" w:ascii="Times New Roman" w:hAnsi="Times New Roman" w:eastAsia="仿宋_GB2312" w:cs="Times New Roman"/>
          <w:color w:val="auto"/>
          <w:sz w:val="32"/>
          <w:szCs w:val="32"/>
          <w:highlight w:val="none"/>
          <w:lang w:val="en-US" w:eastAsia="zh-CN"/>
        </w:rPr>
        <w:t>43</w:t>
      </w:r>
      <w:r>
        <w:rPr>
          <w:rFonts w:hint="default" w:ascii="Times New Roman" w:hAnsi="Times New Roman" w:eastAsia="仿宋_GB2312" w:cs="Times New Roman"/>
          <w:color w:val="auto"/>
          <w:sz w:val="32"/>
          <w:szCs w:val="32"/>
          <w:highlight w:val="none"/>
        </w:rPr>
        <w:t>个市直部门、</w:t>
      </w:r>
      <w:r>
        <w:rPr>
          <w:rFonts w:hint="default" w:ascii="Times New Roman" w:hAnsi="Times New Roman" w:eastAsia="仿宋_GB2312" w:cs="Times New Roman"/>
          <w:color w:val="auto"/>
          <w:sz w:val="32"/>
          <w:szCs w:val="32"/>
          <w:highlight w:val="none"/>
          <w:lang w:val="en-US" w:eastAsia="zh-CN"/>
        </w:rPr>
        <w:t>14个公共企事业单位、</w:t>
      </w:r>
      <w:r>
        <w:rPr>
          <w:rFonts w:hint="default" w:ascii="Times New Roman" w:hAnsi="Times New Roman" w:eastAsia="仿宋_GB2312" w:cs="Times New Roman"/>
          <w:color w:val="auto"/>
          <w:sz w:val="32"/>
          <w:szCs w:val="32"/>
          <w:highlight w:val="none"/>
        </w:rPr>
        <w:t>4个县（区）</w:t>
      </w:r>
      <w:r>
        <w:rPr>
          <w:rFonts w:hint="default" w:ascii="Times New Roman" w:hAnsi="Times New Roman" w:eastAsia="仿宋_GB2312" w:cs="Times New Roman"/>
          <w:color w:val="auto"/>
          <w:sz w:val="32"/>
          <w:szCs w:val="32"/>
          <w:highlight w:val="none"/>
          <w:lang w:eastAsia="zh-CN"/>
        </w:rPr>
        <w:t>，抽查</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个县</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直部门和</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个乡镇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街道）</w:t>
      </w:r>
      <w:r>
        <w:rPr>
          <w:rFonts w:hint="default" w:ascii="Times New Roman" w:hAnsi="Times New Roman" w:eastAsia="仿宋_GB2312" w:cs="Times New Roman"/>
          <w:color w:val="auto"/>
          <w:sz w:val="32"/>
          <w:szCs w:val="32"/>
          <w:highlight w:val="none"/>
          <w:lang w:eastAsia="zh-CN"/>
        </w:rPr>
        <w:t>。</w:t>
      </w:r>
    </w:p>
    <w:p w14:paraId="7896EBD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w:t>
      </w:r>
      <w:r>
        <w:rPr>
          <w:rFonts w:hint="eastAsia" w:ascii="Times New Roman" w:hAnsi="Times New Roman" w:eastAsia="楷体_GB2312" w:cs="Times New Roman"/>
          <w:b/>
          <w:sz w:val="32"/>
          <w:szCs w:val="32"/>
          <w:highlight w:val="none"/>
          <w:lang w:val="en-US" w:eastAsia="zh-CN"/>
        </w:rPr>
        <w:t>二</w:t>
      </w:r>
      <w:r>
        <w:rPr>
          <w:rFonts w:hint="default" w:ascii="Times New Roman" w:hAnsi="Times New Roman" w:eastAsia="楷体_GB2312" w:cs="Times New Roman"/>
          <w:b/>
          <w:sz w:val="32"/>
          <w:szCs w:val="32"/>
          <w:highlight w:val="none"/>
        </w:rPr>
        <w:t>）测评方式及内容要求</w:t>
      </w:r>
    </w:p>
    <w:p w14:paraId="60B63A7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 测评方式</w:t>
      </w:r>
    </w:p>
    <w:p w14:paraId="7E9948D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通过浏览查阅政府网站、依申请公开模拟测试等方法，对各单位政府信息公开</w:t>
      </w:r>
      <w:r>
        <w:rPr>
          <w:rFonts w:hint="default" w:ascii="Times New Roman" w:hAnsi="Times New Roman" w:eastAsia="仿宋_GB2312" w:cs="Times New Roman"/>
          <w:sz w:val="32"/>
          <w:szCs w:val="32"/>
          <w:highlight w:val="none"/>
          <w:lang w:eastAsia="zh-CN"/>
        </w:rPr>
        <w:t>栏目</w:t>
      </w:r>
      <w:r>
        <w:rPr>
          <w:rFonts w:hint="default" w:ascii="Times New Roman" w:hAnsi="Times New Roman" w:eastAsia="仿宋_GB2312" w:cs="Times New Roman"/>
          <w:sz w:val="32"/>
          <w:szCs w:val="32"/>
          <w:highlight w:val="none"/>
        </w:rPr>
        <w:t>的内容保障情况进行动态监测，对测评对象的政务公开工作水平进行评估。</w:t>
      </w:r>
    </w:p>
    <w:p w14:paraId="0E60822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lang w:val="en-US" w:eastAsia="zh-CN"/>
        </w:rPr>
        <w:t xml:space="preserve">2. </w:t>
      </w:r>
      <w:r>
        <w:rPr>
          <w:rFonts w:hint="default" w:ascii="Times New Roman" w:hAnsi="Times New Roman" w:eastAsia="仿宋_GB2312" w:cs="Times New Roman"/>
          <w:b/>
          <w:sz w:val="32"/>
          <w:szCs w:val="32"/>
          <w:highlight w:val="none"/>
        </w:rPr>
        <w:t>工作内容</w:t>
      </w:r>
    </w:p>
    <w:p w14:paraId="2D6BDC3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sz w:val="32"/>
          <w:szCs w:val="32"/>
          <w:highlight w:val="none"/>
          <w:lang w:val="en-US" w:eastAsia="zh-CN"/>
        </w:rPr>
        <w:t>1）</w:t>
      </w:r>
      <w:r>
        <w:rPr>
          <w:rFonts w:hint="default" w:ascii="Times New Roman" w:hAnsi="Times New Roman" w:eastAsia="仿宋_GB2312" w:cs="Times New Roman"/>
          <w:b/>
          <w:sz w:val="32"/>
          <w:szCs w:val="32"/>
          <w:highlight w:val="none"/>
        </w:rPr>
        <w:t>指标体系设计：</w:t>
      </w:r>
      <w:r>
        <w:rPr>
          <w:rFonts w:hint="default" w:ascii="Times New Roman" w:hAnsi="Times New Roman" w:eastAsia="仿宋_GB2312" w:cs="Times New Roman"/>
          <w:sz w:val="32"/>
          <w:szCs w:val="32"/>
          <w:highlight w:val="none"/>
        </w:rPr>
        <w:t>根据</w:t>
      </w:r>
      <w:r>
        <w:rPr>
          <w:rFonts w:hint="default" w:ascii="Times New Roman" w:hAnsi="Times New Roman" w:eastAsia="仿宋_GB2312" w:cs="Times New Roman"/>
          <w:sz w:val="32"/>
          <w:szCs w:val="32"/>
          <w:highlight w:val="none"/>
          <w:lang w:val="en-US" w:eastAsia="zh-CN"/>
        </w:rPr>
        <w:t>当</w:t>
      </w:r>
      <w:r>
        <w:rPr>
          <w:rFonts w:hint="default" w:ascii="Times New Roman" w:hAnsi="Times New Roman" w:eastAsia="仿宋_GB2312" w:cs="Times New Roman"/>
          <w:sz w:val="32"/>
          <w:szCs w:val="32"/>
          <w:highlight w:val="none"/>
        </w:rPr>
        <w:t>年度政务公开工作要求</w:t>
      </w:r>
      <w:r>
        <w:rPr>
          <w:rFonts w:hint="default" w:ascii="Times New Roman" w:hAnsi="Times New Roman" w:eastAsia="仿宋" w:cs="Times New Roman"/>
          <w:bCs/>
          <w:color w:val="auto"/>
          <w:sz w:val="32"/>
          <w:szCs w:val="32"/>
          <w:lang w:val="en-US" w:eastAsia="zh-CN"/>
        </w:rPr>
        <w:t>和</w:t>
      </w:r>
      <w:r>
        <w:rPr>
          <w:rFonts w:hint="default" w:ascii="Times New Roman" w:hAnsi="Times New Roman" w:eastAsia="仿宋" w:cs="Times New Roman"/>
          <w:bCs/>
          <w:sz w:val="32"/>
          <w:szCs w:val="32"/>
          <w:lang w:eastAsia="zh-CN"/>
        </w:rPr>
        <w:t>中国政府透明度指数相关评估指标以及市政务公开办重点工作</w:t>
      </w:r>
      <w:r>
        <w:rPr>
          <w:rFonts w:hint="default" w:ascii="Times New Roman" w:hAnsi="Times New Roman" w:eastAsia="仿宋_GB2312" w:cs="Times New Roman"/>
          <w:sz w:val="32"/>
          <w:szCs w:val="32"/>
          <w:highlight w:val="none"/>
        </w:rPr>
        <w:t>，设计市政府政务公开指标体系、市直部门政务公开指标体系、县（区）政务公开指标体系、县（区）直部门政务公开指标体系、乡镇（街道）政务公开指标体系</w:t>
      </w:r>
      <w:r>
        <w:rPr>
          <w:rFonts w:hint="default" w:ascii="Times New Roman" w:hAnsi="Times New Roman" w:eastAsia="仿宋_GB2312" w:cs="Times New Roman"/>
          <w:sz w:val="32"/>
          <w:szCs w:val="32"/>
          <w:highlight w:val="none"/>
          <w:lang w:val="en-US" w:eastAsia="zh-CN"/>
        </w:rPr>
        <w:t>及公共企事业单位政务公开指标体系</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方案中应对各级指标体系</w:t>
      </w:r>
      <w:r>
        <w:rPr>
          <w:rFonts w:hint="default" w:ascii="Times New Roman" w:hAnsi="Times New Roman" w:eastAsia="仿宋_GB2312" w:cs="Times New Roman"/>
          <w:sz w:val="32"/>
          <w:szCs w:val="32"/>
          <w:highlight w:val="none"/>
        </w:rPr>
        <w:t>进行细化，合理设置测评权重。</w:t>
      </w:r>
    </w:p>
    <w:p w14:paraId="36590D5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sz w:val="32"/>
          <w:szCs w:val="32"/>
          <w:highlight w:val="none"/>
          <w:lang w:val="en-US" w:eastAsia="zh-CN"/>
        </w:rPr>
        <w:t>2）</w:t>
      </w:r>
      <w:r>
        <w:rPr>
          <w:rFonts w:hint="default" w:ascii="Times New Roman" w:hAnsi="Times New Roman" w:eastAsia="仿宋_GB2312" w:cs="Times New Roman"/>
          <w:b/>
          <w:sz w:val="32"/>
          <w:szCs w:val="32"/>
          <w:highlight w:val="none"/>
        </w:rPr>
        <w:t>监测评分：</w:t>
      </w:r>
      <w:r>
        <w:rPr>
          <w:rFonts w:hint="default" w:ascii="Times New Roman" w:hAnsi="Times New Roman" w:eastAsia="仿宋_GB2312" w:cs="Times New Roman"/>
          <w:sz w:val="32"/>
          <w:szCs w:val="32"/>
          <w:highlight w:val="none"/>
        </w:rPr>
        <w:t>测评</w:t>
      </w:r>
      <w:r>
        <w:rPr>
          <w:rFonts w:hint="default" w:ascii="Times New Roman" w:hAnsi="Times New Roman" w:eastAsia="仿宋_GB2312" w:cs="Times New Roman"/>
          <w:sz w:val="32"/>
          <w:szCs w:val="32"/>
          <w:highlight w:val="none"/>
          <w:lang w:val="en-US" w:eastAsia="zh-CN"/>
        </w:rPr>
        <w:t>应对照各级测评指标，对全市各测评主体政务公开工作开展测评，每次测评分为首次测评和复测两个环节。</w:t>
      </w:r>
      <w:r>
        <w:rPr>
          <w:rFonts w:hint="default" w:ascii="Times New Roman" w:hAnsi="Times New Roman" w:eastAsia="仿宋_GB2312" w:cs="Times New Roman"/>
          <w:sz w:val="32"/>
          <w:szCs w:val="32"/>
          <w:highlight w:val="none"/>
        </w:rPr>
        <w:t>开展依申请公开模拟测评，按评分标准对依申请公开指南、申请渠道畅通性、答复规范性进行评分。方案中应包含：详细的监测评分流程、详细的依申请公开测试流程。</w:t>
      </w:r>
    </w:p>
    <w:p w14:paraId="080B813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sz w:val="32"/>
          <w:szCs w:val="32"/>
          <w:highlight w:val="none"/>
          <w:lang w:val="en-US" w:eastAsia="zh-CN"/>
        </w:rPr>
        <w:t>3）</w:t>
      </w:r>
      <w:r>
        <w:rPr>
          <w:rFonts w:hint="default" w:ascii="Times New Roman" w:hAnsi="Times New Roman" w:eastAsia="仿宋_GB2312" w:cs="Times New Roman"/>
          <w:b/>
          <w:sz w:val="32"/>
          <w:szCs w:val="32"/>
          <w:highlight w:val="none"/>
        </w:rPr>
        <w:t>监测结果反馈：</w:t>
      </w:r>
      <w:r>
        <w:rPr>
          <w:rFonts w:hint="default" w:ascii="Times New Roman" w:hAnsi="Times New Roman" w:eastAsia="仿宋_GB2312" w:cs="Times New Roman"/>
          <w:sz w:val="32"/>
          <w:szCs w:val="32"/>
          <w:highlight w:val="none"/>
        </w:rPr>
        <w:t>测评结果按单位</w:t>
      </w:r>
      <w:r>
        <w:rPr>
          <w:rFonts w:hint="default" w:ascii="Times New Roman" w:hAnsi="Times New Roman" w:eastAsia="仿宋_GB2312" w:cs="Times New Roman"/>
          <w:sz w:val="32"/>
          <w:szCs w:val="32"/>
          <w:highlight w:val="none"/>
          <w:lang w:val="en-US" w:eastAsia="zh-CN"/>
        </w:rPr>
        <w:t>反馈《政务公开专业机构测评问题反馈明细单》，就问题截图、扣分说明并</w:t>
      </w:r>
      <w:r>
        <w:rPr>
          <w:rFonts w:hint="default" w:ascii="Times New Roman" w:hAnsi="Times New Roman" w:eastAsia="仿宋_GB2312" w:cs="Times New Roman"/>
          <w:sz w:val="32"/>
          <w:szCs w:val="32"/>
          <w:highlight w:val="none"/>
        </w:rPr>
        <w:t>提出整改建议，</w:t>
      </w:r>
      <w:r>
        <w:rPr>
          <w:rFonts w:hint="default" w:ascii="Times New Roman" w:hAnsi="Times New Roman" w:eastAsia="仿宋_GB2312" w:cs="Times New Roman"/>
          <w:sz w:val="32"/>
          <w:szCs w:val="32"/>
          <w:highlight w:val="none"/>
          <w:lang w:val="en-US" w:eastAsia="zh-CN"/>
        </w:rPr>
        <w:t>问题清单应清晰明了。整改测评完成后，出具《淮北市政务公开专业机构测评报告》，报告中含淮北市政务公开整体情况，阶段性测评情况，市直部门、县区政府政务公开排名和成绩，共性问题分析和后续合理化建议。</w:t>
      </w:r>
    </w:p>
    <w:p w14:paraId="5964F3E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（4）整改答疑：</w:t>
      </w:r>
      <w:r>
        <w:rPr>
          <w:rFonts w:hint="default" w:ascii="Times New Roman" w:hAnsi="Times New Roman" w:eastAsia="仿宋_GB2312" w:cs="Times New Roman"/>
          <w:sz w:val="32"/>
          <w:szCs w:val="32"/>
          <w:highlight w:val="none"/>
          <w:lang w:val="en-US" w:eastAsia="zh-CN"/>
        </w:rPr>
        <w:t>每次测评完成后，组织开展现场整改咨询答疑会，一对一咨询，了解各单位政务公开工作中的共性和特性问题，逐条整改。结合测评问题明细清单对当前政务公开情况提出整改建议，根据重点工作对应部门的主体责任，对测评重点做出分析和解答。</w:t>
      </w:r>
    </w:p>
    <w:p w14:paraId="3D53CA58">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sz w:val="32"/>
          <w:szCs w:val="32"/>
          <w:highlight w:val="none"/>
          <w:lang w:val="en-US" w:eastAsia="zh-CN"/>
        </w:rPr>
        <w:t>（5）整改复查：</w:t>
      </w:r>
      <w:r>
        <w:rPr>
          <w:rFonts w:hint="default" w:ascii="Times New Roman" w:hAnsi="Times New Roman" w:eastAsia="仿宋_GB2312" w:cs="Times New Roman"/>
          <w:sz w:val="32"/>
          <w:szCs w:val="32"/>
          <w:highlight w:val="none"/>
          <w:lang w:val="en-US" w:eastAsia="zh-CN"/>
        </w:rPr>
        <w:t>对测评中反馈的问题，在针对性指导后，组织对全市各测评主体进行</w:t>
      </w:r>
      <w:r>
        <w:rPr>
          <w:rFonts w:hint="default" w:ascii="Times New Roman" w:hAnsi="Times New Roman" w:eastAsia="仿宋_GB2312" w:cs="Times New Roman"/>
          <w:sz w:val="32"/>
          <w:szCs w:val="32"/>
          <w:highlight w:val="none"/>
        </w:rPr>
        <w:t>复核、检查、比对</w:t>
      </w:r>
      <w:r>
        <w:rPr>
          <w:rFonts w:hint="default" w:ascii="Times New Roman" w:hAnsi="Times New Roman" w:eastAsia="仿宋_GB2312" w:cs="Times New Roman"/>
          <w:sz w:val="32"/>
          <w:szCs w:val="32"/>
          <w:highlight w:val="none"/>
          <w:lang w:val="en-US" w:eastAsia="zh-CN"/>
        </w:rPr>
        <w:t>，跟踪整改情况，并及时向市政府办公室反馈。</w:t>
      </w:r>
    </w:p>
    <w:p w14:paraId="61BB8A9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sz w:val="32"/>
          <w:szCs w:val="32"/>
          <w:highlight w:val="none"/>
          <w:lang w:val="en-US" w:eastAsia="zh-CN"/>
        </w:rPr>
        <w:t>6）测评</w:t>
      </w:r>
      <w:r>
        <w:rPr>
          <w:rFonts w:hint="default" w:ascii="Times New Roman" w:hAnsi="Times New Roman" w:eastAsia="仿宋_GB2312" w:cs="Times New Roman"/>
          <w:b/>
          <w:sz w:val="32"/>
          <w:szCs w:val="32"/>
          <w:highlight w:val="none"/>
        </w:rPr>
        <w:t>报告：</w:t>
      </w:r>
      <w:r>
        <w:rPr>
          <w:rFonts w:hint="default" w:ascii="Times New Roman" w:hAnsi="Times New Roman" w:eastAsia="仿宋_GB2312" w:cs="Times New Roman"/>
          <w:sz w:val="32"/>
          <w:szCs w:val="32"/>
          <w:highlight w:val="none"/>
          <w:lang w:val="en-US" w:eastAsia="zh-CN"/>
        </w:rPr>
        <w:t>测评</w:t>
      </w:r>
      <w:r>
        <w:rPr>
          <w:rFonts w:hint="default" w:ascii="Times New Roman" w:hAnsi="Times New Roman" w:eastAsia="仿宋_GB2312" w:cs="Times New Roman"/>
          <w:sz w:val="32"/>
          <w:szCs w:val="32"/>
          <w:highlight w:val="none"/>
        </w:rPr>
        <w:t>结束后提供详细的</w:t>
      </w:r>
      <w:r>
        <w:rPr>
          <w:rFonts w:hint="default" w:ascii="Times New Roman" w:hAnsi="Times New Roman" w:eastAsia="仿宋_GB2312" w:cs="Times New Roman"/>
          <w:sz w:val="32"/>
          <w:szCs w:val="32"/>
          <w:highlight w:val="none"/>
          <w:lang w:val="en-US" w:eastAsia="zh-CN"/>
        </w:rPr>
        <w:t>测评</w:t>
      </w:r>
      <w:r>
        <w:rPr>
          <w:rFonts w:hint="default" w:ascii="Times New Roman" w:hAnsi="Times New Roman" w:eastAsia="仿宋_GB2312" w:cs="Times New Roman"/>
          <w:sz w:val="32"/>
          <w:szCs w:val="32"/>
          <w:highlight w:val="none"/>
        </w:rPr>
        <w:t>分析报告，</w:t>
      </w:r>
      <w:r>
        <w:rPr>
          <w:rFonts w:hint="default" w:ascii="Times New Roman" w:hAnsi="Times New Roman" w:eastAsia="仿宋_GB2312" w:cs="Times New Roman"/>
          <w:sz w:val="32"/>
          <w:szCs w:val="32"/>
          <w:highlight w:val="none"/>
          <w:lang w:val="en-US" w:eastAsia="zh-CN"/>
        </w:rPr>
        <w:t>测评</w:t>
      </w:r>
      <w:r>
        <w:rPr>
          <w:rFonts w:hint="default" w:ascii="Times New Roman" w:hAnsi="Times New Roman" w:eastAsia="仿宋_GB2312" w:cs="Times New Roman"/>
          <w:sz w:val="32"/>
          <w:szCs w:val="32"/>
          <w:highlight w:val="none"/>
        </w:rPr>
        <w:t>报告包含如下内容：</w:t>
      </w:r>
    </w:p>
    <w:p w14:paraId="4F628A7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①全市政务公开总体情况分析，市本级、市直部门、县</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本级、县</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rPr>
        <w:t>直部门、乡镇（街道）</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公共企事业单位</w:t>
      </w:r>
      <w:r>
        <w:rPr>
          <w:rFonts w:hint="default" w:ascii="Times New Roman" w:hAnsi="Times New Roman" w:eastAsia="仿宋_GB2312" w:cs="Times New Roman"/>
          <w:sz w:val="32"/>
          <w:szCs w:val="32"/>
          <w:highlight w:val="none"/>
        </w:rPr>
        <w:t>等</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个层级的问题情况分析。</w:t>
      </w:r>
    </w:p>
    <w:p w14:paraId="274E7CB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②从主动公开、</w:t>
      </w:r>
      <w:r>
        <w:rPr>
          <w:rFonts w:hint="default" w:ascii="Times New Roman" w:hAnsi="Times New Roman" w:eastAsia="仿宋_GB2312" w:cs="Times New Roman"/>
          <w:sz w:val="32"/>
          <w:szCs w:val="32"/>
          <w:highlight w:val="none"/>
          <w:lang w:val="en-US" w:eastAsia="zh-CN"/>
        </w:rPr>
        <w:t>政策解读</w:t>
      </w:r>
      <w:r>
        <w:rPr>
          <w:rFonts w:hint="default" w:ascii="Times New Roman" w:hAnsi="Times New Roman" w:eastAsia="仿宋_GB2312" w:cs="Times New Roman"/>
          <w:sz w:val="32"/>
          <w:szCs w:val="32"/>
          <w:highlight w:val="none"/>
        </w:rPr>
        <w:t>、依申请公开</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政府信息公开年报、</w:t>
      </w:r>
      <w:r>
        <w:rPr>
          <w:rFonts w:hint="default" w:ascii="Times New Roman" w:hAnsi="Times New Roman" w:eastAsia="仿宋_GB2312" w:cs="Times New Roman"/>
          <w:sz w:val="32"/>
          <w:szCs w:val="32"/>
          <w:highlight w:val="none"/>
          <w:lang w:eastAsia="zh-CN"/>
        </w:rPr>
        <w:t>回应关切</w:t>
      </w:r>
      <w:r>
        <w:rPr>
          <w:rFonts w:hint="default" w:ascii="Times New Roman" w:hAnsi="Times New Roman" w:eastAsia="仿宋_GB2312" w:cs="Times New Roman"/>
          <w:sz w:val="32"/>
          <w:szCs w:val="32"/>
          <w:highlight w:val="none"/>
        </w:rPr>
        <w:t>等方面分析存在</w:t>
      </w:r>
      <w:r>
        <w:rPr>
          <w:rFonts w:hint="default"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rPr>
        <w:t>共性问题。</w:t>
      </w:r>
    </w:p>
    <w:p w14:paraId="616741F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③根据测评结果存在共性问题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推荐</w:t>
      </w:r>
      <w:r>
        <w:rPr>
          <w:rFonts w:hint="default" w:ascii="Times New Roman" w:hAnsi="Times New Roman" w:eastAsia="仿宋_GB2312" w:cs="Times New Roman"/>
          <w:sz w:val="32"/>
          <w:szCs w:val="32"/>
          <w:highlight w:val="none"/>
          <w:lang w:eastAsia="zh-CN"/>
        </w:rPr>
        <w:t>整改</w:t>
      </w:r>
      <w:r>
        <w:rPr>
          <w:rFonts w:hint="default" w:ascii="Times New Roman" w:hAnsi="Times New Roman" w:eastAsia="仿宋_GB2312" w:cs="Times New Roman"/>
          <w:sz w:val="32"/>
          <w:szCs w:val="32"/>
          <w:highlight w:val="none"/>
        </w:rPr>
        <w:t>优秀案例并出具各单位测评分数排名等。</w:t>
      </w:r>
    </w:p>
    <w:p w14:paraId="2F687AA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、其他相关要求</w:t>
      </w:r>
    </w:p>
    <w:p w14:paraId="50BC810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 xml:space="preserve">1. </w:t>
      </w:r>
      <w:r>
        <w:rPr>
          <w:rFonts w:hint="default" w:ascii="Times New Roman" w:hAnsi="Times New Roman" w:eastAsia="仿宋_GB2312" w:cs="Times New Roman"/>
          <w:sz w:val="32"/>
          <w:szCs w:val="32"/>
          <w:highlight w:val="none"/>
        </w:rPr>
        <w:t>项目供应方应完成测评范围内所有网上测评工作</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提供客观详实的测评报告，</w:t>
      </w:r>
      <w:r>
        <w:rPr>
          <w:rFonts w:hint="default" w:ascii="Times New Roman" w:hAnsi="Times New Roman" w:eastAsia="仿宋_GB2312" w:cs="Times New Roman"/>
          <w:sz w:val="32"/>
          <w:szCs w:val="32"/>
          <w:highlight w:val="none"/>
        </w:rPr>
        <w:t>报告应包括被测评对象的《问题反馈单》和《政务公开测评分析报告》。</w:t>
      </w:r>
    </w:p>
    <w:p w14:paraId="3C48A9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国标黑体" w:hAnsi="国标黑体" w:eastAsia="国标黑体" w:cs="国标黑体"/>
          <w:color w:val="000000"/>
          <w:kern w:val="2"/>
          <w:sz w:val="32"/>
          <w:szCs w:val="32"/>
          <w:lang w:val="en-US" w:eastAsia="zh-CN"/>
        </w:rPr>
      </w:pPr>
      <w:r>
        <w:rPr>
          <w:rFonts w:hint="default" w:ascii="Times New Roman" w:hAnsi="Times New Roman" w:eastAsia="楷体_GB2312" w:cs="Times New Roman"/>
          <w:b w:val="0"/>
          <w:bCs/>
          <w:sz w:val="32"/>
          <w:szCs w:val="32"/>
          <w:highlight w:val="none"/>
          <w:lang w:val="en-US" w:eastAsia="zh-CN"/>
        </w:rPr>
        <w:t xml:space="preserve">2. </w:t>
      </w:r>
      <w:r>
        <w:rPr>
          <w:rFonts w:hint="default" w:ascii="Times New Roman" w:hAnsi="Times New Roman" w:eastAsia="仿宋_GB2312" w:cs="Times New Roman"/>
          <w:sz w:val="32"/>
          <w:szCs w:val="32"/>
          <w:highlight w:val="none"/>
        </w:rPr>
        <w:t>本项目的内容涉及淮北市政务公开的所有资料都视为淮北市人民政府办公室</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外事办公室）</w:t>
      </w:r>
      <w:r>
        <w:rPr>
          <w:rFonts w:hint="default" w:ascii="Times New Roman" w:hAnsi="Times New Roman" w:eastAsia="仿宋_GB2312" w:cs="Times New Roman"/>
          <w:sz w:val="32"/>
          <w:szCs w:val="32"/>
          <w:highlight w:val="none"/>
        </w:rPr>
        <w:t>拥有的政务秘密，投标人有责任和义务保证项目所涉及全部内容的保密和安全，不得在其他任何场合以任何手段使用。</w:t>
      </w:r>
    </w:p>
    <w:p w14:paraId="693D277C">
      <w:pPr>
        <w:pStyle w:val="8"/>
        <w:shd w:val="clear" w:color="auto" w:fill="FFFFFF"/>
        <w:spacing w:before="0" w:beforeAutospacing="0" w:after="0" w:afterAutospacing="0"/>
        <w:ind w:firstLine="640" w:firstLineChars="200"/>
        <w:rPr>
          <w:rFonts w:hint="eastAsia" w:ascii="国标黑体" w:hAnsi="国标黑体" w:eastAsia="国标黑体" w:cs="国标黑体"/>
          <w:color w:val="000000"/>
          <w:kern w:val="2"/>
          <w:sz w:val="32"/>
          <w:szCs w:val="32"/>
          <w:lang w:val="en-US" w:eastAsia="zh-CN"/>
        </w:rPr>
      </w:pPr>
      <w:r>
        <w:rPr>
          <w:rFonts w:hint="eastAsia" w:ascii="国标黑体" w:hAnsi="国标黑体" w:eastAsia="国标黑体" w:cs="国标黑体"/>
          <w:color w:val="000000"/>
          <w:kern w:val="2"/>
          <w:sz w:val="32"/>
          <w:szCs w:val="32"/>
          <w:lang w:val="en-US" w:eastAsia="zh-CN"/>
        </w:rPr>
        <w:t>四、磋商评审办法</w:t>
      </w:r>
    </w:p>
    <w:p w14:paraId="079FC37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bookmarkStart w:id="0" w:name="_Toc18626_WPSOffice_Level2"/>
      <w:r>
        <w:rPr>
          <w:rFonts w:hint="default" w:ascii="Times New Roman" w:hAnsi="Times New Roman" w:eastAsia="楷体_GB2312" w:cs="Times New Roman"/>
          <w:sz w:val="32"/>
          <w:szCs w:val="32"/>
          <w:highlight w:val="none"/>
          <w:lang w:val="en-US" w:eastAsia="zh-CN"/>
        </w:rPr>
        <w:t>（一）</w:t>
      </w:r>
      <w:r>
        <w:rPr>
          <w:rFonts w:hint="eastAsia" w:ascii="Times New Roman" w:hAnsi="Times New Roman" w:eastAsia="楷体_GB2312" w:cs="Times New Roman"/>
          <w:sz w:val="32"/>
          <w:szCs w:val="32"/>
          <w:highlight w:val="none"/>
          <w:lang w:val="en-US" w:eastAsia="zh-CN"/>
        </w:rPr>
        <w:t>磋商</w:t>
      </w:r>
      <w:r>
        <w:rPr>
          <w:rFonts w:hint="default" w:ascii="Times New Roman" w:hAnsi="Times New Roman" w:eastAsia="楷体_GB2312" w:cs="Times New Roman"/>
          <w:sz w:val="32"/>
          <w:szCs w:val="32"/>
          <w:highlight w:val="none"/>
          <w:lang w:val="en-US" w:eastAsia="zh-CN"/>
        </w:rPr>
        <w:t>文件评审办法</w:t>
      </w:r>
      <w:bookmarkEnd w:id="0"/>
    </w:p>
    <w:p w14:paraId="32B1631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磋商</w:t>
      </w:r>
      <w:r>
        <w:rPr>
          <w:rFonts w:hint="default" w:ascii="Times New Roman" w:hAnsi="Times New Roman" w:eastAsia="仿宋_GB2312" w:cs="Times New Roman"/>
          <w:sz w:val="32"/>
          <w:szCs w:val="32"/>
          <w:highlight w:val="none"/>
        </w:rPr>
        <w:t>按两阶段进行：初步评审和详细评审。</w:t>
      </w:r>
    </w:p>
    <w:p w14:paraId="2E8F4DD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以下涉及初步评审及详细评审的资料须提供复印件并加盖投标人单位公章放入投标文件（投标人提供的资料须清晰、明确、可辨认，否则</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可作出不利于投标人的决定）。</w:t>
      </w:r>
    </w:p>
    <w:p w14:paraId="7CDF355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bookmarkStart w:id="1" w:name="_Toc4062_WPSOffice_Level3"/>
      <w:r>
        <w:rPr>
          <w:rFonts w:hint="default" w:ascii="Times New Roman" w:hAnsi="Times New Roman" w:eastAsia="仿宋_GB2312" w:cs="Times New Roman"/>
          <w:sz w:val="32"/>
          <w:szCs w:val="32"/>
          <w:highlight w:val="none"/>
          <w:lang w:val="en-US" w:eastAsia="zh-CN"/>
        </w:rPr>
        <w:t xml:space="preserve">1. </w:t>
      </w:r>
      <w:r>
        <w:rPr>
          <w:rFonts w:hint="default" w:ascii="Times New Roman" w:hAnsi="Times New Roman" w:eastAsia="仿宋_GB2312" w:cs="Times New Roman"/>
          <w:sz w:val="32"/>
          <w:szCs w:val="32"/>
          <w:highlight w:val="none"/>
        </w:rPr>
        <w:t>初步评审</w:t>
      </w:r>
      <w:bookmarkEnd w:id="1"/>
    </w:p>
    <w:p w14:paraId="4A63083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小标宋_GBK" w:cs="Times New Roman"/>
          <w:color w:val="333333"/>
          <w:sz w:val="44"/>
          <w:szCs w:val="44"/>
          <w:highlight w:val="none"/>
        </w:rPr>
      </w:pPr>
      <w:r>
        <w:rPr>
          <w:rFonts w:hint="default" w:ascii="Times New Roman" w:hAnsi="Times New Roman" w:eastAsia="仿宋_GB2312" w:cs="Times New Roman"/>
          <w:sz w:val="32"/>
          <w:szCs w:val="32"/>
          <w:highlight w:val="none"/>
        </w:rPr>
        <w:t>初步评审（含资格审查）是指</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审查每一</w:t>
      </w:r>
      <w:r>
        <w:rPr>
          <w:rFonts w:hint="eastAsia" w:ascii="Times New Roman" w:hAnsi="Times New Roman" w:eastAsia="仿宋_GB2312" w:cs="Times New Roman"/>
          <w:sz w:val="32"/>
          <w:szCs w:val="32"/>
          <w:highlight w:val="none"/>
          <w:lang w:eastAsia="zh-CN"/>
        </w:rPr>
        <w:t>磋商</w:t>
      </w:r>
      <w:r>
        <w:rPr>
          <w:rFonts w:hint="default" w:ascii="Times New Roman" w:hAnsi="Times New Roman" w:eastAsia="仿宋_GB2312" w:cs="Times New Roman"/>
          <w:sz w:val="32"/>
          <w:szCs w:val="32"/>
          <w:highlight w:val="none"/>
        </w:rPr>
        <w:t>文件是否对</w:t>
      </w:r>
      <w:r>
        <w:rPr>
          <w:rFonts w:hint="eastAsia" w:ascii="Times New Roman" w:hAnsi="Times New Roman" w:eastAsia="仿宋_GB2312" w:cs="Times New Roman"/>
          <w:sz w:val="32"/>
          <w:szCs w:val="32"/>
          <w:highlight w:val="none"/>
          <w:lang w:val="en-US" w:eastAsia="zh-CN"/>
        </w:rPr>
        <w:t>采购</w:t>
      </w:r>
      <w:r>
        <w:rPr>
          <w:rFonts w:hint="default" w:ascii="Times New Roman" w:hAnsi="Times New Roman" w:eastAsia="仿宋_GB2312" w:cs="Times New Roman"/>
          <w:sz w:val="32"/>
          <w:szCs w:val="32"/>
          <w:highlight w:val="none"/>
        </w:rPr>
        <w:t>文件提出的所有实质性要求和条件作出响应，有无显著的差异或保留。</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将仅对在实质上响应</w:t>
      </w:r>
      <w:r>
        <w:rPr>
          <w:rFonts w:hint="eastAsia" w:ascii="Times New Roman" w:hAnsi="Times New Roman" w:eastAsia="仿宋_GB2312" w:cs="Times New Roman"/>
          <w:sz w:val="32"/>
          <w:szCs w:val="32"/>
          <w:highlight w:val="none"/>
          <w:lang w:eastAsia="zh-CN"/>
        </w:rPr>
        <w:t>采购</w:t>
      </w:r>
      <w:r>
        <w:rPr>
          <w:rFonts w:hint="default" w:ascii="Times New Roman" w:hAnsi="Times New Roman" w:eastAsia="仿宋_GB2312" w:cs="Times New Roman"/>
          <w:sz w:val="32"/>
          <w:szCs w:val="32"/>
          <w:highlight w:val="none"/>
        </w:rPr>
        <w:t>文件要求的合格</w:t>
      </w:r>
      <w:r>
        <w:rPr>
          <w:rFonts w:hint="eastAsia" w:ascii="Times New Roman" w:hAnsi="Times New Roman" w:eastAsia="仿宋_GB2312" w:cs="Times New Roman"/>
          <w:sz w:val="32"/>
          <w:szCs w:val="32"/>
          <w:highlight w:val="none"/>
          <w:lang w:eastAsia="zh-CN"/>
        </w:rPr>
        <w:t>磋商</w:t>
      </w:r>
      <w:r>
        <w:rPr>
          <w:rFonts w:hint="default" w:ascii="Times New Roman" w:hAnsi="Times New Roman" w:eastAsia="仿宋_GB2312" w:cs="Times New Roman"/>
          <w:sz w:val="32"/>
          <w:szCs w:val="32"/>
          <w:highlight w:val="none"/>
        </w:rPr>
        <w:t>（有效）文件进行评估和比较。并根据以下标准对各投标人进行初步评审，有一项不符合评审标准的，作无效标处理，不进入详细评审。</w:t>
      </w:r>
    </w:p>
    <w:p w14:paraId="23B65E63">
      <w:pPr>
        <w:keepNext w:val="0"/>
        <w:keepLines w:val="0"/>
        <w:pageBreakBefore w:val="0"/>
        <w:kinsoku/>
        <w:wordWrap/>
        <w:overflowPunct/>
        <w:topLinePunct w:val="0"/>
        <w:autoSpaceDE/>
        <w:autoSpaceDN/>
        <w:bidi w:val="0"/>
        <w:spacing w:line="560" w:lineRule="exact"/>
        <w:jc w:val="center"/>
        <w:textAlignment w:val="auto"/>
        <w:rPr>
          <w:rFonts w:hint="eastAsia" w:ascii="Times New Roman" w:hAnsi="Times New Roman" w:eastAsia="方正小标宋_GBK" w:cs="Times New Roman"/>
          <w:color w:val="333333"/>
          <w:sz w:val="36"/>
          <w:szCs w:val="36"/>
          <w:highlight w:val="none"/>
          <w:lang w:eastAsia="zh-CN"/>
        </w:rPr>
      </w:pPr>
      <w:r>
        <w:rPr>
          <w:rFonts w:hint="default" w:ascii="Times New Roman" w:hAnsi="Times New Roman" w:eastAsia="方正小标宋_GBK" w:cs="Times New Roman"/>
          <w:color w:val="333333"/>
          <w:sz w:val="36"/>
          <w:szCs w:val="36"/>
          <w:highlight w:val="none"/>
        </w:rPr>
        <w:t>初步评审</w:t>
      </w:r>
      <w:r>
        <w:rPr>
          <w:rFonts w:hint="eastAsia" w:ascii="Times New Roman" w:hAnsi="Times New Roman" w:eastAsia="方正小标宋_GBK" w:cs="Times New Roman"/>
          <w:color w:val="333333"/>
          <w:sz w:val="36"/>
          <w:szCs w:val="36"/>
          <w:highlight w:val="none"/>
          <w:lang w:eastAsia="zh-CN"/>
        </w:rPr>
        <w:t>标准</w:t>
      </w:r>
    </w:p>
    <w:tbl>
      <w:tblPr>
        <w:tblStyle w:val="10"/>
        <w:tblW w:w="90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1"/>
        <w:gridCol w:w="1918"/>
        <w:gridCol w:w="4928"/>
      </w:tblGrid>
      <w:tr w14:paraId="0963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224D5DB7">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color w:val="333333"/>
                <w:kern w:val="0"/>
                <w:sz w:val="28"/>
                <w:szCs w:val="28"/>
                <w:highlight w:val="none"/>
              </w:rPr>
            </w:pPr>
            <w:r>
              <w:rPr>
                <w:rFonts w:hint="default" w:ascii="Times New Roman" w:hAnsi="Times New Roman" w:eastAsia="黑体" w:cs="Times New Roman"/>
                <w:color w:val="333333"/>
                <w:kern w:val="0"/>
                <w:sz w:val="28"/>
                <w:szCs w:val="28"/>
                <w:highlight w:val="none"/>
              </w:rPr>
              <w:t>序号</w:t>
            </w:r>
          </w:p>
        </w:tc>
        <w:tc>
          <w:tcPr>
            <w:tcW w:w="1371" w:type="dxa"/>
            <w:tcBorders>
              <w:top w:val="single" w:color="auto" w:sz="4" w:space="0"/>
              <w:left w:val="nil"/>
              <w:bottom w:val="single" w:color="auto" w:sz="4" w:space="0"/>
              <w:right w:val="single" w:color="auto" w:sz="4" w:space="0"/>
            </w:tcBorders>
            <w:noWrap w:val="0"/>
            <w:vAlign w:val="center"/>
          </w:tcPr>
          <w:p w14:paraId="1835C221">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指标名称</w:t>
            </w:r>
          </w:p>
        </w:tc>
        <w:tc>
          <w:tcPr>
            <w:tcW w:w="1918" w:type="dxa"/>
            <w:tcBorders>
              <w:top w:val="single" w:color="auto" w:sz="4" w:space="0"/>
              <w:left w:val="nil"/>
              <w:bottom w:val="single" w:color="auto" w:sz="4" w:space="0"/>
              <w:right w:val="single" w:color="auto" w:sz="4" w:space="0"/>
            </w:tcBorders>
            <w:noWrap w:val="0"/>
            <w:vAlign w:val="center"/>
          </w:tcPr>
          <w:p w14:paraId="2FFD4C2B">
            <w:pPr>
              <w:keepNext w:val="0"/>
              <w:keepLines w:val="0"/>
              <w:pageBreakBefore w:val="0"/>
              <w:kinsoku/>
              <w:wordWrap/>
              <w:overflowPunct/>
              <w:topLinePunct w:val="0"/>
              <w:autoSpaceDE/>
              <w:autoSpaceDN/>
              <w:bidi w:val="0"/>
              <w:spacing w:line="560" w:lineRule="exact"/>
              <w:ind w:right="-10"/>
              <w:jc w:val="center"/>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评审因素</w:t>
            </w:r>
          </w:p>
        </w:tc>
        <w:tc>
          <w:tcPr>
            <w:tcW w:w="4928" w:type="dxa"/>
            <w:tcBorders>
              <w:top w:val="single" w:color="auto" w:sz="4" w:space="0"/>
              <w:left w:val="nil"/>
              <w:bottom w:val="single" w:color="auto" w:sz="4" w:space="0"/>
              <w:right w:val="single" w:color="auto" w:sz="4" w:space="0"/>
            </w:tcBorders>
            <w:noWrap w:val="0"/>
            <w:vAlign w:val="center"/>
          </w:tcPr>
          <w:p w14:paraId="211A8160">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评审标准</w:t>
            </w:r>
          </w:p>
        </w:tc>
      </w:tr>
      <w:tr w14:paraId="21C7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817" w:type="dxa"/>
            <w:vMerge w:val="restart"/>
            <w:tcBorders>
              <w:top w:val="nil"/>
              <w:left w:val="single" w:color="auto" w:sz="4" w:space="0"/>
              <w:bottom w:val="single" w:color="auto" w:sz="4" w:space="0"/>
              <w:right w:val="single" w:color="auto" w:sz="4" w:space="0"/>
            </w:tcBorders>
            <w:noWrap w:val="0"/>
            <w:vAlign w:val="center"/>
          </w:tcPr>
          <w:p w14:paraId="61CA774D">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color w:val="333333"/>
                <w:kern w:val="0"/>
                <w:sz w:val="24"/>
                <w:szCs w:val="24"/>
                <w:highlight w:val="none"/>
              </w:rPr>
            </w:pPr>
            <w:r>
              <w:rPr>
                <w:rFonts w:hint="default" w:ascii="Times New Roman" w:hAnsi="Times New Roman" w:eastAsia="黑体" w:cs="Times New Roman"/>
                <w:color w:val="333333"/>
                <w:kern w:val="0"/>
                <w:sz w:val="24"/>
                <w:szCs w:val="24"/>
                <w:highlight w:val="none"/>
              </w:rPr>
              <w:t>1</w:t>
            </w:r>
          </w:p>
        </w:tc>
        <w:tc>
          <w:tcPr>
            <w:tcW w:w="1371" w:type="dxa"/>
            <w:vMerge w:val="restart"/>
            <w:tcBorders>
              <w:top w:val="nil"/>
              <w:left w:val="nil"/>
              <w:bottom w:val="single" w:color="auto" w:sz="4" w:space="0"/>
              <w:right w:val="single" w:color="auto" w:sz="4" w:space="0"/>
            </w:tcBorders>
            <w:noWrap w:val="0"/>
            <w:vAlign w:val="center"/>
          </w:tcPr>
          <w:p w14:paraId="4B26EA6F">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仿宋" w:cs="Times New Roman"/>
                <w:bCs/>
                <w:kern w:val="2"/>
                <w:sz w:val="24"/>
                <w:szCs w:val="24"/>
                <w:highlight w:val="none"/>
                <w:lang w:val="en-US" w:eastAsia="zh-CN" w:bidi="ar-SA"/>
              </w:rPr>
            </w:pPr>
            <w:r>
              <w:rPr>
                <w:rFonts w:hint="default" w:ascii="Times New Roman" w:hAnsi="Times New Roman" w:eastAsia="仿宋" w:cs="Times New Roman"/>
                <w:bCs/>
                <w:kern w:val="2"/>
                <w:sz w:val="24"/>
                <w:szCs w:val="24"/>
                <w:highlight w:val="none"/>
                <w:lang w:val="en-US" w:eastAsia="zh-CN" w:bidi="ar-SA"/>
              </w:rPr>
              <w:t>形式</w:t>
            </w:r>
          </w:p>
          <w:p w14:paraId="4E4CE807">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 w:cs="Times New Roman"/>
                <w:bCs/>
                <w:kern w:val="2"/>
                <w:sz w:val="24"/>
                <w:szCs w:val="24"/>
                <w:highlight w:val="none"/>
                <w:lang w:val="en-US" w:eastAsia="zh-CN" w:bidi="ar-SA"/>
              </w:rPr>
              <w:t>评审</w:t>
            </w:r>
          </w:p>
        </w:tc>
        <w:tc>
          <w:tcPr>
            <w:tcW w:w="1918" w:type="dxa"/>
            <w:tcBorders>
              <w:top w:val="single" w:color="auto" w:sz="4" w:space="0"/>
              <w:left w:val="nil"/>
              <w:bottom w:val="single" w:color="auto" w:sz="4" w:space="0"/>
              <w:right w:val="single" w:color="auto" w:sz="4" w:space="0"/>
            </w:tcBorders>
            <w:noWrap w:val="0"/>
            <w:vAlign w:val="center"/>
          </w:tcPr>
          <w:p w14:paraId="435FF9B4">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投标人名称</w:t>
            </w:r>
          </w:p>
        </w:tc>
        <w:tc>
          <w:tcPr>
            <w:tcW w:w="4928" w:type="dxa"/>
            <w:tcBorders>
              <w:top w:val="single" w:color="auto" w:sz="4" w:space="0"/>
              <w:left w:val="nil"/>
              <w:bottom w:val="single" w:color="auto" w:sz="4" w:space="0"/>
              <w:right w:val="single" w:color="auto" w:sz="4" w:space="0"/>
            </w:tcBorders>
            <w:noWrap w:val="0"/>
            <w:vAlign w:val="center"/>
          </w:tcPr>
          <w:p w14:paraId="29BFC8AD">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与营业执照一致。</w:t>
            </w:r>
          </w:p>
        </w:tc>
      </w:tr>
      <w:tr w14:paraId="1A2B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trPr>
        <w:tc>
          <w:tcPr>
            <w:tcW w:w="817" w:type="dxa"/>
            <w:vMerge w:val="continue"/>
            <w:tcBorders>
              <w:top w:val="nil"/>
              <w:left w:val="single" w:color="auto" w:sz="4" w:space="0"/>
              <w:bottom w:val="single" w:color="auto" w:sz="4" w:space="0"/>
              <w:right w:val="single" w:color="auto" w:sz="4" w:space="0"/>
            </w:tcBorders>
            <w:noWrap w:val="0"/>
            <w:vAlign w:val="center"/>
          </w:tcPr>
          <w:p w14:paraId="0219219D">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333333"/>
                <w:kern w:val="0"/>
                <w:sz w:val="24"/>
                <w:szCs w:val="24"/>
                <w:highlight w:val="none"/>
              </w:rPr>
            </w:pPr>
          </w:p>
        </w:tc>
        <w:tc>
          <w:tcPr>
            <w:tcW w:w="1371" w:type="dxa"/>
            <w:vMerge w:val="continue"/>
            <w:tcBorders>
              <w:top w:val="nil"/>
              <w:left w:val="nil"/>
              <w:bottom w:val="single" w:color="auto" w:sz="4" w:space="0"/>
              <w:right w:val="single" w:color="auto" w:sz="4" w:space="0"/>
            </w:tcBorders>
            <w:noWrap w:val="0"/>
            <w:vAlign w:val="center"/>
          </w:tcPr>
          <w:p w14:paraId="2746AEBA">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仿宋_GB2312" w:cs="Times New Roman"/>
                <w:kern w:val="0"/>
                <w:sz w:val="24"/>
                <w:szCs w:val="24"/>
              </w:rPr>
            </w:pPr>
          </w:p>
        </w:tc>
        <w:tc>
          <w:tcPr>
            <w:tcW w:w="1918" w:type="dxa"/>
            <w:tcBorders>
              <w:top w:val="single" w:color="auto" w:sz="4" w:space="0"/>
              <w:left w:val="nil"/>
              <w:bottom w:val="single" w:color="auto" w:sz="4" w:space="0"/>
              <w:right w:val="single" w:color="auto" w:sz="4" w:space="0"/>
            </w:tcBorders>
            <w:noWrap w:val="0"/>
            <w:vAlign w:val="center"/>
          </w:tcPr>
          <w:p w14:paraId="68782F0D">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法定代表人身份证明、委托代理人有效身份证明及其法定代表人的授权委托书</w:t>
            </w:r>
          </w:p>
        </w:tc>
        <w:tc>
          <w:tcPr>
            <w:tcW w:w="4928" w:type="dxa"/>
            <w:tcBorders>
              <w:top w:val="single" w:color="auto" w:sz="4" w:space="0"/>
              <w:left w:val="nil"/>
              <w:bottom w:val="single" w:color="auto" w:sz="4" w:space="0"/>
              <w:right w:val="single" w:color="auto" w:sz="4" w:space="0"/>
            </w:tcBorders>
            <w:noWrap w:val="0"/>
            <w:vAlign w:val="center"/>
          </w:tcPr>
          <w:p w14:paraId="03EF93A0">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法定代表人身份证明、授权委托书签字</w:t>
            </w:r>
            <w:r>
              <w:rPr>
                <w:rFonts w:hint="eastAsia" w:ascii="Times New Roman" w:hAnsi="Times New Roman" w:eastAsia="仿宋" w:cs="Times New Roman"/>
                <w:bCs/>
                <w:sz w:val="24"/>
                <w:szCs w:val="24"/>
                <w:highlight w:val="none"/>
                <w:lang w:eastAsia="zh-CN"/>
              </w:rPr>
              <w:t>或</w:t>
            </w:r>
            <w:r>
              <w:rPr>
                <w:rFonts w:hint="default" w:ascii="Times New Roman" w:hAnsi="Times New Roman" w:eastAsia="仿宋" w:cs="Times New Roman"/>
                <w:bCs/>
                <w:sz w:val="24"/>
                <w:szCs w:val="24"/>
                <w:highlight w:val="none"/>
                <w:lang w:eastAsia="zh-CN"/>
              </w:rPr>
              <w:t>盖章。</w:t>
            </w:r>
          </w:p>
        </w:tc>
      </w:tr>
      <w:tr w14:paraId="60E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817" w:type="dxa"/>
            <w:vMerge w:val="continue"/>
            <w:tcBorders>
              <w:top w:val="nil"/>
              <w:left w:val="single" w:color="auto" w:sz="4" w:space="0"/>
              <w:bottom w:val="single" w:color="auto" w:sz="4" w:space="0"/>
              <w:right w:val="single" w:color="auto" w:sz="4" w:space="0"/>
            </w:tcBorders>
            <w:noWrap w:val="0"/>
            <w:vAlign w:val="center"/>
          </w:tcPr>
          <w:p w14:paraId="18B434FD">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333333"/>
                <w:kern w:val="0"/>
                <w:sz w:val="24"/>
                <w:szCs w:val="24"/>
                <w:highlight w:val="none"/>
              </w:rPr>
            </w:pPr>
          </w:p>
        </w:tc>
        <w:tc>
          <w:tcPr>
            <w:tcW w:w="1371" w:type="dxa"/>
            <w:vMerge w:val="continue"/>
            <w:tcBorders>
              <w:top w:val="nil"/>
              <w:left w:val="nil"/>
              <w:bottom w:val="single" w:color="auto" w:sz="4" w:space="0"/>
              <w:right w:val="single" w:color="auto" w:sz="4" w:space="0"/>
            </w:tcBorders>
            <w:noWrap w:val="0"/>
            <w:vAlign w:val="center"/>
          </w:tcPr>
          <w:p w14:paraId="5328DDA0">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仿宋_GB2312" w:cs="Times New Roman"/>
                <w:kern w:val="0"/>
                <w:sz w:val="24"/>
                <w:szCs w:val="24"/>
              </w:rPr>
            </w:pPr>
          </w:p>
        </w:tc>
        <w:tc>
          <w:tcPr>
            <w:tcW w:w="1918" w:type="dxa"/>
            <w:tcBorders>
              <w:top w:val="single" w:color="auto" w:sz="4" w:space="0"/>
              <w:left w:val="nil"/>
              <w:bottom w:val="single" w:color="auto" w:sz="4" w:space="0"/>
              <w:right w:val="single" w:color="auto" w:sz="4" w:space="0"/>
            </w:tcBorders>
            <w:noWrap w:val="0"/>
            <w:vAlign w:val="center"/>
          </w:tcPr>
          <w:p w14:paraId="714949C4">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投标文件份数</w:t>
            </w:r>
          </w:p>
        </w:tc>
        <w:tc>
          <w:tcPr>
            <w:tcW w:w="4928" w:type="dxa"/>
            <w:tcBorders>
              <w:top w:val="single" w:color="auto" w:sz="4" w:space="0"/>
              <w:left w:val="nil"/>
              <w:bottom w:val="single" w:color="auto" w:sz="4" w:space="0"/>
              <w:right w:val="single" w:color="auto" w:sz="4" w:space="0"/>
            </w:tcBorders>
            <w:noWrap w:val="0"/>
            <w:vAlign w:val="center"/>
          </w:tcPr>
          <w:p w14:paraId="64C42E7D">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符合招标文件要求。</w:t>
            </w:r>
          </w:p>
        </w:tc>
      </w:tr>
      <w:tr w14:paraId="339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 w:hRule="atLeast"/>
        </w:trPr>
        <w:tc>
          <w:tcPr>
            <w:tcW w:w="817" w:type="dxa"/>
            <w:vMerge w:val="restart"/>
            <w:tcBorders>
              <w:top w:val="nil"/>
              <w:left w:val="single" w:color="auto" w:sz="4" w:space="0"/>
              <w:bottom w:val="single" w:color="auto" w:sz="4" w:space="0"/>
              <w:right w:val="single" w:color="auto" w:sz="4" w:space="0"/>
            </w:tcBorders>
            <w:noWrap w:val="0"/>
            <w:vAlign w:val="center"/>
          </w:tcPr>
          <w:p w14:paraId="099CF5C7">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color w:val="333333"/>
                <w:kern w:val="0"/>
                <w:sz w:val="24"/>
                <w:szCs w:val="24"/>
                <w:highlight w:val="none"/>
              </w:rPr>
            </w:pPr>
            <w:r>
              <w:rPr>
                <w:rFonts w:hint="default" w:ascii="Times New Roman" w:hAnsi="Times New Roman" w:eastAsia="黑体" w:cs="Times New Roman"/>
                <w:color w:val="333333"/>
                <w:kern w:val="0"/>
                <w:sz w:val="24"/>
                <w:szCs w:val="24"/>
                <w:highlight w:val="none"/>
              </w:rPr>
              <w:t>2</w:t>
            </w:r>
          </w:p>
        </w:tc>
        <w:tc>
          <w:tcPr>
            <w:tcW w:w="1371" w:type="dxa"/>
            <w:vMerge w:val="restart"/>
            <w:tcBorders>
              <w:top w:val="nil"/>
              <w:left w:val="nil"/>
              <w:bottom w:val="single" w:color="auto" w:sz="4" w:space="0"/>
              <w:right w:val="single" w:color="auto" w:sz="4" w:space="0"/>
            </w:tcBorders>
            <w:noWrap w:val="0"/>
            <w:vAlign w:val="center"/>
          </w:tcPr>
          <w:p w14:paraId="5C2D4207">
            <w:pPr>
              <w:keepNext w:val="0"/>
              <w:keepLines w:val="0"/>
              <w:pageBreakBefore w:val="0"/>
              <w:kinsoku/>
              <w:wordWrap/>
              <w:overflowPunct/>
              <w:topLinePunct w:val="0"/>
              <w:autoSpaceDE/>
              <w:autoSpaceDN/>
              <w:bidi w:val="0"/>
              <w:spacing w:line="560" w:lineRule="exact"/>
              <w:ind w:right="-10"/>
              <w:jc w:val="center"/>
              <w:textAlignment w:val="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资格</w:t>
            </w:r>
          </w:p>
          <w:p w14:paraId="179B2387">
            <w:pPr>
              <w:keepNext w:val="0"/>
              <w:keepLines w:val="0"/>
              <w:pageBreakBefore w:val="0"/>
              <w:kinsoku/>
              <w:wordWrap/>
              <w:overflowPunct/>
              <w:topLinePunct w:val="0"/>
              <w:autoSpaceDE/>
              <w:autoSpaceDN/>
              <w:bidi w:val="0"/>
              <w:spacing w:line="560" w:lineRule="exact"/>
              <w:ind w:right="-10"/>
              <w:jc w:val="center"/>
              <w:textAlignment w:val="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评审</w:t>
            </w:r>
          </w:p>
        </w:tc>
        <w:tc>
          <w:tcPr>
            <w:tcW w:w="1918" w:type="dxa"/>
            <w:tcBorders>
              <w:top w:val="single" w:color="auto" w:sz="4" w:space="0"/>
              <w:left w:val="nil"/>
              <w:bottom w:val="single" w:color="auto" w:sz="4" w:space="0"/>
              <w:right w:val="single" w:color="auto" w:sz="4" w:space="0"/>
            </w:tcBorders>
            <w:noWrap w:val="0"/>
            <w:vAlign w:val="center"/>
          </w:tcPr>
          <w:p w14:paraId="1EA233A8">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营业执照</w:t>
            </w:r>
          </w:p>
        </w:tc>
        <w:tc>
          <w:tcPr>
            <w:tcW w:w="4928" w:type="dxa"/>
            <w:tcBorders>
              <w:top w:val="single" w:color="auto" w:sz="4" w:space="0"/>
              <w:left w:val="nil"/>
              <w:bottom w:val="single" w:color="auto" w:sz="4" w:space="0"/>
              <w:right w:val="single" w:color="auto" w:sz="4" w:space="0"/>
            </w:tcBorders>
            <w:noWrap w:val="0"/>
            <w:vAlign w:val="center"/>
          </w:tcPr>
          <w:p w14:paraId="7846392F">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提供有效营业执照</w:t>
            </w:r>
          </w:p>
        </w:tc>
      </w:tr>
      <w:tr w14:paraId="5B17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 w:hRule="atLeast"/>
        </w:trPr>
        <w:tc>
          <w:tcPr>
            <w:tcW w:w="817" w:type="dxa"/>
            <w:vMerge w:val="continue"/>
            <w:tcBorders>
              <w:top w:val="nil"/>
              <w:left w:val="single" w:color="auto" w:sz="4" w:space="0"/>
              <w:bottom w:val="single" w:color="auto" w:sz="4" w:space="0"/>
              <w:right w:val="single" w:color="auto" w:sz="4" w:space="0"/>
            </w:tcBorders>
            <w:noWrap w:val="0"/>
            <w:vAlign w:val="center"/>
          </w:tcPr>
          <w:p w14:paraId="0880F7F5">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333333"/>
                <w:kern w:val="0"/>
                <w:sz w:val="24"/>
                <w:szCs w:val="24"/>
                <w:highlight w:val="none"/>
              </w:rPr>
            </w:pPr>
          </w:p>
        </w:tc>
        <w:tc>
          <w:tcPr>
            <w:tcW w:w="1371" w:type="dxa"/>
            <w:vMerge w:val="continue"/>
            <w:tcBorders>
              <w:top w:val="nil"/>
              <w:left w:val="nil"/>
              <w:bottom w:val="single" w:color="auto" w:sz="4" w:space="0"/>
              <w:right w:val="single" w:color="auto" w:sz="4" w:space="0"/>
            </w:tcBorders>
            <w:noWrap w:val="0"/>
            <w:vAlign w:val="center"/>
          </w:tcPr>
          <w:p w14:paraId="3B0D3E45">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仿宋" w:cs="Times New Roman"/>
                <w:sz w:val="24"/>
                <w:szCs w:val="24"/>
                <w:highlight w:val="none"/>
              </w:rPr>
            </w:pPr>
          </w:p>
        </w:tc>
        <w:tc>
          <w:tcPr>
            <w:tcW w:w="1918" w:type="dxa"/>
            <w:tcBorders>
              <w:top w:val="single" w:color="auto" w:sz="4" w:space="0"/>
              <w:left w:val="nil"/>
              <w:bottom w:val="single" w:color="auto" w:sz="4" w:space="0"/>
              <w:right w:val="single" w:color="auto" w:sz="4" w:space="0"/>
            </w:tcBorders>
            <w:noWrap w:val="0"/>
            <w:vAlign w:val="center"/>
          </w:tcPr>
          <w:p w14:paraId="7ED05D6C">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信用要求</w:t>
            </w:r>
          </w:p>
        </w:tc>
        <w:tc>
          <w:tcPr>
            <w:tcW w:w="4928" w:type="dxa"/>
            <w:tcBorders>
              <w:top w:val="single" w:color="auto" w:sz="4" w:space="0"/>
              <w:left w:val="nil"/>
              <w:bottom w:val="single" w:color="auto" w:sz="4" w:space="0"/>
              <w:right w:val="single" w:color="auto" w:sz="4" w:space="0"/>
            </w:tcBorders>
            <w:noWrap w:val="0"/>
            <w:vAlign w:val="center"/>
          </w:tcPr>
          <w:p w14:paraId="332BAE72">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到投标截止时间，投标人不得存在以下四种情形之一（提供“信用中国”网站（www.creditchina.gov.cn）的截图）：</w:t>
            </w:r>
          </w:p>
          <w:p w14:paraId="04B999AD">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①投标人被人民法院列入失信被执行人的；</w:t>
            </w:r>
          </w:p>
          <w:p w14:paraId="5C570B80">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②投标人被工商行政管理部门列入企业经营异常名录的</w:t>
            </w:r>
          </w:p>
          <w:p w14:paraId="45931568">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③投标人被税务部门列入重大税收违法案件当事人名单的；</w:t>
            </w:r>
          </w:p>
          <w:p w14:paraId="1A61FE92">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④投标人被政府采购监管部门列入政府采购严重违法失信行为记录名单的。</w:t>
            </w:r>
          </w:p>
        </w:tc>
      </w:tr>
      <w:tr w14:paraId="35E6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817" w:type="dxa"/>
            <w:vMerge w:val="continue"/>
            <w:tcBorders>
              <w:top w:val="nil"/>
              <w:left w:val="single" w:color="auto" w:sz="4" w:space="0"/>
              <w:bottom w:val="single" w:color="auto" w:sz="4" w:space="0"/>
              <w:right w:val="single" w:color="auto" w:sz="4" w:space="0"/>
            </w:tcBorders>
            <w:noWrap w:val="0"/>
            <w:vAlign w:val="center"/>
          </w:tcPr>
          <w:p w14:paraId="40664AB5">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color w:val="333333"/>
                <w:kern w:val="0"/>
                <w:sz w:val="24"/>
                <w:szCs w:val="24"/>
                <w:highlight w:val="none"/>
              </w:rPr>
            </w:pPr>
          </w:p>
        </w:tc>
        <w:tc>
          <w:tcPr>
            <w:tcW w:w="1371" w:type="dxa"/>
            <w:vMerge w:val="continue"/>
            <w:tcBorders>
              <w:top w:val="nil"/>
              <w:left w:val="nil"/>
              <w:bottom w:val="single" w:color="auto" w:sz="4" w:space="0"/>
              <w:right w:val="single" w:color="auto" w:sz="4" w:space="0"/>
            </w:tcBorders>
            <w:noWrap w:val="0"/>
            <w:vAlign w:val="center"/>
          </w:tcPr>
          <w:p w14:paraId="45356F1C">
            <w:pPr>
              <w:keepNext w:val="0"/>
              <w:keepLines w:val="0"/>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仿宋" w:cs="Times New Roman"/>
                <w:sz w:val="24"/>
                <w:szCs w:val="24"/>
                <w:highlight w:val="none"/>
              </w:rPr>
            </w:pPr>
          </w:p>
        </w:tc>
        <w:tc>
          <w:tcPr>
            <w:tcW w:w="1918" w:type="dxa"/>
            <w:tcBorders>
              <w:top w:val="single" w:color="auto" w:sz="4" w:space="0"/>
              <w:left w:val="nil"/>
              <w:bottom w:val="single" w:color="auto" w:sz="4" w:space="0"/>
              <w:right w:val="single" w:color="auto" w:sz="4" w:space="0"/>
            </w:tcBorders>
            <w:noWrap w:val="0"/>
            <w:vAlign w:val="center"/>
          </w:tcPr>
          <w:p w14:paraId="31C083EA">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其他要求</w:t>
            </w:r>
          </w:p>
        </w:tc>
        <w:tc>
          <w:tcPr>
            <w:tcW w:w="4928" w:type="dxa"/>
            <w:tcBorders>
              <w:top w:val="single" w:color="auto" w:sz="4" w:space="0"/>
              <w:left w:val="nil"/>
              <w:bottom w:val="single" w:color="auto" w:sz="4" w:space="0"/>
              <w:right w:val="single" w:color="auto" w:sz="4" w:space="0"/>
            </w:tcBorders>
            <w:noWrap w:val="0"/>
            <w:vAlign w:val="center"/>
          </w:tcPr>
          <w:p w14:paraId="4BBE896C">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招标文件其他实质性规定。</w:t>
            </w:r>
          </w:p>
        </w:tc>
      </w:tr>
      <w:tr w14:paraId="0700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817" w:type="dxa"/>
            <w:vMerge w:val="restart"/>
            <w:tcBorders>
              <w:top w:val="nil"/>
              <w:left w:val="single" w:color="auto" w:sz="4" w:space="0"/>
              <w:bottom w:val="single" w:color="auto" w:sz="4" w:space="0"/>
              <w:right w:val="single" w:color="auto" w:sz="4" w:space="0"/>
            </w:tcBorders>
            <w:noWrap w:val="0"/>
            <w:vAlign w:val="center"/>
          </w:tcPr>
          <w:p w14:paraId="575427D2">
            <w:pPr>
              <w:keepNext w:val="0"/>
              <w:keepLines w:val="0"/>
              <w:pageBreakBefore w:val="0"/>
              <w:kinsoku/>
              <w:wordWrap/>
              <w:overflowPunct/>
              <w:topLinePunct w:val="0"/>
              <w:autoSpaceDE/>
              <w:autoSpaceDN/>
              <w:bidi w:val="0"/>
              <w:adjustRightInd w:val="0"/>
              <w:snapToGrid w:val="0"/>
              <w:spacing w:line="560" w:lineRule="exact"/>
              <w:ind w:right="-10"/>
              <w:jc w:val="center"/>
              <w:textAlignment w:val="auto"/>
              <w:rPr>
                <w:rFonts w:hint="default" w:ascii="Times New Roman" w:hAnsi="Times New Roman" w:eastAsia="黑体" w:cs="Times New Roman"/>
                <w:color w:val="333333"/>
                <w:kern w:val="0"/>
                <w:sz w:val="24"/>
                <w:szCs w:val="24"/>
                <w:highlight w:val="none"/>
              </w:rPr>
            </w:pPr>
            <w:r>
              <w:rPr>
                <w:rFonts w:hint="default" w:ascii="Times New Roman" w:hAnsi="Times New Roman" w:eastAsia="黑体" w:cs="Times New Roman"/>
                <w:color w:val="333333"/>
                <w:kern w:val="0"/>
                <w:sz w:val="24"/>
                <w:szCs w:val="24"/>
                <w:highlight w:val="none"/>
              </w:rPr>
              <w:t>3</w:t>
            </w:r>
          </w:p>
        </w:tc>
        <w:tc>
          <w:tcPr>
            <w:tcW w:w="1371" w:type="dxa"/>
            <w:vMerge w:val="restart"/>
            <w:tcBorders>
              <w:top w:val="nil"/>
              <w:left w:val="nil"/>
              <w:bottom w:val="single" w:color="auto" w:sz="4" w:space="0"/>
              <w:right w:val="single" w:color="auto" w:sz="4" w:space="0"/>
            </w:tcBorders>
            <w:noWrap w:val="0"/>
            <w:vAlign w:val="center"/>
          </w:tcPr>
          <w:p w14:paraId="489BF727">
            <w:pPr>
              <w:keepNext w:val="0"/>
              <w:keepLines w:val="0"/>
              <w:pageBreakBefore w:val="0"/>
              <w:kinsoku/>
              <w:wordWrap/>
              <w:overflowPunct/>
              <w:topLinePunct w:val="0"/>
              <w:autoSpaceDE/>
              <w:autoSpaceDN/>
              <w:bidi w:val="0"/>
              <w:spacing w:line="560" w:lineRule="exact"/>
              <w:ind w:right="-10"/>
              <w:jc w:val="center"/>
              <w:textAlignment w:val="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响应性</w:t>
            </w:r>
          </w:p>
          <w:p w14:paraId="73560A5A">
            <w:pPr>
              <w:keepNext w:val="0"/>
              <w:keepLines w:val="0"/>
              <w:pageBreakBefore w:val="0"/>
              <w:kinsoku/>
              <w:wordWrap/>
              <w:overflowPunct/>
              <w:topLinePunct w:val="0"/>
              <w:autoSpaceDE/>
              <w:autoSpaceDN/>
              <w:bidi w:val="0"/>
              <w:spacing w:line="560" w:lineRule="exact"/>
              <w:ind w:right="-10"/>
              <w:jc w:val="center"/>
              <w:textAlignment w:val="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评审</w:t>
            </w:r>
          </w:p>
        </w:tc>
        <w:tc>
          <w:tcPr>
            <w:tcW w:w="1918" w:type="dxa"/>
            <w:tcBorders>
              <w:top w:val="single" w:color="auto" w:sz="4" w:space="0"/>
              <w:left w:val="nil"/>
              <w:bottom w:val="single" w:color="auto" w:sz="4" w:space="0"/>
              <w:right w:val="single" w:color="auto" w:sz="4" w:space="0"/>
            </w:tcBorders>
            <w:noWrap w:val="0"/>
            <w:vAlign w:val="center"/>
          </w:tcPr>
          <w:p w14:paraId="36D4AD61">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服务期限要求</w:t>
            </w:r>
          </w:p>
        </w:tc>
        <w:tc>
          <w:tcPr>
            <w:tcW w:w="4928" w:type="dxa"/>
            <w:tcBorders>
              <w:top w:val="single" w:color="auto" w:sz="4" w:space="0"/>
              <w:left w:val="nil"/>
              <w:bottom w:val="single" w:color="auto" w:sz="4" w:space="0"/>
              <w:right w:val="single" w:color="auto" w:sz="4" w:space="0"/>
            </w:tcBorders>
            <w:noWrap w:val="0"/>
            <w:vAlign w:val="center"/>
          </w:tcPr>
          <w:p w14:paraId="121F191C">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不允许偏离的，应符合招标文件的要求。</w:t>
            </w:r>
          </w:p>
        </w:tc>
      </w:tr>
      <w:tr w14:paraId="588E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817" w:type="dxa"/>
            <w:vMerge w:val="continue"/>
            <w:tcBorders>
              <w:top w:val="nil"/>
              <w:left w:val="single" w:color="auto" w:sz="4" w:space="0"/>
              <w:bottom w:val="single" w:color="auto" w:sz="4" w:space="0"/>
              <w:right w:val="single" w:color="auto" w:sz="4" w:space="0"/>
            </w:tcBorders>
            <w:noWrap w:val="0"/>
            <w:vAlign w:val="center"/>
          </w:tcPr>
          <w:p w14:paraId="307F53A1">
            <w:pPr>
              <w:keepNext w:val="0"/>
              <w:keepLines w:val="0"/>
              <w:pageBreakBefore w:val="0"/>
              <w:widowControl/>
              <w:kinsoku/>
              <w:wordWrap/>
              <w:overflowPunct/>
              <w:topLinePunct w:val="0"/>
              <w:autoSpaceDE/>
              <w:autoSpaceDN/>
              <w:bidi w:val="0"/>
              <w:spacing w:line="560" w:lineRule="exact"/>
              <w:jc w:val="both"/>
              <w:textAlignment w:val="auto"/>
              <w:rPr>
                <w:rFonts w:hint="default" w:ascii="Times New Roman" w:hAnsi="Times New Roman" w:eastAsia="仿宋" w:cs="Times New Roman"/>
                <w:color w:val="333333"/>
                <w:kern w:val="0"/>
                <w:sz w:val="24"/>
                <w:szCs w:val="24"/>
                <w:highlight w:val="none"/>
              </w:rPr>
            </w:pPr>
          </w:p>
        </w:tc>
        <w:tc>
          <w:tcPr>
            <w:tcW w:w="1371" w:type="dxa"/>
            <w:vMerge w:val="continue"/>
            <w:tcBorders>
              <w:top w:val="nil"/>
              <w:left w:val="nil"/>
              <w:bottom w:val="single" w:color="auto" w:sz="4" w:space="0"/>
              <w:right w:val="single" w:color="auto" w:sz="4" w:space="0"/>
            </w:tcBorders>
            <w:noWrap w:val="0"/>
            <w:vAlign w:val="center"/>
          </w:tcPr>
          <w:p w14:paraId="04454D74">
            <w:pPr>
              <w:keepNext w:val="0"/>
              <w:keepLines w:val="0"/>
              <w:pageBreakBefore w:val="0"/>
              <w:widowControl/>
              <w:kinsoku/>
              <w:wordWrap/>
              <w:overflowPunct/>
              <w:topLinePunct w:val="0"/>
              <w:autoSpaceDE/>
              <w:autoSpaceDN/>
              <w:bidi w:val="0"/>
              <w:spacing w:line="560" w:lineRule="exact"/>
              <w:jc w:val="both"/>
              <w:textAlignment w:val="auto"/>
              <w:rPr>
                <w:rFonts w:hint="default" w:ascii="Times New Roman" w:hAnsi="Times New Roman" w:eastAsia="仿宋" w:cs="Times New Roman"/>
                <w:sz w:val="24"/>
                <w:szCs w:val="24"/>
                <w:highlight w:val="none"/>
              </w:rPr>
            </w:pPr>
          </w:p>
        </w:tc>
        <w:tc>
          <w:tcPr>
            <w:tcW w:w="1918" w:type="dxa"/>
            <w:tcBorders>
              <w:top w:val="single" w:color="auto" w:sz="4" w:space="0"/>
              <w:left w:val="nil"/>
              <w:bottom w:val="single" w:color="auto" w:sz="4" w:space="0"/>
              <w:right w:val="single" w:color="auto" w:sz="4" w:space="0"/>
            </w:tcBorders>
            <w:noWrap w:val="0"/>
            <w:vAlign w:val="center"/>
          </w:tcPr>
          <w:p w14:paraId="489BD217">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书面承诺</w:t>
            </w:r>
          </w:p>
        </w:tc>
        <w:tc>
          <w:tcPr>
            <w:tcW w:w="4928" w:type="dxa"/>
            <w:tcBorders>
              <w:top w:val="single" w:color="auto" w:sz="4" w:space="0"/>
              <w:left w:val="nil"/>
              <w:bottom w:val="single" w:color="auto" w:sz="4" w:space="0"/>
              <w:right w:val="single" w:color="auto" w:sz="4" w:space="0"/>
            </w:tcBorders>
            <w:noWrap w:val="0"/>
            <w:vAlign w:val="center"/>
          </w:tcPr>
          <w:p w14:paraId="16394A1B">
            <w:pPr>
              <w:pStyle w:val="13"/>
              <w:numPr>
                <w:ilvl w:val="0"/>
                <w:numId w:val="0"/>
              </w:numPr>
              <w:snapToGrid w:val="0"/>
              <w:ind w:leftChars="0"/>
              <w:jc w:val="left"/>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提供完全响应招标技术、服务需求的书面承诺函。</w:t>
            </w:r>
          </w:p>
        </w:tc>
      </w:tr>
    </w:tbl>
    <w:p w14:paraId="6C31D8E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firstLine="320" w:firstLineChars="100"/>
        <w:jc w:val="both"/>
        <w:textAlignment w:val="auto"/>
        <w:rPr>
          <w:rFonts w:hint="default" w:ascii="Times New Roman" w:hAnsi="Times New Roman" w:eastAsia="仿宋_GB2312" w:cs="Times New Roman"/>
          <w:sz w:val="32"/>
          <w:szCs w:val="32"/>
          <w:highlight w:val="none"/>
        </w:rPr>
      </w:pPr>
      <w:bookmarkStart w:id="2" w:name="_Toc18626_WPSOffice_Level3"/>
      <w:r>
        <w:rPr>
          <w:rFonts w:hint="default" w:ascii="Times New Roman" w:hAnsi="Times New Roman" w:eastAsia="仿宋_GB2312" w:cs="Times New Roman"/>
          <w:sz w:val="32"/>
          <w:szCs w:val="32"/>
          <w:highlight w:val="none"/>
          <w:lang w:val="en-US" w:eastAsia="zh-CN"/>
        </w:rPr>
        <w:t xml:space="preserve">2. </w:t>
      </w:r>
      <w:r>
        <w:rPr>
          <w:rFonts w:hint="default" w:ascii="Times New Roman" w:hAnsi="Times New Roman" w:eastAsia="仿宋_GB2312" w:cs="Times New Roman"/>
          <w:sz w:val="32"/>
          <w:szCs w:val="32"/>
          <w:highlight w:val="none"/>
        </w:rPr>
        <w:t>详细评审</w:t>
      </w:r>
      <w:bookmarkEnd w:id="2"/>
    </w:p>
    <w:p w14:paraId="151D676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采取</w:t>
      </w:r>
      <w:r>
        <w:rPr>
          <w:rFonts w:hint="default" w:ascii="Times New Roman" w:hAnsi="Times New Roman" w:eastAsia="仿宋_GB2312" w:cs="Times New Roman"/>
          <w:sz w:val="32"/>
          <w:szCs w:val="32"/>
          <w:highlight w:val="none"/>
        </w:rPr>
        <w:t>综合评分法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经初步评审合格的</w:t>
      </w:r>
      <w:r>
        <w:rPr>
          <w:rFonts w:hint="eastAsia" w:ascii="Times New Roman" w:hAnsi="Times New Roman" w:eastAsia="仿宋_GB2312" w:cs="Times New Roman"/>
          <w:sz w:val="32"/>
          <w:szCs w:val="32"/>
          <w:highlight w:val="none"/>
          <w:lang w:eastAsia="zh-CN"/>
        </w:rPr>
        <w:t>磋商</w:t>
      </w:r>
      <w:r>
        <w:rPr>
          <w:rFonts w:hint="default" w:ascii="Times New Roman" w:hAnsi="Times New Roman" w:eastAsia="仿宋_GB2312" w:cs="Times New Roman"/>
          <w:sz w:val="32"/>
          <w:szCs w:val="32"/>
          <w:highlight w:val="none"/>
        </w:rPr>
        <w:t>文件，</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应当根据</w:t>
      </w:r>
      <w:r>
        <w:rPr>
          <w:rFonts w:hint="eastAsia" w:ascii="Times New Roman" w:hAnsi="Times New Roman" w:eastAsia="仿宋_GB2312" w:cs="Times New Roman"/>
          <w:sz w:val="32"/>
          <w:szCs w:val="32"/>
          <w:highlight w:val="none"/>
          <w:lang w:eastAsia="zh-CN"/>
        </w:rPr>
        <w:t>采购</w:t>
      </w:r>
      <w:r>
        <w:rPr>
          <w:rFonts w:hint="default" w:ascii="Times New Roman" w:hAnsi="Times New Roman" w:eastAsia="仿宋_GB2312" w:cs="Times New Roman"/>
          <w:sz w:val="32"/>
          <w:szCs w:val="32"/>
          <w:highlight w:val="none"/>
        </w:rPr>
        <w:t>文件确定的评标办法，对其作进一步评审、比较，在最大限度地满足</w:t>
      </w:r>
      <w:r>
        <w:rPr>
          <w:rFonts w:hint="eastAsia" w:ascii="Times New Roman" w:hAnsi="Times New Roman" w:eastAsia="仿宋_GB2312" w:cs="Times New Roman"/>
          <w:sz w:val="32"/>
          <w:szCs w:val="32"/>
          <w:highlight w:val="none"/>
          <w:lang w:eastAsia="zh-CN"/>
        </w:rPr>
        <w:t>采购</w:t>
      </w:r>
      <w:r>
        <w:rPr>
          <w:rFonts w:hint="default" w:ascii="Times New Roman" w:hAnsi="Times New Roman" w:eastAsia="仿宋_GB2312" w:cs="Times New Roman"/>
          <w:sz w:val="32"/>
          <w:szCs w:val="32"/>
          <w:highlight w:val="none"/>
        </w:rPr>
        <w:t>文件实质性要求前提下，按照</w:t>
      </w:r>
      <w:r>
        <w:rPr>
          <w:rFonts w:hint="eastAsia" w:ascii="Times New Roman" w:hAnsi="Times New Roman" w:eastAsia="仿宋_GB2312" w:cs="Times New Roman"/>
          <w:sz w:val="32"/>
          <w:szCs w:val="32"/>
          <w:highlight w:val="none"/>
          <w:lang w:eastAsia="zh-CN"/>
        </w:rPr>
        <w:t>采购</w:t>
      </w:r>
      <w:r>
        <w:rPr>
          <w:rFonts w:hint="default" w:ascii="Times New Roman" w:hAnsi="Times New Roman" w:eastAsia="仿宋_GB2312" w:cs="Times New Roman"/>
          <w:sz w:val="32"/>
          <w:szCs w:val="32"/>
          <w:highlight w:val="none"/>
        </w:rPr>
        <w:t>文件中规定的各项因素进行详细评审，根据投标人最终得分（商务技术部分得分+投标报价部分得分）由高到低向招标人推荐不超过两名有排序的中标候选人。评标办法采用100分制计分法，评分标准</w:t>
      </w:r>
      <w:r>
        <w:rPr>
          <w:rFonts w:hint="default" w:ascii="Times New Roman" w:hAnsi="Times New Roman" w:eastAsia="仿宋_GB2312" w:cs="Times New Roman"/>
          <w:sz w:val="32"/>
          <w:szCs w:val="32"/>
          <w:highlight w:val="none"/>
          <w:lang w:val="en-US" w:eastAsia="zh-CN"/>
        </w:rPr>
        <w:t>详见。</w:t>
      </w:r>
    </w:p>
    <w:p w14:paraId="11826B9B">
      <w:pPr>
        <w:pStyle w:val="2"/>
        <w:rPr>
          <w:rFonts w:hint="default"/>
          <w:lang w:val="en-US" w:eastAsia="zh-CN"/>
        </w:rPr>
      </w:pPr>
    </w:p>
    <w:p w14:paraId="42FC1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color w:val="333333"/>
          <w:sz w:val="36"/>
          <w:szCs w:val="36"/>
          <w:highlight w:val="none"/>
        </w:rPr>
      </w:pPr>
      <w:r>
        <w:rPr>
          <w:rFonts w:hint="default" w:ascii="Times New Roman" w:hAnsi="Times New Roman" w:eastAsia="方正小标宋_GBK" w:cs="Times New Roman"/>
          <w:color w:val="333333"/>
          <w:sz w:val="36"/>
          <w:szCs w:val="36"/>
          <w:highlight w:val="none"/>
        </w:rPr>
        <w:t>评分标准</w:t>
      </w:r>
    </w:p>
    <w:tbl>
      <w:tblPr>
        <w:tblStyle w:val="10"/>
        <w:tblpPr w:leftFromText="180" w:rightFromText="180" w:vertAnchor="text" w:horzAnchor="page" w:tblpX="1764" w:tblpY="453"/>
        <w:tblOverlap w:val="never"/>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9"/>
        <w:gridCol w:w="1570"/>
        <w:gridCol w:w="5376"/>
        <w:gridCol w:w="859"/>
      </w:tblGrid>
      <w:tr w14:paraId="6310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14870F3D">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国标黑体" w:cs="Times New Roman"/>
                <w:b w:val="0"/>
                <w:bCs/>
                <w:sz w:val="28"/>
                <w:szCs w:val="28"/>
                <w:lang w:eastAsia="zh-CN"/>
              </w:rPr>
            </w:pPr>
            <w:r>
              <w:rPr>
                <w:rFonts w:hint="default" w:ascii="Times New Roman" w:hAnsi="Times New Roman" w:eastAsia="国标黑体" w:cs="Times New Roman"/>
                <w:b w:val="0"/>
                <w:bCs/>
                <w:sz w:val="28"/>
                <w:szCs w:val="28"/>
                <w:lang w:eastAsia="zh-CN"/>
              </w:rPr>
              <w:t>序号</w:t>
            </w:r>
          </w:p>
        </w:tc>
        <w:tc>
          <w:tcPr>
            <w:tcW w:w="936" w:type="pct"/>
            <w:noWrap w:val="0"/>
            <w:vAlign w:val="center"/>
          </w:tcPr>
          <w:p w14:paraId="2AFC911D">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国标黑体" w:cs="Times New Roman"/>
                <w:b w:val="0"/>
                <w:bCs/>
                <w:sz w:val="28"/>
                <w:szCs w:val="28"/>
                <w:lang w:eastAsia="zh-CN"/>
              </w:rPr>
            </w:pPr>
            <w:r>
              <w:rPr>
                <w:rFonts w:hint="default" w:ascii="Times New Roman" w:hAnsi="Times New Roman" w:eastAsia="国标黑体" w:cs="Times New Roman"/>
                <w:b w:val="0"/>
                <w:bCs/>
                <w:sz w:val="28"/>
                <w:szCs w:val="28"/>
                <w:lang w:eastAsia="zh-CN"/>
              </w:rPr>
              <w:t>评分因素</w:t>
            </w:r>
          </w:p>
        </w:tc>
        <w:tc>
          <w:tcPr>
            <w:tcW w:w="3205" w:type="pct"/>
            <w:noWrap w:val="0"/>
            <w:vAlign w:val="center"/>
          </w:tcPr>
          <w:p w14:paraId="0BE5A335">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国标黑体" w:cs="Times New Roman"/>
                <w:b w:val="0"/>
                <w:bCs/>
                <w:sz w:val="28"/>
                <w:szCs w:val="28"/>
                <w:lang w:eastAsia="zh-CN"/>
              </w:rPr>
            </w:pPr>
            <w:r>
              <w:rPr>
                <w:rFonts w:hint="default" w:ascii="Times New Roman" w:hAnsi="Times New Roman" w:eastAsia="国标黑体" w:cs="Times New Roman"/>
                <w:b w:val="0"/>
                <w:bCs/>
                <w:sz w:val="28"/>
                <w:szCs w:val="28"/>
                <w:lang w:eastAsia="zh-CN"/>
              </w:rPr>
              <w:t>编列内容</w:t>
            </w:r>
          </w:p>
        </w:tc>
        <w:tc>
          <w:tcPr>
            <w:tcW w:w="512" w:type="pct"/>
            <w:noWrap w:val="0"/>
            <w:vAlign w:val="center"/>
          </w:tcPr>
          <w:p w14:paraId="6A3707B4">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国标黑体" w:cs="Times New Roman"/>
                <w:b w:val="0"/>
                <w:bCs/>
                <w:sz w:val="28"/>
                <w:szCs w:val="28"/>
                <w:lang w:eastAsia="zh-CN"/>
              </w:rPr>
            </w:pPr>
            <w:r>
              <w:rPr>
                <w:rFonts w:hint="default" w:ascii="Times New Roman" w:hAnsi="Times New Roman" w:eastAsia="国标黑体" w:cs="Times New Roman"/>
                <w:b w:val="0"/>
                <w:bCs/>
                <w:sz w:val="28"/>
                <w:szCs w:val="28"/>
                <w:lang w:eastAsia="zh-CN"/>
              </w:rPr>
              <w:t>备注</w:t>
            </w:r>
          </w:p>
        </w:tc>
      </w:tr>
      <w:tr w14:paraId="6418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54E1D111">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1</w:t>
            </w:r>
          </w:p>
        </w:tc>
        <w:tc>
          <w:tcPr>
            <w:tcW w:w="936" w:type="pct"/>
            <w:noWrap w:val="0"/>
            <w:vAlign w:val="center"/>
          </w:tcPr>
          <w:p w14:paraId="335631EB">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分值构成</w:t>
            </w:r>
          </w:p>
          <w:p w14:paraId="46E709CE">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rPr>
            </w:pPr>
            <w:r>
              <w:rPr>
                <w:rFonts w:hint="default" w:ascii="Times New Roman" w:hAnsi="Times New Roman" w:eastAsia="仿宋" w:cs="Times New Roman"/>
                <w:bCs/>
                <w:spacing w:val="13"/>
                <w:sz w:val="24"/>
                <w:szCs w:val="24"/>
                <w:lang w:eastAsia="zh-CN"/>
              </w:rPr>
              <w:t>（总分100分）</w:t>
            </w:r>
          </w:p>
        </w:tc>
        <w:tc>
          <w:tcPr>
            <w:tcW w:w="3205" w:type="pct"/>
            <w:noWrap w:val="0"/>
            <w:vAlign w:val="center"/>
          </w:tcPr>
          <w:p w14:paraId="51241470">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投标报价部分：10分</w:t>
            </w:r>
          </w:p>
          <w:p w14:paraId="7A04A8B1">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商务技术部分：90分</w:t>
            </w:r>
          </w:p>
        </w:tc>
        <w:tc>
          <w:tcPr>
            <w:tcW w:w="512" w:type="pct"/>
            <w:noWrap w:val="0"/>
            <w:vAlign w:val="center"/>
          </w:tcPr>
          <w:p w14:paraId="06DBB259">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4"/>
                <w:sz w:val="24"/>
                <w:szCs w:val="24"/>
                <w:lang w:val="en-US" w:eastAsia="zh-CN"/>
              </w:rPr>
            </w:pPr>
            <w:r>
              <w:rPr>
                <w:rFonts w:hint="default" w:ascii="Times New Roman" w:hAnsi="Times New Roman" w:eastAsia="仿宋" w:cs="Times New Roman"/>
                <w:bCs/>
                <w:spacing w:val="-4"/>
                <w:sz w:val="24"/>
                <w:szCs w:val="24"/>
                <w:lang w:val="en-US" w:eastAsia="zh-CN"/>
              </w:rPr>
              <w:t>/</w:t>
            </w:r>
          </w:p>
        </w:tc>
      </w:tr>
      <w:tr w14:paraId="4D4A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7D5B6C85">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2</w:t>
            </w:r>
          </w:p>
        </w:tc>
        <w:tc>
          <w:tcPr>
            <w:tcW w:w="936" w:type="pct"/>
            <w:noWrap w:val="0"/>
            <w:vAlign w:val="center"/>
          </w:tcPr>
          <w:p w14:paraId="0E3F9249">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rPr>
            </w:pPr>
            <w:r>
              <w:rPr>
                <w:rFonts w:hint="default" w:ascii="Times New Roman" w:hAnsi="Times New Roman" w:eastAsia="仿宋" w:cs="Times New Roman"/>
                <w:bCs/>
                <w:spacing w:val="13"/>
                <w:sz w:val="24"/>
                <w:szCs w:val="24"/>
                <w:lang w:eastAsia="zh-CN"/>
              </w:rPr>
              <w:t>投标报价分计算方法</w:t>
            </w:r>
          </w:p>
        </w:tc>
        <w:tc>
          <w:tcPr>
            <w:tcW w:w="3205" w:type="pct"/>
            <w:noWrap w:val="0"/>
            <w:vAlign w:val="center"/>
          </w:tcPr>
          <w:p w14:paraId="0BA30EF9">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采用低价优先法计算，即满足招标文件要求且价格最低的最后报价为评标基准价，其价格分为满分10分。其他供应商的价格分统一按照下列公式计算：最后报价得分＝（评标基准价/最后报价）×10％×100</w:t>
            </w:r>
          </w:p>
        </w:tc>
        <w:tc>
          <w:tcPr>
            <w:tcW w:w="512" w:type="pct"/>
            <w:noWrap w:val="0"/>
            <w:vAlign w:val="center"/>
          </w:tcPr>
          <w:p w14:paraId="5FBAF099">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 w:cs="Times New Roman"/>
                <w:bCs/>
                <w:spacing w:val="-4"/>
                <w:sz w:val="24"/>
                <w:szCs w:val="24"/>
                <w:lang w:val="en-US" w:eastAsia="zh-CN"/>
              </w:rPr>
            </w:pPr>
            <w:r>
              <w:rPr>
                <w:rFonts w:hint="default" w:ascii="Times New Roman" w:hAnsi="Times New Roman" w:eastAsia="仿宋" w:cs="Times New Roman"/>
                <w:bCs/>
                <w:spacing w:val="-4"/>
                <w:sz w:val="24"/>
                <w:szCs w:val="24"/>
                <w:lang w:val="en-US" w:eastAsia="zh-CN"/>
              </w:rPr>
              <w:t>10分</w:t>
            </w:r>
          </w:p>
        </w:tc>
      </w:tr>
      <w:tr w14:paraId="21EF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74D13FFE">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3</w:t>
            </w:r>
          </w:p>
        </w:tc>
        <w:tc>
          <w:tcPr>
            <w:tcW w:w="4141" w:type="pct"/>
            <w:gridSpan w:val="2"/>
            <w:noWrap w:val="0"/>
            <w:vAlign w:val="center"/>
          </w:tcPr>
          <w:p w14:paraId="1351157D">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商务技术部分</w:t>
            </w:r>
          </w:p>
        </w:tc>
        <w:tc>
          <w:tcPr>
            <w:tcW w:w="512" w:type="pct"/>
            <w:noWrap w:val="0"/>
            <w:vAlign w:val="center"/>
          </w:tcPr>
          <w:p w14:paraId="357B2645">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pacing w:val="-4"/>
                <w:sz w:val="24"/>
                <w:szCs w:val="24"/>
                <w:lang w:val="en-US" w:eastAsia="zh-CN"/>
              </w:rPr>
            </w:pPr>
            <w:r>
              <w:rPr>
                <w:rFonts w:hint="default" w:ascii="Times New Roman" w:hAnsi="Times New Roman" w:eastAsia="仿宋" w:cs="Times New Roman"/>
                <w:bCs/>
                <w:spacing w:val="-4"/>
                <w:sz w:val="24"/>
                <w:szCs w:val="24"/>
                <w:lang w:val="en-US" w:eastAsia="zh-CN"/>
              </w:rPr>
              <w:t>90分</w:t>
            </w:r>
          </w:p>
        </w:tc>
      </w:tr>
      <w:tr w14:paraId="4F85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45" w:type="pct"/>
            <w:noWrap w:val="0"/>
            <w:vAlign w:val="center"/>
          </w:tcPr>
          <w:p w14:paraId="45D40DAA">
            <w:pPr>
              <w:pStyle w:val="13"/>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3.1</w:t>
            </w:r>
          </w:p>
        </w:tc>
        <w:tc>
          <w:tcPr>
            <w:tcW w:w="936" w:type="pct"/>
            <w:noWrap w:val="0"/>
            <w:vAlign w:val="center"/>
          </w:tcPr>
          <w:p w14:paraId="63854F48">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rPr>
            </w:pPr>
            <w:r>
              <w:rPr>
                <w:rFonts w:hint="default" w:ascii="Times New Roman" w:hAnsi="Times New Roman" w:eastAsia="仿宋" w:cs="Times New Roman"/>
                <w:bCs/>
                <w:spacing w:val="13"/>
                <w:sz w:val="24"/>
                <w:szCs w:val="24"/>
                <w:lang w:eastAsia="zh-CN"/>
              </w:rPr>
              <w:t>服务方案</w:t>
            </w:r>
          </w:p>
        </w:tc>
        <w:tc>
          <w:tcPr>
            <w:tcW w:w="3205" w:type="pct"/>
            <w:noWrap w:val="0"/>
            <w:vAlign w:val="center"/>
          </w:tcPr>
          <w:p w14:paraId="3F31559B">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1.项目理解（</w:t>
            </w:r>
            <w:r>
              <w:rPr>
                <w:rFonts w:hint="default"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w:t>
            </w:r>
          </w:p>
          <w:p w14:paraId="4EFA7AD2">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根据项目理解的准确性、全面性进行评审。优秀得</w:t>
            </w:r>
            <w:r>
              <w:rPr>
                <w:rFonts w:hint="eastAsia"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分；良好得</w:t>
            </w:r>
            <w:r>
              <w:rPr>
                <w:rFonts w:hint="eastAsia"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分；一般得</w:t>
            </w:r>
            <w:r>
              <w:rPr>
                <w:rFonts w:hint="eastAsia"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分；差的或未提供不得分。</w:t>
            </w:r>
          </w:p>
          <w:p w14:paraId="2235F9B5">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2.实施流程和团队分工（</w:t>
            </w:r>
            <w:r>
              <w:rPr>
                <w:rFonts w:hint="default"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w:t>
            </w:r>
          </w:p>
          <w:p w14:paraId="0EA6EF3A">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根据实施流程和团队分工的合理性、可行性、先进性进行评审。优秀得</w:t>
            </w:r>
            <w:r>
              <w:rPr>
                <w:rFonts w:hint="eastAsia"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分；良好得</w:t>
            </w:r>
            <w:r>
              <w:rPr>
                <w:rFonts w:hint="eastAsia"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分；一般得</w:t>
            </w:r>
            <w:r>
              <w:rPr>
                <w:rFonts w:hint="eastAsia"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分；差的或未提供不得分。</w:t>
            </w:r>
          </w:p>
          <w:p w14:paraId="27BE726E">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3.评估指标（6分）</w:t>
            </w:r>
          </w:p>
          <w:p w14:paraId="575A901A">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根据评估指标体系的符合性（满足上级文件要求）和有效性进行评审。优秀得</w:t>
            </w:r>
            <w:r>
              <w:rPr>
                <w:rFonts w:hint="eastAsia"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分；良好得</w:t>
            </w:r>
            <w:r>
              <w:rPr>
                <w:rFonts w:hint="eastAsia"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分；一般得</w:t>
            </w:r>
            <w:r>
              <w:rPr>
                <w:rFonts w:hint="eastAsia"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分；差的或未提供不得分。</w:t>
            </w:r>
          </w:p>
        </w:tc>
        <w:tc>
          <w:tcPr>
            <w:tcW w:w="512" w:type="pct"/>
            <w:noWrap w:val="0"/>
            <w:vAlign w:val="center"/>
          </w:tcPr>
          <w:p w14:paraId="33B7D465">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pacing w:val="-4"/>
                <w:sz w:val="24"/>
                <w:szCs w:val="24"/>
                <w:lang w:eastAsia="zh-CN"/>
              </w:rPr>
            </w:pPr>
            <w:r>
              <w:rPr>
                <w:rFonts w:hint="default" w:ascii="Times New Roman" w:hAnsi="Times New Roman" w:eastAsia="仿宋" w:cs="Times New Roman"/>
                <w:bCs/>
                <w:spacing w:val="-4"/>
                <w:sz w:val="24"/>
                <w:szCs w:val="24"/>
                <w:lang w:eastAsia="zh-CN"/>
              </w:rPr>
              <w:t>0-1</w:t>
            </w:r>
            <w:r>
              <w:rPr>
                <w:rFonts w:hint="default" w:ascii="Times New Roman" w:hAnsi="Times New Roman" w:eastAsia="仿宋" w:cs="Times New Roman"/>
                <w:bCs/>
                <w:spacing w:val="-4"/>
                <w:sz w:val="24"/>
                <w:szCs w:val="24"/>
                <w:lang w:val="en-US" w:eastAsia="zh-CN"/>
              </w:rPr>
              <w:t>8</w:t>
            </w:r>
            <w:r>
              <w:rPr>
                <w:rFonts w:hint="default" w:ascii="Times New Roman" w:hAnsi="Times New Roman" w:eastAsia="仿宋" w:cs="Times New Roman"/>
                <w:bCs/>
                <w:spacing w:val="-4"/>
                <w:sz w:val="24"/>
                <w:szCs w:val="24"/>
                <w:lang w:eastAsia="zh-CN"/>
              </w:rPr>
              <w:t>分</w:t>
            </w:r>
          </w:p>
        </w:tc>
      </w:tr>
      <w:tr w14:paraId="3965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28717E06">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3.2</w:t>
            </w:r>
          </w:p>
        </w:tc>
        <w:tc>
          <w:tcPr>
            <w:tcW w:w="936" w:type="pct"/>
            <w:noWrap w:val="0"/>
            <w:vAlign w:val="center"/>
          </w:tcPr>
          <w:p w14:paraId="0F878508">
            <w:pPr>
              <w:pStyle w:val="13"/>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default" w:ascii="Times New Roman" w:hAnsi="Times New Roman" w:eastAsia="仿宋" w:cs="Times New Roman"/>
                <w:bCs/>
                <w:spacing w:val="13"/>
                <w:sz w:val="24"/>
                <w:szCs w:val="24"/>
              </w:rPr>
            </w:pPr>
            <w:r>
              <w:rPr>
                <w:rFonts w:hint="default" w:ascii="Times New Roman" w:hAnsi="Times New Roman" w:eastAsia="仿宋" w:cs="Times New Roman"/>
                <w:sz w:val="24"/>
                <w:szCs w:val="24"/>
                <w:lang w:eastAsia="zh-CN"/>
              </w:rPr>
              <w:t>保障措施</w:t>
            </w:r>
          </w:p>
        </w:tc>
        <w:tc>
          <w:tcPr>
            <w:tcW w:w="3205" w:type="pct"/>
            <w:noWrap w:val="0"/>
            <w:vAlign w:val="center"/>
          </w:tcPr>
          <w:p w14:paraId="02284AAF">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1.质量保障措施（</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分）</w:t>
            </w:r>
          </w:p>
          <w:p w14:paraId="689FEA3A">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根据质量保障措施的全面性、可行性、与项目关联度进行评审。优秀得</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分；良好得</w:t>
            </w:r>
            <w:r>
              <w:rPr>
                <w:rFonts w:hint="default"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分；一般得</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分；差的或未提供不得分。</w:t>
            </w:r>
          </w:p>
          <w:p w14:paraId="38C25FD8">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2.进度保障措施（</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分）</w:t>
            </w:r>
          </w:p>
          <w:p w14:paraId="143974D3">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根据进度保障措施的全面性、可行性、与项目关联度进行评审。优秀得3分；良好得2分；一般得1分；差的或未提供不得分。</w:t>
            </w:r>
          </w:p>
          <w:p w14:paraId="5E2F1926">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3.风险控制措施（3分）</w:t>
            </w:r>
          </w:p>
          <w:p w14:paraId="446EFCF4">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根据风险识别的全面性及风险控制措施和应急预案的全面性、可行性、与项目关联度进行评审。优秀得3分；良好得2分；一般得1分；差的或未提供不得分。</w:t>
            </w:r>
          </w:p>
          <w:p w14:paraId="7837CF02">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4.保密措施（</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分）</w:t>
            </w:r>
          </w:p>
          <w:p w14:paraId="78BAE733">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根据保密措施的全面性、可行性、与项目关联度进行评审。优秀得3分；良好得2分；一般得1分；差的或未提供不得分。</w:t>
            </w:r>
          </w:p>
        </w:tc>
        <w:tc>
          <w:tcPr>
            <w:tcW w:w="512" w:type="pct"/>
            <w:noWrap w:val="0"/>
            <w:vAlign w:val="center"/>
          </w:tcPr>
          <w:p w14:paraId="037B2676">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pacing w:val="-4"/>
                <w:sz w:val="24"/>
                <w:szCs w:val="24"/>
                <w:lang w:eastAsia="zh-CN"/>
              </w:rPr>
            </w:pPr>
            <w:r>
              <w:rPr>
                <w:rFonts w:hint="default" w:ascii="Times New Roman" w:hAnsi="Times New Roman" w:eastAsia="仿宋" w:cs="Times New Roman"/>
                <w:bCs/>
                <w:spacing w:val="-4"/>
                <w:sz w:val="24"/>
                <w:szCs w:val="24"/>
                <w:lang w:eastAsia="zh-CN"/>
              </w:rPr>
              <w:t>0-</w:t>
            </w:r>
            <w:r>
              <w:rPr>
                <w:rFonts w:hint="default" w:ascii="Times New Roman" w:hAnsi="Times New Roman" w:eastAsia="仿宋" w:cs="Times New Roman"/>
                <w:bCs/>
                <w:spacing w:val="-4"/>
                <w:sz w:val="24"/>
                <w:szCs w:val="24"/>
                <w:lang w:val="en-US" w:eastAsia="zh-CN"/>
              </w:rPr>
              <w:t>12</w:t>
            </w:r>
            <w:r>
              <w:rPr>
                <w:rFonts w:hint="default" w:ascii="Times New Roman" w:hAnsi="Times New Roman" w:eastAsia="仿宋" w:cs="Times New Roman"/>
                <w:bCs/>
                <w:spacing w:val="-4"/>
                <w:sz w:val="24"/>
                <w:szCs w:val="24"/>
                <w:lang w:eastAsia="zh-CN"/>
              </w:rPr>
              <w:t>分</w:t>
            </w:r>
          </w:p>
        </w:tc>
      </w:tr>
      <w:tr w14:paraId="778C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5" w:hRule="atLeast"/>
        </w:trPr>
        <w:tc>
          <w:tcPr>
            <w:tcW w:w="345" w:type="pct"/>
            <w:noWrap w:val="0"/>
            <w:vAlign w:val="center"/>
          </w:tcPr>
          <w:p w14:paraId="36369A47">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lang w:eastAsia="zh-CN"/>
              </w:rPr>
            </w:pPr>
            <w:r>
              <w:rPr>
                <w:rFonts w:hint="default" w:ascii="Times New Roman" w:hAnsi="Times New Roman" w:eastAsia="仿宋" w:cs="Times New Roman"/>
                <w:bCs/>
                <w:spacing w:val="13"/>
                <w:sz w:val="24"/>
                <w:szCs w:val="24"/>
                <w:lang w:eastAsia="zh-CN"/>
              </w:rPr>
              <w:t>3.3</w:t>
            </w:r>
          </w:p>
        </w:tc>
        <w:tc>
          <w:tcPr>
            <w:tcW w:w="936" w:type="pct"/>
            <w:noWrap w:val="0"/>
            <w:vAlign w:val="center"/>
          </w:tcPr>
          <w:p w14:paraId="1FD0959B">
            <w:pPr>
              <w:pStyle w:val="13"/>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default" w:ascii="Times New Roman" w:hAnsi="Times New Roman" w:eastAsia="仿宋" w:cs="Times New Roman"/>
                <w:bCs/>
                <w:spacing w:val="13"/>
                <w:sz w:val="24"/>
                <w:szCs w:val="24"/>
              </w:rPr>
            </w:pPr>
            <w:r>
              <w:rPr>
                <w:rFonts w:hint="default" w:ascii="Times New Roman" w:hAnsi="Times New Roman" w:eastAsia="仿宋" w:cs="Times New Roman"/>
                <w:sz w:val="24"/>
                <w:szCs w:val="24"/>
              </w:rPr>
              <w:t>售后服务</w:t>
            </w:r>
          </w:p>
        </w:tc>
        <w:tc>
          <w:tcPr>
            <w:tcW w:w="3205" w:type="pct"/>
            <w:noWrap w:val="0"/>
            <w:vAlign w:val="center"/>
          </w:tcPr>
          <w:p w14:paraId="77CF6782">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售后服务方案包括服务人员、服务机制、响应时间、服务效果等内容，根据方案的完整性、可行性、合理性进行评审。优秀得</w:t>
            </w:r>
            <w:r>
              <w:rPr>
                <w:rFonts w:hint="eastAsia" w:ascii="Times New Roman" w:hAnsi="Times New Roman" w:eastAsia="仿宋" w:cs="Times New Roman"/>
                <w:bCs/>
                <w:sz w:val="24"/>
                <w:szCs w:val="24"/>
                <w:highlight w:val="none"/>
                <w:lang w:val="en-US" w:eastAsia="zh-CN"/>
              </w:rPr>
              <w:t>18</w:t>
            </w:r>
            <w:r>
              <w:rPr>
                <w:rFonts w:hint="default" w:ascii="Times New Roman" w:hAnsi="Times New Roman" w:eastAsia="仿宋" w:cs="Times New Roman"/>
                <w:bCs/>
                <w:sz w:val="24"/>
                <w:szCs w:val="24"/>
                <w:highlight w:val="none"/>
                <w:lang w:eastAsia="zh-CN"/>
              </w:rPr>
              <w:t>分；良好得</w:t>
            </w:r>
            <w:r>
              <w:rPr>
                <w:rFonts w:hint="eastAsia" w:ascii="Times New Roman" w:hAnsi="Times New Roman" w:eastAsia="仿宋" w:cs="Times New Roman"/>
                <w:bCs/>
                <w:sz w:val="24"/>
                <w:szCs w:val="24"/>
                <w:highlight w:val="none"/>
                <w:lang w:val="en-US" w:eastAsia="zh-CN"/>
              </w:rPr>
              <w:t>12</w:t>
            </w:r>
            <w:r>
              <w:rPr>
                <w:rFonts w:hint="default" w:ascii="Times New Roman" w:hAnsi="Times New Roman" w:eastAsia="仿宋" w:cs="Times New Roman"/>
                <w:bCs/>
                <w:sz w:val="24"/>
                <w:szCs w:val="24"/>
                <w:highlight w:val="none"/>
                <w:lang w:eastAsia="zh-CN"/>
              </w:rPr>
              <w:t>分；一般得</w:t>
            </w:r>
            <w:r>
              <w:rPr>
                <w:rFonts w:hint="eastAsia"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分；差的或未提供不得分。</w:t>
            </w:r>
          </w:p>
        </w:tc>
        <w:tc>
          <w:tcPr>
            <w:tcW w:w="512" w:type="pct"/>
            <w:noWrap w:val="0"/>
            <w:vAlign w:val="center"/>
          </w:tcPr>
          <w:p w14:paraId="42349BD9">
            <w:pPr>
              <w:pStyle w:val="13"/>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default" w:ascii="Times New Roman" w:hAnsi="Times New Roman" w:eastAsia="仿宋" w:cs="Times New Roman"/>
                <w:bCs/>
                <w:spacing w:val="-4"/>
                <w:sz w:val="24"/>
                <w:szCs w:val="24"/>
                <w:lang w:eastAsia="zh-CN"/>
              </w:rPr>
            </w:pPr>
            <w:r>
              <w:rPr>
                <w:rFonts w:hint="default" w:ascii="Times New Roman" w:hAnsi="Times New Roman" w:eastAsia="仿宋" w:cs="Times New Roman"/>
                <w:bCs/>
                <w:spacing w:val="-4"/>
                <w:sz w:val="24"/>
                <w:szCs w:val="24"/>
                <w:lang w:eastAsia="zh-CN"/>
              </w:rPr>
              <w:t>0-</w:t>
            </w:r>
            <w:r>
              <w:rPr>
                <w:rFonts w:hint="default" w:ascii="Times New Roman" w:hAnsi="Times New Roman" w:eastAsia="仿宋" w:cs="Times New Roman"/>
                <w:bCs/>
                <w:spacing w:val="-4"/>
                <w:sz w:val="24"/>
                <w:szCs w:val="24"/>
                <w:lang w:val="en-US" w:eastAsia="zh-CN"/>
              </w:rPr>
              <w:t>18</w:t>
            </w:r>
            <w:r>
              <w:rPr>
                <w:rFonts w:hint="default" w:ascii="Times New Roman" w:hAnsi="Times New Roman" w:eastAsia="仿宋" w:cs="Times New Roman"/>
                <w:bCs/>
                <w:spacing w:val="-4"/>
                <w:sz w:val="24"/>
                <w:szCs w:val="24"/>
                <w:lang w:eastAsia="zh-CN"/>
              </w:rPr>
              <w:t>分</w:t>
            </w:r>
          </w:p>
        </w:tc>
      </w:tr>
      <w:tr w14:paraId="7DC0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26316572">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highlight w:val="none"/>
                <w:lang w:eastAsia="zh-CN"/>
              </w:rPr>
            </w:pPr>
            <w:r>
              <w:rPr>
                <w:rFonts w:hint="default" w:ascii="Times New Roman" w:hAnsi="Times New Roman" w:eastAsia="仿宋" w:cs="Times New Roman"/>
                <w:bCs/>
                <w:spacing w:val="13"/>
                <w:sz w:val="24"/>
                <w:szCs w:val="24"/>
                <w:highlight w:val="none"/>
                <w:lang w:eastAsia="zh-CN"/>
              </w:rPr>
              <w:t>3.4</w:t>
            </w:r>
          </w:p>
        </w:tc>
        <w:tc>
          <w:tcPr>
            <w:tcW w:w="936" w:type="pct"/>
            <w:noWrap w:val="0"/>
            <w:vAlign w:val="center"/>
          </w:tcPr>
          <w:p w14:paraId="36DAB0A2">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highlight w:val="none"/>
              </w:rPr>
            </w:pPr>
            <w:r>
              <w:rPr>
                <w:rFonts w:hint="default" w:ascii="Times New Roman" w:hAnsi="Times New Roman" w:eastAsia="仿宋" w:cs="Times New Roman"/>
                <w:bCs/>
                <w:spacing w:val="13"/>
                <w:sz w:val="24"/>
                <w:szCs w:val="24"/>
                <w:highlight w:val="none"/>
                <w:lang w:eastAsia="zh-CN"/>
              </w:rPr>
              <w:t>项目团队</w:t>
            </w:r>
          </w:p>
        </w:tc>
        <w:tc>
          <w:tcPr>
            <w:tcW w:w="3205" w:type="pct"/>
            <w:noWrap w:val="0"/>
            <w:vAlign w:val="center"/>
          </w:tcPr>
          <w:p w14:paraId="2FF08247">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1.项目负责人（</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w:t>
            </w:r>
          </w:p>
          <w:p w14:paraId="06412FFF">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项目负责人作为主编（或主编之一）出版过政务公开相关著作的，得4分。</w:t>
            </w:r>
          </w:p>
          <w:p w14:paraId="76E34E03">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2.项目成员（不包括项目负责人）（</w:t>
            </w:r>
            <w:r>
              <w:rPr>
                <w:rFonts w:hint="default" w:ascii="Times New Roman" w:hAnsi="Times New Roman" w:eastAsia="仿宋" w:cs="Times New Roman"/>
                <w:bCs/>
                <w:sz w:val="24"/>
                <w:szCs w:val="24"/>
                <w:highlight w:val="none"/>
                <w:lang w:val="en-US" w:eastAsia="zh-CN"/>
              </w:rPr>
              <w:t>10</w:t>
            </w:r>
            <w:r>
              <w:rPr>
                <w:rFonts w:hint="default" w:ascii="Times New Roman" w:hAnsi="Times New Roman" w:eastAsia="仿宋" w:cs="Times New Roman"/>
                <w:bCs/>
                <w:sz w:val="24"/>
                <w:szCs w:val="24"/>
                <w:highlight w:val="none"/>
                <w:lang w:eastAsia="zh-CN"/>
              </w:rPr>
              <w:t>分）</w:t>
            </w:r>
          </w:p>
          <w:p w14:paraId="7961436B">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（1）项目成员具有硕士研究生学历的，每提供1人得</w:t>
            </w:r>
            <w:r>
              <w:rPr>
                <w:rFonts w:hint="default" w:ascii="Times New Roman" w:hAnsi="Times New Roman" w:eastAsia="仿宋" w:cs="Times New Roman"/>
                <w:bCs/>
                <w:sz w:val="24"/>
                <w:szCs w:val="24"/>
                <w:highlight w:val="none"/>
                <w:lang w:val="en" w:eastAsia="zh-CN"/>
              </w:rPr>
              <w:t>2</w:t>
            </w:r>
            <w:r>
              <w:rPr>
                <w:rFonts w:hint="default" w:ascii="Times New Roman" w:hAnsi="Times New Roman" w:eastAsia="仿宋" w:cs="Times New Roman"/>
                <w:bCs/>
                <w:sz w:val="24"/>
                <w:szCs w:val="24"/>
                <w:highlight w:val="none"/>
                <w:lang w:eastAsia="zh-CN"/>
              </w:rPr>
              <w:t>分，最高得</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分；具有本科学历的，每提供1人得</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分，最高得</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分；（本小项满分</w:t>
            </w:r>
            <w:r>
              <w:rPr>
                <w:rFonts w:hint="default" w:ascii="Times New Roman" w:hAnsi="Times New Roman" w:eastAsia="仿宋" w:cs="Times New Roman"/>
                <w:bCs/>
                <w:sz w:val="24"/>
                <w:szCs w:val="24"/>
                <w:highlight w:val="none"/>
                <w:lang w:val="en-US" w:eastAsia="zh-CN"/>
              </w:rPr>
              <w:t>8</w:t>
            </w:r>
            <w:r>
              <w:rPr>
                <w:rFonts w:hint="default" w:ascii="Times New Roman" w:hAnsi="Times New Roman" w:eastAsia="仿宋" w:cs="Times New Roman"/>
                <w:bCs/>
                <w:sz w:val="24"/>
                <w:szCs w:val="24"/>
                <w:highlight w:val="none"/>
                <w:lang w:eastAsia="zh-CN"/>
              </w:rPr>
              <w:t>分）</w:t>
            </w:r>
          </w:p>
          <w:p w14:paraId="10A1FC09">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（2）项目成员中有被政府部门聘请为政务公开评议员或监督员的得2分。</w:t>
            </w:r>
          </w:p>
          <w:p w14:paraId="66CEF070">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评审依据：</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提供相关人员学历证书、著作（封面、扉页）复印件、委托协议或聘任书等，并加盖供应商公章；2.投标人需提供半年以来任意三个月为上述人员缴纳的社保证明材料，具体可通过下述形式之一：</w:t>
            </w:r>
          </w:p>
          <w:p w14:paraId="0B989FC8">
            <w:pPr>
              <w:pStyle w:val="13"/>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eastAsia="zh-CN"/>
              </w:rPr>
              <w:t>（1）社保局官方网站查询的个人缴费记录截图；（2）社保局的书面证明材料。</w:t>
            </w:r>
          </w:p>
        </w:tc>
        <w:tc>
          <w:tcPr>
            <w:tcW w:w="512" w:type="pct"/>
            <w:noWrap w:val="0"/>
            <w:vAlign w:val="center"/>
          </w:tcPr>
          <w:p w14:paraId="60B6FD52">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z w:val="24"/>
                <w:szCs w:val="24"/>
                <w:highlight w:val="none"/>
              </w:rPr>
            </w:pPr>
            <w:r>
              <w:rPr>
                <w:rFonts w:hint="default" w:ascii="Times New Roman" w:hAnsi="Times New Roman" w:eastAsia="仿宋" w:cs="Times New Roman"/>
                <w:bCs/>
                <w:sz w:val="24"/>
                <w:szCs w:val="24"/>
                <w:highlight w:val="none"/>
              </w:rPr>
              <w:t>0-</w:t>
            </w:r>
            <w:r>
              <w:rPr>
                <w:rFonts w:hint="default" w:ascii="Times New Roman" w:hAnsi="Times New Roman" w:eastAsia="仿宋" w:cs="Times New Roman"/>
                <w:bCs/>
                <w:sz w:val="24"/>
                <w:szCs w:val="24"/>
                <w:highlight w:val="none"/>
                <w:lang w:eastAsia="zh-CN"/>
              </w:rPr>
              <w:t>1</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rPr>
              <w:t>分</w:t>
            </w:r>
          </w:p>
        </w:tc>
      </w:tr>
      <w:tr w14:paraId="0368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5" w:type="pct"/>
            <w:noWrap w:val="0"/>
            <w:vAlign w:val="center"/>
          </w:tcPr>
          <w:p w14:paraId="38DC60AE">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bCs/>
                <w:spacing w:val="13"/>
                <w:sz w:val="24"/>
                <w:szCs w:val="24"/>
                <w:highlight w:val="none"/>
                <w:lang w:eastAsia="zh-CN"/>
              </w:rPr>
            </w:pPr>
            <w:r>
              <w:rPr>
                <w:rFonts w:hint="default" w:ascii="Times New Roman" w:hAnsi="Times New Roman" w:eastAsia="仿宋" w:cs="Times New Roman"/>
                <w:bCs/>
                <w:spacing w:val="13"/>
                <w:sz w:val="24"/>
                <w:szCs w:val="24"/>
                <w:highlight w:val="none"/>
                <w:lang w:eastAsia="zh-CN"/>
              </w:rPr>
              <w:t>3.5</w:t>
            </w:r>
          </w:p>
        </w:tc>
        <w:tc>
          <w:tcPr>
            <w:tcW w:w="936" w:type="pct"/>
            <w:noWrap w:val="0"/>
            <w:vAlign w:val="center"/>
          </w:tcPr>
          <w:p w14:paraId="539B61E7">
            <w:pPr>
              <w:pStyle w:val="1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val="en-US" w:eastAsia="zh-CN"/>
              </w:rPr>
              <w:t>供应商</w:t>
            </w:r>
            <w:r>
              <w:rPr>
                <w:rFonts w:hint="default" w:ascii="Times New Roman" w:hAnsi="Times New Roman" w:eastAsia="仿宋" w:cs="Times New Roman"/>
                <w:sz w:val="24"/>
                <w:szCs w:val="24"/>
                <w:highlight w:val="none"/>
                <w:lang w:eastAsia="zh-CN"/>
              </w:rPr>
              <w:t>业绩</w:t>
            </w:r>
          </w:p>
        </w:tc>
        <w:tc>
          <w:tcPr>
            <w:tcW w:w="3205" w:type="pct"/>
            <w:noWrap w:val="0"/>
            <w:vAlign w:val="center"/>
          </w:tcPr>
          <w:p w14:paraId="5FBC7CAA">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eastAsia="zh-CN"/>
              </w:rPr>
              <w:t>1.</w:t>
            </w:r>
            <w:r>
              <w:rPr>
                <w:rFonts w:hint="default" w:ascii="Times New Roman" w:hAnsi="Times New Roman" w:eastAsia="仿宋" w:cs="Times New Roman"/>
                <w:bCs/>
                <w:sz w:val="24"/>
                <w:szCs w:val="24"/>
                <w:highlight w:val="none"/>
                <w:lang w:val="en-US" w:eastAsia="zh-CN"/>
              </w:rPr>
              <w:t>类似业绩（8分）</w:t>
            </w:r>
          </w:p>
          <w:p w14:paraId="628A3972">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自20</w:t>
            </w:r>
            <w:r>
              <w:rPr>
                <w:rFonts w:hint="default" w:ascii="Times New Roman" w:hAnsi="Times New Roman" w:eastAsia="仿宋" w:cs="Times New Roman"/>
                <w:bCs/>
                <w:sz w:val="24"/>
                <w:szCs w:val="24"/>
                <w:highlight w:val="none"/>
                <w:lang w:val="en-US" w:eastAsia="zh-CN"/>
              </w:rPr>
              <w:t>23</w:t>
            </w:r>
            <w:r>
              <w:rPr>
                <w:rFonts w:hint="default" w:ascii="Times New Roman" w:hAnsi="Times New Roman" w:eastAsia="仿宋" w:cs="Times New Roman"/>
                <w:bCs/>
                <w:sz w:val="24"/>
                <w:szCs w:val="24"/>
                <w:highlight w:val="none"/>
                <w:lang w:eastAsia="zh-CN"/>
              </w:rPr>
              <w:t>年1月1日至今，供应商具有省级政务公开</w:t>
            </w:r>
            <w:r>
              <w:rPr>
                <w:rFonts w:hint="default" w:ascii="Times New Roman" w:hAnsi="Times New Roman" w:eastAsia="仿宋" w:cs="Times New Roman"/>
                <w:bCs/>
                <w:sz w:val="24"/>
                <w:szCs w:val="24"/>
                <w:highlight w:val="none"/>
                <w:lang w:val="en-US" w:eastAsia="zh-CN"/>
              </w:rPr>
              <w:t>测评项目业绩</w:t>
            </w:r>
            <w:r>
              <w:rPr>
                <w:rFonts w:hint="default" w:ascii="Times New Roman" w:hAnsi="Times New Roman" w:eastAsia="仿宋" w:cs="Times New Roman"/>
                <w:bCs/>
                <w:sz w:val="24"/>
                <w:szCs w:val="24"/>
                <w:highlight w:val="none"/>
                <w:lang w:eastAsia="zh-CN"/>
              </w:rPr>
              <w:t>的，每提供1个得</w:t>
            </w:r>
            <w:r>
              <w:rPr>
                <w:rFonts w:hint="default"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分；（本小项满分</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w:t>
            </w:r>
          </w:p>
          <w:p w14:paraId="13601425">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自20</w:t>
            </w:r>
            <w:r>
              <w:rPr>
                <w:rFonts w:hint="default" w:ascii="Times New Roman" w:hAnsi="Times New Roman" w:eastAsia="仿宋" w:cs="Times New Roman"/>
                <w:bCs/>
                <w:sz w:val="24"/>
                <w:szCs w:val="24"/>
                <w:highlight w:val="none"/>
                <w:lang w:val="en-US" w:eastAsia="zh-CN"/>
              </w:rPr>
              <w:t>23</w:t>
            </w:r>
            <w:r>
              <w:rPr>
                <w:rFonts w:hint="default" w:ascii="Times New Roman" w:hAnsi="Times New Roman" w:eastAsia="仿宋" w:cs="Times New Roman"/>
                <w:bCs/>
                <w:sz w:val="24"/>
                <w:szCs w:val="24"/>
                <w:highlight w:val="none"/>
                <w:lang w:eastAsia="zh-CN"/>
              </w:rPr>
              <w:t>年1月1日至今，供应商具有</w:t>
            </w:r>
            <w:r>
              <w:rPr>
                <w:rFonts w:hint="default" w:ascii="Times New Roman" w:hAnsi="Times New Roman" w:eastAsia="仿宋" w:cs="Times New Roman"/>
                <w:bCs/>
                <w:sz w:val="24"/>
                <w:szCs w:val="24"/>
                <w:highlight w:val="none"/>
                <w:lang w:val="en-US" w:eastAsia="zh-CN"/>
              </w:rPr>
              <w:t>市</w:t>
            </w:r>
            <w:r>
              <w:rPr>
                <w:rFonts w:hint="default" w:ascii="Times New Roman" w:hAnsi="Times New Roman" w:eastAsia="仿宋" w:cs="Times New Roman"/>
                <w:bCs/>
                <w:sz w:val="24"/>
                <w:szCs w:val="24"/>
                <w:highlight w:val="none"/>
                <w:lang w:eastAsia="zh-CN"/>
              </w:rPr>
              <w:t>级政务公开</w:t>
            </w:r>
            <w:r>
              <w:rPr>
                <w:rFonts w:hint="default" w:ascii="Times New Roman" w:hAnsi="Times New Roman" w:eastAsia="仿宋" w:cs="Times New Roman"/>
                <w:bCs/>
                <w:sz w:val="24"/>
                <w:szCs w:val="24"/>
                <w:highlight w:val="none"/>
                <w:lang w:val="en-US" w:eastAsia="zh-CN"/>
              </w:rPr>
              <w:t>测评项目业绩</w:t>
            </w:r>
            <w:r>
              <w:rPr>
                <w:rFonts w:hint="default" w:ascii="Times New Roman" w:hAnsi="Times New Roman" w:eastAsia="仿宋" w:cs="Times New Roman"/>
                <w:bCs/>
                <w:sz w:val="24"/>
                <w:szCs w:val="24"/>
                <w:highlight w:val="none"/>
                <w:lang w:eastAsia="zh-CN"/>
              </w:rPr>
              <w:t>的，每提供1个得</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分。（本小项满分</w:t>
            </w:r>
            <w:r>
              <w:rPr>
                <w:rFonts w:hint="default" w:ascii="Times New Roman" w:hAnsi="Times New Roman" w:eastAsia="仿宋" w:cs="Times New Roman"/>
                <w:b w:val="0"/>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w:t>
            </w:r>
          </w:p>
          <w:p w14:paraId="07D4D803">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2.履约结果（4分）</w:t>
            </w:r>
          </w:p>
          <w:p w14:paraId="7B4517CB">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以上经评审认可的业绩中，履约结果获得委托单位好评的，每提供1个得</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分。（本小项满分</w:t>
            </w: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分）</w:t>
            </w:r>
          </w:p>
          <w:p w14:paraId="4D04BA14">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评审依据：（</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w:t>
            </w:r>
            <w:r>
              <w:rPr>
                <w:rFonts w:hint="default" w:ascii="Times New Roman" w:hAnsi="Times New Roman" w:eastAsia="仿宋" w:cs="Times New Roman"/>
                <w:bCs/>
                <w:sz w:val="24"/>
                <w:szCs w:val="24"/>
                <w:highlight w:val="none"/>
                <w:lang w:val="en-US" w:eastAsia="zh-CN"/>
              </w:rPr>
              <w:t>业绩</w:t>
            </w:r>
            <w:r>
              <w:rPr>
                <w:rFonts w:hint="default" w:ascii="Times New Roman" w:hAnsi="Times New Roman" w:eastAsia="仿宋" w:cs="Times New Roman"/>
                <w:bCs/>
                <w:sz w:val="24"/>
                <w:szCs w:val="24"/>
                <w:highlight w:val="none"/>
                <w:lang w:eastAsia="zh-CN"/>
              </w:rPr>
              <w:t>合同、验收报告（满意及以上评价）或表扬信复印件；（</w:t>
            </w:r>
            <w:r>
              <w:rPr>
                <w:rFonts w:hint="default" w:ascii="Times New Roman" w:hAnsi="Times New Roman" w:eastAsia="仿宋" w:cs="Times New Roman"/>
                <w:bCs/>
                <w:sz w:val="24"/>
                <w:szCs w:val="24"/>
                <w:highlight w:val="none"/>
                <w:lang w:val="en-US" w:eastAsia="zh-CN"/>
              </w:rPr>
              <w:t>2</w:t>
            </w:r>
            <w:r>
              <w:rPr>
                <w:rFonts w:hint="default" w:ascii="Times New Roman" w:hAnsi="Times New Roman" w:eastAsia="仿宋" w:cs="Times New Roman"/>
                <w:bCs/>
                <w:sz w:val="24"/>
                <w:szCs w:val="24"/>
                <w:highlight w:val="none"/>
                <w:lang w:eastAsia="zh-CN"/>
              </w:rPr>
              <w:t>）省级政务公开测评项目指省级行政机关委托的同一时期对该省省直部门和设区的市进行的政务公开</w:t>
            </w:r>
            <w:r>
              <w:rPr>
                <w:rFonts w:hint="default" w:ascii="Times New Roman" w:hAnsi="Times New Roman" w:eastAsia="仿宋" w:cs="Times New Roman"/>
                <w:bCs/>
                <w:sz w:val="24"/>
                <w:szCs w:val="24"/>
                <w:highlight w:val="none"/>
                <w:lang w:val="en-US" w:eastAsia="zh-CN"/>
              </w:rPr>
              <w:t>测评</w:t>
            </w:r>
            <w:r>
              <w:rPr>
                <w:rFonts w:hint="default" w:ascii="Times New Roman" w:hAnsi="Times New Roman" w:eastAsia="仿宋" w:cs="Times New Roman"/>
                <w:bCs/>
                <w:sz w:val="24"/>
                <w:szCs w:val="24"/>
                <w:highlight w:val="none"/>
                <w:lang w:eastAsia="zh-CN"/>
              </w:rPr>
              <w:t>业绩；</w:t>
            </w:r>
            <w:r>
              <w:rPr>
                <w:rFonts w:hint="default" w:ascii="Times New Roman" w:hAnsi="Times New Roman" w:eastAsia="仿宋" w:cs="Times New Roman"/>
                <w:bCs/>
                <w:sz w:val="24"/>
                <w:szCs w:val="24"/>
                <w:highlight w:val="none"/>
                <w:lang w:val="en-US" w:eastAsia="zh-CN"/>
              </w:rPr>
              <w:t>市</w:t>
            </w:r>
            <w:r>
              <w:rPr>
                <w:rFonts w:hint="default" w:ascii="Times New Roman" w:hAnsi="Times New Roman" w:eastAsia="仿宋" w:cs="Times New Roman"/>
                <w:bCs/>
                <w:sz w:val="24"/>
                <w:szCs w:val="24"/>
                <w:highlight w:val="none"/>
                <w:lang w:eastAsia="zh-CN"/>
              </w:rPr>
              <w:t>级政务公开测评项目指</w:t>
            </w:r>
            <w:r>
              <w:rPr>
                <w:rFonts w:hint="default" w:ascii="Times New Roman" w:hAnsi="Times New Roman" w:eastAsia="仿宋" w:cs="Times New Roman"/>
                <w:bCs/>
                <w:sz w:val="24"/>
                <w:szCs w:val="24"/>
                <w:highlight w:val="none"/>
                <w:lang w:val="en-US" w:eastAsia="zh-CN"/>
              </w:rPr>
              <w:t>市</w:t>
            </w:r>
            <w:r>
              <w:rPr>
                <w:rFonts w:hint="default" w:ascii="Times New Roman" w:hAnsi="Times New Roman" w:eastAsia="仿宋" w:cs="Times New Roman"/>
                <w:bCs/>
                <w:sz w:val="24"/>
                <w:szCs w:val="24"/>
                <w:highlight w:val="none"/>
                <w:lang w:eastAsia="zh-CN"/>
              </w:rPr>
              <w:t>级行政机关委托的同一时期对该</w:t>
            </w:r>
            <w:r>
              <w:rPr>
                <w:rFonts w:hint="default" w:ascii="Times New Roman" w:hAnsi="Times New Roman" w:eastAsia="仿宋" w:cs="Times New Roman"/>
                <w:bCs/>
                <w:sz w:val="24"/>
                <w:szCs w:val="24"/>
                <w:highlight w:val="none"/>
                <w:lang w:val="en-US" w:eastAsia="zh-CN"/>
              </w:rPr>
              <w:t>市市</w:t>
            </w:r>
            <w:r>
              <w:rPr>
                <w:rFonts w:hint="default" w:ascii="Times New Roman" w:hAnsi="Times New Roman" w:eastAsia="仿宋" w:cs="Times New Roman"/>
                <w:bCs/>
                <w:sz w:val="24"/>
                <w:szCs w:val="24"/>
                <w:highlight w:val="none"/>
                <w:lang w:eastAsia="zh-CN"/>
              </w:rPr>
              <w:t>直部门和</w:t>
            </w:r>
            <w:r>
              <w:rPr>
                <w:rFonts w:hint="default" w:ascii="Times New Roman" w:hAnsi="Times New Roman" w:eastAsia="仿宋" w:cs="Times New Roman"/>
                <w:bCs/>
                <w:sz w:val="24"/>
                <w:szCs w:val="24"/>
                <w:highlight w:val="none"/>
                <w:lang w:val="en-US" w:eastAsia="zh-CN"/>
              </w:rPr>
              <w:t>下辖区县</w:t>
            </w:r>
            <w:r>
              <w:rPr>
                <w:rFonts w:hint="default" w:ascii="Times New Roman" w:hAnsi="Times New Roman" w:eastAsia="仿宋" w:cs="Times New Roman"/>
                <w:bCs/>
                <w:sz w:val="24"/>
                <w:szCs w:val="24"/>
                <w:highlight w:val="none"/>
                <w:lang w:eastAsia="zh-CN"/>
              </w:rPr>
              <w:t>进行的政务公开</w:t>
            </w:r>
            <w:r>
              <w:rPr>
                <w:rFonts w:hint="default" w:ascii="Times New Roman" w:hAnsi="Times New Roman" w:eastAsia="仿宋" w:cs="Times New Roman"/>
                <w:bCs/>
                <w:sz w:val="24"/>
                <w:szCs w:val="24"/>
                <w:highlight w:val="none"/>
                <w:lang w:val="en-US" w:eastAsia="zh-CN"/>
              </w:rPr>
              <w:t>测评</w:t>
            </w:r>
            <w:r>
              <w:rPr>
                <w:rFonts w:hint="default" w:ascii="Times New Roman" w:hAnsi="Times New Roman" w:eastAsia="仿宋" w:cs="Times New Roman"/>
                <w:bCs/>
                <w:sz w:val="24"/>
                <w:szCs w:val="24"/>
                <w:highlight w:val="none"/>
                <w:lang w:eastAsia="zh-CN"/>
              </w:rPr>
              <w:t>业绩；通过第三方单位分包、转包的不计分；</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同一合同项下多个项目类型业绩的不重复计分，只计一次，以得分高的计算。</w:t>
            </w:r>
          </w:p>
        </w:tc>
        <w:tc>
          <w:tcPr>
            <w:tcW w:w="512" w:type="pct"/>
            <w:noWrap w:val="0"/>
            <w:vAlign w:val="center"/>
          </w:tcPr>
          <w:p w14:paraId="7DAAF2C1">
            <w:pPr>
              <w:pStyle w:val="13"/>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0-</w:t>
            </w:r>
            <w:r>
              <w:rPr>
                <w:rFonts w:hint="default" w:ascii="Times New Roman" w:hAnsi="Times New Roman" w:eastAsia="仿宋" w:cs="Times New Roman"/>
                <w:bCs/>
                <w:sz w:val="24"/>
                <w:szCs w:val="24"/>
                <w:highlight w:val="none"/>
                <w:lang w:val="en-US" w:eastAsia="zh-CN"/>
              </w:rPr>
              <w:t>12</w:t>
            </w:r>
            <w:r>
              <w:rPr>
                <w:rFonts w:hint="default" w:ascii="Times New Roman" w:hAnsi="Times New Roman" w:eastAsia="仿宋" w:cs="Times New Roman"/>
                <w:bCs/>
                <w:sz w:val="24"/>
                <w:szCs w:val="24"/>
                <w:highlight w:val="none"/>
                <w:lang w:eastAsia="zh-CN"/>
              </w:rPr>
              <w:t>分</w:t>
            </w:r>
          </w:p>
        </w:tc>
      </w:tr>
      <w:tr w14:paraId="3B09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0" w:hRule="atLeast"/>
        </w:trPr>
        <w:tc>
          <w:tcPr>
            <w:tcW w:w="345" w:type="pct"/>
            <w:noWrap w:val="0"/>
            <w:vAlign w:val="center"/>
          </w:tcPr>
          <w:p w14:paraId="3F40396D">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pacing w:val="13"/>
                <w:sz w:val="24"/>
                <w:szCs w:val="24"/>
                <w:highlight w:val="none"/>
                <w:lang w:eastAsia="zh-CN"/>
              </w:rPr>
            </w:pPr>
            <w:r>
              <w:rPr>
                <w:rFonts w:hint="default" w:ascii="Times New Roman" w:hAnsi="Times New Roman" w:eastAsia="仿宋" w:cs="Times New Roman"/>
                <w:bCs/>
                <w:spacing w:val="13"/>
                <w:sz w:val="24"/>
                <w:szCs w:val="24"/>
                <w:highlight w:val="none"/>
                <w:lang w:eastAsia="zh-CN"/>
              </w:rPr>
              <w:t>3.6</w:t>
            </w:r>
          </w:p>
        </w:tc>
        <w:tc>
          <w:tcPr>
            <w:tcW w:w="936" w:type="pct"/>
            <w:noWrap w:val="0"/>
            <w:vAlign w:val="center"/>
          </w:tcPr>
          <w:p w14:paraId="2A05C599">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pacing w:val="13"/>
                <w:sz w:val="24"/>
                <w:szCs w:val="24"/>
                <w:highlight w:val="none"/>
                <w:lang w:val="en-US"/>
              </w:rPr>
            </w:pPr>
            <w:r>
              <w:rPr>
                <w:rFonts w:hint="default" w:ascii="Times New Roman" w:hAnsi="Times New Roman" w:eastAsia="仿宋" w:cs="Times New Roman"/>
                <w:bCs/>
                <w:spacing w:val="13"/>
                <w:sz w:val="24"/>
                <w:szCs w:val="24"/>
                <w:highlight w:val="none"/>
                <w:lang w:val="en-US" w:eastAsia="zh-CN"/>
              </w:rPr>
              <w:t>供应商资质及实力</w:t>
            </w:r>
          </w:p>
        </w:tc>
        <w:tc>
          <w:tcPr>
            <w:tcW w:w="3205" w:type="pct"/>
            <w:noWrap w:val="0"/>
            <w:vAlign w:val="center"/>
          </w:tcPr>
          <w:p w14:paraId="6DE23F70">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供应商具有下列软件著作权证书，每提供1个得</w:t>
            </w: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分，最高得</w:t>
            </w:r>
            <w:r>
              <w:rPr>
                <w:rFonts w:hint="default"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分。</w:t>
            </w:r>
          </w:p>
          <w:p w14:paraId="1B83FB86">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（1）</w:t>
            </w:r>
            <w:r>
              <w:rPr>
                <w:rFonts w:hint="default" w:ascii="Times New Roman" w:hAnsi="Times New Roman" w:eastAsia="仿宋" w:cs="Times New Roman"/>
                <w:bCs/>
                <w:sz w:val="24"/>
                <w:szCs w:val="24"/>
                <w:highlight w:val="none"/>
                <w:lang w:eastAsia="zh-CN"/>
              </w:rPr>
              <w:t>政务公开信息测评系统管控分析软件；</w:t>
            </w:r>
          </w:p>
          <w:p w14:paraId="1E772A0E">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（2）政务公开绩效评估系统；</w:t>
            </w:r>
          </w:p>
          <w:p w14:paraId="3B4777FD">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（3）政务公开大数据分析系统；</w:t>
            </w:r>
          </w:p>
          <w:p w14:paraId="09F1C84D">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（4）</w:t>
            </w:r>
            <w:r>
              <w:rPr>
                <w:rFonts w:hint="default" w:ascii="Times New Roman" w:hAnsi="Times New Roman" w:eastAsia="仿宋" w:cs="Times New Roman"/>
                <w:bCs/>
                <w:sz w:val="24"/>
                <w:szCs w:val="24"/>
                <w:highlight w:val="none"/>
                <w:lang w:eastAsia="zh-CN"/>
              </w:rPr>
              <w:t>政务公开网站测评自动报表系统；</w:t>
            </w:r>
          </w:p>
          <w:p w14:paraId="4C572091">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（5）政务公开综合查询平台系统；</w:t>
            </w:r>
          </w:p>
          <w:p w14:paraId="033D0BA5">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（6）</w:t>
            </w:r>
            <w:r>
              <w:rPr>
                <w:rFonts w:hint="default" w:ascii="Times New Roman" w:hAnsi="Times New Roman" w:eastAsia="仿宋" w:cs="Times New Roman"/>
                <w:bCs/>
                <w:sz w:val="24"/>
                <w:szCs w:val="24"/>
                <w:highlight w:val="none"/>
                <w:lang w:eastAsia="zh-CN"/>
              </w:rPr>
              <w:t>政务公开和网站测评任务督办与绩效改进智能平台。</w:t>
            </w:r>
          </w:p>
          <w:p w14:paraId="350F1633">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2.供应商具有经中国国家认证认可监督管理委员会认证机构颁发的有效的下列证书，一个得1分，最高得3分:</w:t>
            </w:r>
          </w:p>
          <w:p w14:paraId="60B02188">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（1）环境管理体系认证证书；</w:t>
            </w:r>
          </w:p>
          <w:p w14:paraId="5CA134A0">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w:t>
            </w:r>
            <w:r>
              <w:rPr>
                <w:rFonts w:hint="default" w:ascii="Times New Roman" w:hAnsi="Times New Roman" w:eastAsia="仿宋" w:cs="Times New Roman"/>
                <w:bCs/>
                <w:sz w:val="24"/>
                <w:szCs w:val="24"/>
                <w:highlight w:val="none"/>
                <w:lang w:val="en" w:eastAsia="zh-CN"/>
              </w:rPr>
              <w:t>2</w:t>
            </w:r>
            <w:r>
              <w:rPr>
                <w:rFonts w:hint="default" w:ascii="Times New Roman" w:hAnsi="Times New Roman" w:eastAsia="仿宋" w:cs="Times New Roman"/>
                <w:bCs/>
                <w:sz w:val="24"/>
                <w:szCs w:val="24"/>
                <w:highlight w:val="none"/>
                <w:lang w:val="en-US" w:eastAsia="zh-CN"/>
              </w:rPr>
              <w:t>）质量管理体系认证证书；</w:t>
            </w:r>
          </w:p>
          <w:p w14:paraId="7874711D">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val="en-US" w:eastAsia="zh-CN"/>
              </w:rPr>
            </w:pPr>
            <w:r>
              <w:rPr>
                <w:rFonts w:hint="default" w:ascii="Times New Roman" w:hAnsi="Times New Roman" w:eastAsia="仿宋" w:cs="Times New Roman"/>
                <w:bCs/>
                <w:sz w:val="24"/>
                <w:szCs w:val="24"/>
                <w:highlight w:val="none"/>
                <w:lang w:val="en-US" w:eastAsia="zh-CN"/>
              </w:rPr>
              <w:t>（</w:t>
            </w:r>
            <w:r>
              <w:rPr>
                <w:rFonts w:hint="default" w:ascii="Times New Roman" w:hAnsi="Times New Roman" w:eastAsia="仿宋" w:cs="Times New Roman"/>
                <w:bCs/>
                <w:sz w:val="24"/>
                <w:szCs w:val="24"/>
                <w:highlight w:val="none"/>
                <w:lang w:val="en" w:eastAsia="zh-CN"/>
              </w:rPr>
              <w:t>3</w:t>
            </w:r>
            <w:r>
              <w:rPr>
                <w:rFonts w:hint="default" w:ascii="Times New Roman" w:hAnsi="Times New Roman" w:eastAsia="仿宋" w:cs="Times New Roman"/>
                <w:bCs/>
                <w:sz w:val="24"/>
                <w:szCs w:val="24"/>
                <w:highlight w:val="none"/>
                <w:lang w:val="en-US" w:eastAsia="zh-CN"/>
              </w:rPr>
              <w:t>）中国职业健康安全管理体系认证；</w:t>
            </w:r>
          </w:p>
          <w:p w14:paraId="13B0CA59">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3.供应商同时具有信息安全管理体系、信息技术服务管理体系认证证书，得</w:t>
            </w:r>
            <w:r>
              <w:rPr>
                <w:rFonts w:hint="default" w:ascii="Times New Roman" w:hAnsi="Times New Roman" w:eastAsia="仿宋" w:cs="Times New Roman"/>
                <w:bCs/>
                <w:sz w:val="24"/>
                <w:szCs w:val="24"/>
                <w:highlight w:val="none"/>
                <w:lang w:val="en-US" w:eastAsia="zh-CN"/>
              </w:rPr>
              <w:t>3</w:t>
            </w:r>
            <w:r>
              <w:rPr>
                <w:rFonts w:hint="default" w:ascii="Times New Roman" w:hAnsi="Times New Roman" w:eastAsia="仿宋" w:cs="Times New Roman"/>
                <w:bCs/>
                <w:sz w:val="24"/>
                <w:szCs w:val="24"/>
                <w:highlight w:val="none"/>
                <w:lang w:eastAsia="zh-CN"/>
              </w:rPr>
              <w:t>分。</w:t>
            </w:r>
          </w:p>
          <w:p w14:paraId="4487D874">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4.供应商有市级及以上大数据企业证书，得2分。</w:t>
            </w:r>
          </w:p>
          <w:p w14:paraId="5FE40D88">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5.供应商具有AAA信用证书，得2分。</w:t>
            </w:r>
          </w:p>
          <w:p w14:paraId="38DE439C">
            <w:pPr>
              <w:pStyle w:val="13"/>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0"/>
              <w:jc w:val="left"/>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评审依据：提供证书（须在有效期内）复印件。</w:t>
            </w:r>
          </w:p>
        </w:tc>
        <w:tc>
          <w:tcPr>
            <w:tcW w:w="512" w:type="pct"/>
            <w:noWrap w:val="0"/>
            <w:vAlign w:val="center"/>
          </w:tcPr>
          <w:p w14:paraId="40548714">
            <w:pPr>
              <w:pStyle w:val="13"/>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 w:cs="Times New Roman"/>
                <w:bCs/>
                <w:sz w:val="24"/>
                <w:szCs w:val="24"/>
                <w:highlight w:val="none"/>
                <w:lang w:eastAsia="zh-CN"/>
              </w:rPr>
            </w:pPr>
            <w:r>
              <w:rPr>
                <w:rFonts w:hint="default" w:ascii="Times New Roman" w:hAnsi="Times New Roman" w:eastAsia="仿宋" w:cs="Times New Roman"/>
                <w:bCs/>
                <w:sz w:val="24"/>
                <w:szCs w:val="24"/>
                <w:highlight w:val="none"/>
                <w:lang w:eastAsia="zh-CN"/>
              </w:rPr>
              <w:t>0-</w:t>
            </w:r>
            <w:r>
              <w:rPr>
                <w:rFonts w:hint="default" w:ascii="Times New Roman" w:hAnsi="Times New Roman" w:eastAsia="仿宋" w:cs="Times New Roman"/>
                <w:bCs/>
                <w:sz w:val="24"/>
                <w:szCs w:val="24"/>
                <w:highlight w:val="none"/>
                <w:lang w:val="en-US" w:eastAsia="zh-CN"/>
              </w:rPr>
              <w:t>16</w:t>
            </w:r>
            <w:r>
              <w:rPr>
                <w:rFonts w:hint="default" w:ascii="Times New Roman" w:hAnsi="Times New Roman" w:eastAsia="仿宋" w:cs="Times New Roman"/>
                <w:bCs/>
                <w:sz w:val="24"/>
                <w:szCs w:val="24"/>
                <w:highlight w:val="none"/>
                <w:lang w:eastAsia="zh-CN"/>
              </w:rPr>
              <w:t>分</w:t>
            </w:r>
          </w:p>
        </w:tc>
      </w:tr>
    </w:tbl>
    <w:p w14:paraId="7238FA3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highlight w:val="none"/>
        </w:rPr>
      </w:pPr>
      <w:bookmarkStart w:id="3" w:name="_Toc27979_WPSOffice_Level2"/>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lang w:val="en-US" w:eastAsia="zh-CN"/>
        </w:rPr>
        <w:t>二</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评审结果</w:t>
      </w:r>
      <w:bookmarkEnd w:id="3"/>
    </w:p>
    <w:p w14:paraId="0D20B51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bookmarkStart w:id="4" w:name="_Toc8913857"/>
      <w:bookmarkEnd w:id="4"/>
      <w:bookmarkStart w:id="5" w:name="_Toc27979_WPSOffice_Level3"/>
      <w:r>
        <w:rPr>
          <w:rFonts w:hint="default" w:ascii="Times New Roman" w:hAnsi="Times New Roman" w:eastAsia="仿宋_GB2312" w:cs="Times New Roman"/>
          <w:sz w:val="32"/>
          <w:szCs w:val="32"/>
          <w:highlight w:val="none"/>
          <w:lang w:val="en-US" w:eastAsia="zh-CN"/>
        </w:rPr>
        <w:t xml:space="preserve">1. </w:t>
      </w:r>
      <w:r>
        <w:rPr>
          <w:rFonts w:hint="default" w:ascii="Times New Roman" w:hAnsi="Times New Roman" w:eastAsia="仿宋_GB2312" w:cs="Times New Roman"/>
          <w:sz w:val="32"/>
          <w:szCs w:val="32"/>
          <w:highlight w:val="none"/>
        </w:rPr>
        <w:t>中标候选人的确定</w:t>
      </w:r>
      <w:bookmarkEnd w:id="5"/>
    </w:p>
    <w:p w14:paraId="119F6B7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投标人实际得分为商务技术部分评审和报价部分评审 2 项得分之和。</w:t>
      </w:r>
    </w:p>
    <w:p w14:paraId="6D50F6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商务技术部分评审由全体</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成员综合评议并独立打分，投标人最终得分为全体</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成员打分的算术平均值。报价部分评审由</w:t>
      </w:r>
      <w:r>
        <w:rPr>
          <w:rFonts w:hint="eastAsia" w:ascii="Times New Roman" w:hAnsi="Times New Roman" w:eastAsia="仿宋_GB2312" w:cs="Times New Roman"/>
          <w:sz w:val="32"/>
          <w:szCs w:val="32"/>
          <w:highlight w:val="none"/>
          <w:lang w:eastAsia="zh-CN"/>
        </w:rPr>
        <w:t>磋商小</w:t>
      </w:r>
      <w:r>
        <w:rPr>
          <w:rFonts w:hint="default" w:ascii="Times New Roman" w:hAnsi="Times New Roman" w:eastAsia="仿宋_GB2312" w:cs="Times New Roman"/>
          <w:sz w:val="32"/>
          <w:szCs w:val="32"/>
          <w:highlight w:val="none"/>
        </w:rPr>
        <w:t>组统计，待商务技术部分评审结束后由</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成员复核、签字及确认。</w:t>
      </w:r>
    </w:p>
    <w:p w14:paraId="71833A5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根据最终综合得分，评定出投标人排名顺序（从高分到低分）。如果投标人得分相同，则投标报价低的投标人排名</w:t>
      </w:r>
      <w:r>
        <w:rPr>
          <w:rFonts w:hint="default" w:ascii="Times New Roman" w:hAnsi="Times New Roman" w:eastAsia="仿宋_GB2312" w:cs="Times New Roman"/>
          <w:sz w:val="32"/>
          <w:szCs w:val="32"/>
          <w:highlight w:val="none"/>
          <w:lang w:eastAsia="zh-CN"/>
        </w:rPr>
        <w:t>列</w:t>
      </w:r>
      <w:r>
        <w:rPr>
          <w:rFonts w:hint="default" w:ascii="Times New Roman" w:hAnsi="Times New Roman" w:eastAsia="仿宋_GB2312" w:cs="Times New Roman"/>
          <w:sz w:val="32"/>
          <w:szCs w:val="32"/>
          <w:highlight w:val="none"/>
        </w:rPr>
        <w:t>前，若得分和投标报价均相同，以注册资本高的列前。</w:t>
      </w:r>
      <w:bookmarkStart w:id="6" w:name="_Toc8913858"/>
      <w:bookmarkEnd w:id="6"/>
    </w:p>
    <w:p w14:paraId="2CECCC4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bookmarkStart w:id="7" w:name="_Toc13761_WPSOffice_Level3"/>
      <w:r>
        <w:rPr>
          <w:rFonts w:hint="default" w:ascii="Times New Roman" w:hAnsi="Times New Roman" w:eastAsia="仿宋_GB2312" w:cs="Times New Roman"/>
          <w:sz w:val="32"/>
          <w:szCs w:val="32"/>
          <w:highlight w:val="none"/>
          <w:lang w:val="en-US" w:eastAsia="zh-CN"/>
        </w:rPr>
        <w:t xml:space="preserve">2. </w:t>
      </w:r>
      <w:r>
        <w:rPr>
          <w:rFonts w:hint="default" w:ascii="Times New Roman" w:hAnsi="Times New Roman" w:eastAsia="仿宋_GB2312" w:cs="Times New Roman"/>
          <w:sz w:val="32"/>
          <w:szCs w:val="32"/>
          <w:highlight w:val="none"/>
        </w:rPr>
        <w:t>中标人的确定</w:t>
      </w:r>
      <w:bookmarkEnd w:id="7"/>
    </w:p>
    <w:p w14:paraId="540021B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磋商小组</w:t>
      </w:r>
      <w:r>
        <w:rPr>
          <w:rFonts w:hint="default" w:ascii="Times New Roman" w:hAnsi="Times New Roman" w:eastAsia="仿宋_GB2312" w:cs="Times New Roman"/>
          <w:sz w:val="32"/>
          <w:szCs w:val="32"/>
          <w:highlight w:val="none"/>
        </w:rPr>
        <w:t>推荐的中标候选人名单，招标人依法确定中标人。中标候选人主动放弃中标或因其他原因而不与招标人签订合同的，招标人有权按排名顺序从其他投标人以递补方式确定中标人。</w:t>
      </w:r>
    </w:p>
    <w:p w14:paraId="010719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245C59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4BA84F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736DE5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335A7D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0FA12F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5CB79B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4E37AB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257DB0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13816F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2DB082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27"/>
          <w:sz w:val="32"/>
          <w:szCs w:val="32"/>
          <w:shd w:val="clear" w:color="auto" w:fill="FFFFFF"/>
        </w:rPr>
      </w:pPr>
    </w:p>
    <w:p w14:paraId="215534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64" w:beforeAutospacing="0" w:after="105" w:afterAutospacing="0" w:line="580" w:lineRule="exact"/>
        <w:ind w:left="0" w:leftChars="0" w:right="0" w:firstLine="0" w:firstLineChars="0"/>
        <w:jc w:val="both"/>
        <w:textAlignment w:val="auto"/>
        <w:rPr>
          <w:rFonts w:hint="default" w:ascii="Times New Roman" w:hAnsi="Times New Roman" w:cs="Times New Roman"/>
        </w:rPr>
      </w:pPr>
      <w:r>
        <w:rPr>
          <w:rFonts w:hint="default" w:ascii="Times New Roman" w:hAnsi="Times New Roman" w:eastAsia="黑体" w:cs="Times New Roman"/>
          <w:i w:val="0"/>
          <w:iCs w:val="0"/>
          <w:caps w:val="0"/>
          <w:color w:val="333333"/>
          <w:spacing w:val="-27"/>
          <w:sz w:val="32"/>
          <w:szCs w:val="32"/>
          <w:shd w:val="clear" w:color="auto" w:fill="FFFFFF"/>
        </w:rPr>
        <w:t>附件</w:t>
      </w:r>
      <w:r>
        <w:rPr>
          <w:rFonts w:hint="default" w:ascii="Times New Roman" w:hAnsi="Times New Roman" w:eastAsia="微软雅黑" w:cs="Times New Roman"/>
          <w:i w:val="0"/>
          <w:iCs w:val="0"/>
          <w:caps w:val="0"/>
          <w:color w:val="333333"/>
          <w:spacing w:val="-27"/>
          <w:sz w:val="32"/>
          <w:szCs w:val="32"/>
          <w:shd w:val="clear" w:color="auto" w:fill="FFFFFF"/>
        </w:rPr>
        <w:t> </w:t>
      </w:r>
      <w:r>
        <w:rPr>
          <w:rFonts w:hint="default" w:ascii="Times New Roman" w:hAnsi="Times New Roman" w:eastAsia="微软雅黑" w:cs="Times New Roman"/>
          <w:i w:val="0"/>
          <w:iCs w:val="0"/>
          <w:caps w:val="0"/>
          <w:color w:val="333333"/>
          <w:spacing w:val="0"/>
          <w:sz w:val="32"/>
          <w:szCs w:val="32"/>
          <w:shd w:val="clear" w:color="auto" w:fill="FFFFFF"/>
        </w:rPr>
        <w:t>1</w:t>
      </w:r>
    </w:p>
    <w:p w14:paraId="0561A0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262" w:beforeAutospacing="0" w:after="0" w:afterAutospacing="0" w:line="580" w:lineRule="exact"/>
        <w:ind w:right="1122"/>
        <w:jc w:val="center"/>
        <w:textAlignment w:val="auto"/>
        <w:rPr>
          <w:rFonts w:hint="default" w:ascii="Times New Roman" w:hAnsi="Times New Roman" w:eastAsia="微软雅黑" w:cs="Times New Roman"/>
          <w:b w:val="0"/>
          <w:bCs w:val="0"/>
          <w:i w:val="0"/>
          <w:iCs w:val="0"/>
          <w:caps w:val="0"/>
          <w:color w:val="333333"/>
          <w:spacing w:val="-8"/>
          <w:sz w:val="44"/>
          <w:szCs w:val="44"/>
          <w:shd w:val="clear" w:color="auto" w:fill="FFFFFF"/>
        </w:rPr>
      </w:pPr>
      <w:r>
        <w:rPr>
          <w:rFonts w:hint="default" w:ascii="Times New Roman" w:hAnsi="Times New Roman" w:eastAsia="微软雅黑" w:cs="Times New Roman"/>
          <w:b w:val="0"/>
          <w:bCs w:val="0"/>
          <w:i w:val="0"/>
          <w:iCs w:val="0"/>
          <w:caps w:val="0"/>
          <w:color w:val="333333"/>
          <w:spacing w:val="-8"/>
          <w:sz w:val="44"/>
          <w:szCs w:val="44"/>
          <w:shd w:val="clear" w:color="auto" w:fill="FFFFFF"/>
        </w:rPr>
        <w:t>服务响应表</w:t>
      </w:r>
    </w:p>
    <w:p w14:paraId="22C522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 w:beforeAutospacing="0" w:after="0" w:afterAutospacing="0" w:line="300" w:lineRule="exact"/>
        <w:ind w:left="0" w:right="0"/>
        <w:jc w:val="both"/>
        <w:textAlignment w:val="auto"/>
        <w:rPr>
          <w:rFonts w:hint="default" w:ascii="Times New Roman" w:hAnsi="Times New Roman" w:cs="Times New Roman"/>
        </w:rPr>
      </w:pPr>
      <w:r>
        <w:rPr>
          <w:rFonts w:hint="default" w:ascii="Times New Roman" w:hAnsi="Times New Roman" w:eastAsia="微软雅黑" w:cs="Times New Roman"/>
          <w:i w:val="0"/>
          <w:iCs w:val="0"/>
          <w:caps w:val="0"/>
          <w:color w:val="333333"/>
          <w:spacing w:val="0"/>
          <w:sz w:val="13"/>
          <w:szCs w:val="13"/>
          <w:shd w:val="clear" w:color="auto" w:fill="FFFFFF"/>
        </w:rPr>
        <w:t> </w:t>
      </w:r>
    </w:p>
    <w:tbl>
      <w:tblPr>
        <w:tblStyle w:val="10"/>
        <w:tblW w:w="831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108"/>
        <w:gridCol w:w="1304"/>
        <w:gridCol w:w="2584"/>
        <w:gridCol w:w="1776"/>
        <w:gridCol w:w="1544"/>
      </w:tblGrid>
      <w:tr w14:paraId="49B065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4" w:hRule="atLeast"/>
          <w:jc w:val="center"/>
        </w:trPr>
        <w:tc>
          <w:tcPr>
            <w:tcW w:w="4996" w:type="dxa"/>
            <w:gridSpan w:val="3"/>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24C04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 w:beforeAutospacing="0" w:after="0" w:afterAutospacing="0" w:line="560" w:lineRule="exact"/>
              <w:ind w:right="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按招标文件规定填写</w:t>
            </w:r>
          </w:p>
        </w:tc>
        <w:tc>
          <w:tcPr>
            <w:tcW w:w="3320" w:type="dxa"/>
            <w:gridSpan w:val="2"/>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A7191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 w:beforeAutospacing="0" w:after="0" w:afterAutospacing="0" w:line="560" w:lineRule="exact"/>
              <w:ind w:left="0" w:leftChars="0" w:right="0" w:firstLine="0" w:firstLineChars="0"/>
              <w:jc w:val="center"/>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按供应商所投内容填写</w:t>
            </w:r>
          </w:p>
        </w:tc>
      </w:tr>
      <w:tr w14:paraId="09516D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jc w:val="center"/>
        </w:trPr>
        <w:tc>
          <w:tcPr>
            <w:tcW w:w="8316" w:type="dxa"/>
            <w:gridSpan w:val="5"/>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EAD16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 w:beforeAutospacing="0" w:after="0" w:afterAutospacing="0" w:line="560" w:lineRule="exact"/>
              <w:ind w:left="0" w:leftChars="0" w:right="2580"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第一部分：技术部分响应</w:t>
            </w:r>
          </w:p>
        </w:tc>
      </w:tr>
      <w:tr w14:paraId="6C9AC7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B01C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 w:beforeAutospacing="0" w:after="0" w:afterAutospacing="0" w:line="560" w:lineRule="exact"/>
              <w:ind w:left="0" w:leftChars="0" w:right="215" w:firstLine="0" w:firstLineChars="0"/>
              <w:jc w:val="both"/>
              <w:textAlignment w:val="auto"/>
              <w:rPr>
                <w:rFonts w:hint="eastAsia" w:ascii="国标黑体" w:hAnsi="国标黑体" w:eastAsia="国标黑体" w:cs="国标黑体"/>
                <w:sz w:val="21"/>
                <w:szCs w:val="21"/>
              </w:rPr>
            </w:pPr>
            <w:r>
              <w:rPr>
                <w:rFonts w:hint="eastAsia" w:ascii="国标黑体" w:hAnsi="国标黑体" w:eastAsia="国标黑体" w:cs="国标黑体"/>
                <w:sz w:val="21"/>
                <w:szCs w:val="21"/>
              </w:rPr>
              <w:t>序号</w:t>
            </w:r>
          </w:p>
        </w:tc>
        <w:tc>
          <w:tcPr>
            <w:tcW w:w="1304"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5E5D9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 w:beforeAutospacing="0" w:after="0" w:afterAutospacing="0" w:line="560" w:lineRule="exact"/>
              <w:ind w:left="0" w:leftChars="0" w:right="215" w:firstLine="0" w:firstLineChars="0"/>
              <w:jc w:val="both"/>
              <w:textAlignment w:val="auto"/>
              <w:rPr>
                <w:rFonts w:hint="eastAsia" w:ascii="国标黑体" w:hAnsi="国标黑体" w:eastAsia="国标黑体" w:cs="国标黑体"/>
                <w:sz w:val="21"/>
                <w:szCs w:val="21"/>
              </w:rPr>
            </w:pPr>
            <w:r>
              <w:rPr>
                <w:rFonts w:hint="eastAsia" w:ascii="国标黑体" w:hAnsi="国标黑体" w:eastAsia="国标黑体" w:cs="国标黑体"/>
                <w:sz w:val="21"/>
                <w:szCs w:val="21"/>
              </w:rPr>
              <w:t>品名</w:t>
            </w:r>
          </w:p>
        </w:tc>
        <w:tc>
          <w:tcPr>
            <w:tcW w:w="4360" w:type="dxa"/>
            <w:gridSpan w:val="2"/>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D36B3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 w:beforeAutospacing="0" w:after="0" w:afterAutospacing="0" w:line="560" w:lineRule="exact"/>
              <w:ind w:left="228" w:right="215"/>
              <w:jc w:val="both"/>
              <w:textAlignment w:val="auto"/>
              <w:rPr>
                <w:rFonts w:hint="eastAsia" w:ascii="国标黑体" w:hAnsi="国标黑体" w:eastAsia="国标黑体" w:cs="国标黑体"/>
                <w:sz w:val="21"/>
                <w:szCs w:val="21"/>
                <w:lang w:val="en-US" w:eastAsia="zh-CN"/>
              </w:rPr>
            </w:pPr>
            <w:r>
              <w:rPr>
                <w:rFonts w:hint="eastAsia" w:ascii="国标黑体" w:hAnsi="国标黑体" w:eastAsia="国标黑体" w:cs="国标黑体"/>
                <w:sz w:val="21"/>
                <w:szCs w:val="21"/>
                <w:lang w:val="en-US" w:eastAsia="zh-CN"/>
              </w:rPr>
              <w:t xml:space="preserve"> 服务内容</w:t>
            </w:r>
          </w:p>
        </w:tc>
        <w:tc>
          <w:tcPr>
            <w:tcW w:w="1544"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225AF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 w:beforeAutospacing="0" w:after="0" w:afterAutospacing="0" w:line="560" w:lineRule="exact"/>
              <w:ind w:left="0" w:leftChars="0" w:right="215" w:firstLine="0" w:firstLineChars="0"/>
              <w:jc w:val="both"/>
              <w:textAlignment w:val="auto"/>
              <w:rPr>
                <w:rFonts w:hint="eastAsia" w:ascii="国标黑体" w:hAnsi="国标黑体" w:eastAsia="国标黑体" w:cs="国标黑体"/>
                <w:sz w:val="21"/>
                <w:szCs w:val="21"/>
              </w:rPr>
            </w:pPr>
            <w:r>
              <w:rPr>
                <w:rFonts w:hint="eastAsia" w:ascii="国标黑体" w:hAnsi="国标黑体" w:eastAsia="国标黑体" w:cs="国标黑体"/>
                <w:sz w:val="21"/>
                <w:szCs w:val="21"/>
              </w:rPr>
              <w:t>偏离说明</w:t>
            </w:r>
          </w:p>
        </w:tc>
      </w:tr>
      <w:tr w14:paraId="797244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60C04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1" w:beforeAutospacing="0" w:after="0" w:afterAutospacing="0" w:line="560" w:lineRule="exact"/>
              <w:ind w:left="7" w:righ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7DF6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4360" w:type="dxa"/>
            <w:gridSpan w:val="2"/>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FA3F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959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7D71F1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EA6D2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1" w:beforeAutospacing="0" w:after="0" w:afterAutospacing="0" w:line="560" w:lineRule="exact"/>
              <w:ind w:left="7" w:righ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953D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4360" w:type="dxa"/>
            <w:gridSpan w:val="2"/>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E823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193E60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3B29A9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3"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5DE7D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1" w:beforeAutospacing="0" w:after="0" w:afterAutospacing="0" w:line="560" w:lineRule="exact"/>
              <w:ind w:left="7" w:righ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3</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37F7F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4360" w:type="dxa"/>
            <w:gridSpan w:val="2"/>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E6753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33F2B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51795F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C493E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1" w:beforeAutospacing="0" w:after="0" w:afterAutospacing="0" w:line="560" w:lineRule="exact"/>
              <w:ind w:left="7" w:right="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50BE5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4360" w:type="dxa"/>
            <w:gridSpan w:val="2"/>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4BE26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523D3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0B4112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3" w:hRule="atLeast"/>
          <w:jc w:val="center"/>
        </w:trPr>
        <w:tc>
          <w:tcPr>
            <w:tcW w:w="8316" w:type="dxa"/>
            <w:gridSpan w:val="5"/>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1EB81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2580"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第二部分：资信及报价部分响应</w:t>
            </w:r>
          </w:p>
        </w:tc>
      </w:tr>
      <w:tr w14:paraId="29E2E7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E1123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246"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序号</w:t>
            </w:r>
          </w:p>
        </w:tc>
        <w:tc>
          <w:tcPr>
            <w:tcW w:w="1304"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BD71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215"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内容</w:t>
            </w:r>
          </w:p>
        </w:tc>
        <w:tc>
          <w:tcPr>
            <w:tcW w:w="2584"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E49F8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0"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招标文件要求</w:t>
            </w:r>
          </w:p>
        </w:tc>
        <w:tc>
          <w:tcPr>
            <w:tcW w:w="177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3C854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0"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响应承诺</w:t>
            </w:r>
          </w:p>
        </w:tc>
        <w:tc>
          <w:tcPr>
            <w:tcW w:w="1544"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F6B07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51" w:beforeAutospacing="0" w:after="0" w:afterAutospacing="0" w:line="560" w:lineRule="exact"/>
              <w:ind w:left="0" w:leftChars="0" w:right="0" w:firstLine="0" w:firstLineChars="0"/>
              <w:jc w:val="both"/>
              <w:textAlignment w:val="auto"/>
              <w:rPr>
                <w:rFonts w:hint="default" w:ascii="Times New Roman" w:hAnsi="Times New Roman" w:cs="Times New Roman"/>
                <w:sz w:val="21"/>
                <w:szCs w:val="21"/>
              </w:rPr>
            </w:pPr>
            <w:r>
              <w:rPr>
                <w:rFonts w:hint="default" w:ascii="Times New Roman" w:hAnsi="Times New Roman" w:eastAsia="黑体" w:cs="Times New Roman"/>
                <w:sz w:val="21"/>
                <w:szCs w:val="21"/>
              </w:rPr>
              <w:t>偏离说明</w:t>
            </w:r>
          </w:p>
        </w:tc>
      </w:tr>
      <w:tr w14:paraId="34D81C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3"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59C32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3" w:beforeAutospacing="0" w:after="0" w:afterAutospacing="0" w:line="560" w:lineRule="exact"/>
              <w:ind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962AC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7" w:beforeAutospacing="0" w:after="0" w:afterAutospacing="0" w:line="560" w:lineRule="exact"/>
              <w:ind w:left="0" w:leftChars="0" w:right="220" w:firstLine="0" w:firstLineChars="0"/>
              <w:jc w:val="both"/>
              <w:textAlignment w:val="auto"/>
              <w:rPr>
                <w:rFonts w:hint="default" w:ascii="Times New Roman" w:hAnsi="Times New Roman" w:cs="Times New Roman"/>
                <w:sz w:val="21"/>
                <w:szCs w:val="21"/>
              </w:rPr>
            </w:pPr>
            <w:r>
              <w:rPr>
                <w:rFonts w:hint="default" w:ascii="Times New Roman" w:hAnsi="Times New Roman" w:eastAsia="宋体" w:cs="Times New Roman"/>
                <w:sz w:val="21"/>
                <w:szCs w:val="21"/>
              </w:rPr>
              <w:t>付款响应</w:t>
            </w:r>
          </w:p>
        </w:tc>
        <w:tc>
          <w:tcPr>
            <w:tcW w:w="258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7AD61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776"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A51C1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25A90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536C1C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2"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3FE80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92" w:beforeAutospacing="0" w:after="0" w:afterAutospacing="0" w:line="560" w:lineRule="exact"/>
              <w:ind w:left="7"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2</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40DB6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7" w:beforeAutospacing="0" w:after="0" w:afterAutospacing="0" w:line="560" w:lineRule="exact"/>
              <w:ind w:left="0" w:leftChars="0" w:right="220" w:firstLine="0" w:firstLineChars="0"/>
              <w:jc w:val="both"/>
              <w:textAlignment w:val="auto"/>
              <w:rPr>
                <w:rFonts w:hint="default" w:ascii="Times New Roman" w:hAnsi="Times New Roman" w:cs="Times New Roman"/>
                <w:sz w:val="21"/>
                <w:szCs w:val="21"/>
              </w:rPr>
            </w:pPr>
            <w:r>
              <w:rPr>
                <w:rFonts w:hint="default" w:ascii="Times New Roman" w:hAnsi="Times New Roman" w:eastAsia="宋体" w:cs="Times New Roman"/>
                <w:sz w:val="21"/>
                <w:szCs w:val="21"/>
              </w:rPr>
              <w:t>其他</w:t>
            </w:r>
          </w:p>
        </w:tc>
        <w:tc>
          <w:tcPr>
            <w:tcW w:w="258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DC836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776"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C32D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8FF87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r w14:paraId="5C87DA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7" w:hRule="atLeast"/>
          <w:jc w:val="center"/>
        </w:trPr>
        <w:tc>
          <w:tcPr>
            <w:tcW w:w="1108"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6FF57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85" w:beforeAutospacing="0" w:after="0" w:afterAutospacing="0" w:line="560" w:lineRule="exact"/>
              <w:ind w:left="7"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3</w:t>
            </w:r>
          </w:p>
        </w:tc>
        <w:tc>
          <w:tcPr>
            <w:tcW w:w="130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D015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258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8BE10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776"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43BA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c>
          <w:tcPr>
            <w:tcW w:w="1544" w:type="dxa"/>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91B14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5" w:beforeAutospacing="0" w:after="0" w:afterAutospacing="0" w:line="560" w:lineRule="exact"/>
              <w:ind w:left="0" w:right="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w:t>
            </w:r>
          </w:p>
        </w:tc>
      </w:tr>
    </w:tbl>
    <w:p w14:paraId="14D5A6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400" w:lineRule="exact"/>
        <w:ind w:right="0" w:rightChars="0" w:firstLine="4200" w:firstLineChars="2000"/>
        <w:jc w:val="both"/>
        <w:textAlignment w:val="auto"/>
        <w:rPr>
          <w:rFonts w:hint="default" w:ascii="Times New Roman" w:hAnsi="Times New Roman" w:eastAsia="宋体" w:cs="Times New Roman"/>
        </w:rPr>
      </w:pPr>
      <w:r>
        <w:rPr>
          <w:rFonts w:hint="default" w:ascii="Times New Roman" w:hAnsi="Times New Roman" w:eastAsia="宋体" w:cs="Times New Roman"/>
          <w:lang w:val="en-US" w:eastAsia="zh-CN"/>
        </w:rPr>
        <w:t>供应商签章： </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年  月 </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 xml:space="preserve"> 日</w:t>
      </w:r>
    </w:p>
    <w:p w14:paraId="44E83F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400" w:lineRule="exact"/>
        <w:ind w:right="0" w:rightChars="0"/>
        <w:jc w:val="both"/>
        <w:textAlignment w:val="auto"/>
        <w:rPr>
          <w:rFonts w:hint="default" w:ascii="Times New Roman" w:hAnsi="Times New Roman" w:cs="Times New Roman"/>
        </w:rPr>
      </w:pPr>
      <w:r>
        <w:rPr>
          <w:rFonts w:hint="default" w:ascii="Times New Roman" w:hAnsi="Times New Roman" w:cs="Times New Roman"/>
        </w:rPr>
        <w:t>注：1. 供应商必须逐项对应描述服务要求，如不进行描述，仅在响应栏填“响应”或未填写或复制（包括全部复制或部分复制）招标文件采购需求的，包括有选择性的技术响应（例如在某一分项中出现两个及以上的或两种及两种以上的技术规格），均可能导致响应无效；</w:t>
      </w:r>
    </w:p>
    <w:p w14:paraId="5E57A5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400" w:lineRule="exact"/>
        <w:ind w:right="0" w:rightChars="0"/>
        <w:jc w:val="both"/>
        <w:textAlignment w:val="auto"/>
        <w:rPr>
          <w:rFonts w:hint="default" w:ascii="Times New Roman" w:hAnsi="Times New Roman" w:cs="Times New Roman"/>
        </w:rPr>
      </w:pPr>
      <w:r>
        <w:rPr>
          <w:rFonts w:hint="default" w:ascii="Times New Roman" w:hAnsi="Times New Roman" w:cs="Times New Roman"/>
        </w:rPr>
        <w:t>2.偏离说明项需注明：完全响应或正偏离或负偏离（满足用户需求）。正偏离或负偏离还需详细描述偏离情况。</w:t>
      </w:r>
    </w:p>
    <w:p w14:paraId="76B137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400" w:lineRule="exact"/>
        <w:ind w:right="0" w:rightChars="0"/>
        <w:jc w:val="both"/>
        <w:textAlignment w:val="auto"/>
        <w:rPr>
          <w:rFonts w:hint="default" w:ascii="Times New Roman" w:hAnsi="Times New Roman" w:eastAsia="黑体" w:cs="Times New Roman"/>
          <w:i w:val="0"/>
          <w:iCs w:val="0"/>
          <w:caps w:val="0"/>
          <w:color w:val="333333"/>
          <w:spacing w:val="0"/>
          <w:sz w:val="32"/>
          <w:szCs w:val="32"/>
          <w:shd w:val="clear" w:color="auto" w:fill="FFFFFF"/>
        </w:rPr>
      </w:pPr>
      <w:r>
        <w:rPr>
          <w:rFonts w:hint="eastAsia" w:ascii="Times New Roman" w:hAnsi="Times New Roman" w:cs="Times New Roman"/>
          <w:lang w:val="en-US" w:eastAsia="zh-CN"/>
        </w:rPr>
        <w:t>3.</w:t>
      </w:r>
      <w:r>
        <w:rPr>
          <w:rFonts w:hint="default" w:ascii="Times New Roman" w:hAnsi="Times New Roman" w:cs="Times New Roman"/>
        </w:rPr>
        <w:t>响应部分可后附详细说明及技术资料。</w:t>
      </w:r>
    </w:p>
    <w:p w14:paraId="4B8C449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0" w:leftChars="0" w:right="0" w:firstLine="0" w:firstLineChars="0"/>
        <w:jc w:val="both"/>
        <w:textAlignment w:val="auto"/>
        <w:rPr>
          <w:rFonts w:hint="default" w:ascii="Times New Roman" w:hAnsi="Times New Roman" w:eastAsia="微软雅黑" w:cs="Times New Roman"/>
          <w:i w:val="0"/>
          <w:iCs w:val="0"/>
          <w:caps w:val="0"/>
          <w:color w:val="333333"/>
          <w:spacing w:val="0"/>
          <w:sz w:val="32"/>
          <w:szCs w:val="32"/>
          <w:shd w:val="clear" w:color="auto" w:fill="FFFFFF"/>
        </w:rPr>
      </w:pPr>
      <w:r>
        <w:rPr>
          <w:rFonts w:hint="default" w:ascii="Times New Roman" w:hAnsi="Times New Roman" w:eastAsia="黑体" w:cs="Times New Roman"/>
          <w:i w:val="0"/>
          <w:iCs w:val="0"/>
          <w:caps w:val="0"/>
          <w:color w:val="333333"/>
          <w:spacing w:val="0"/>
          <w:sz w:val="32"/>
          <w:szCs w:val="32"/>
          <w:shd w:val="clear" w:color="auto" w:fill="FFFFFF"/>
        </w:rPr>
        <w:t>附件</w:t>
      </w:r>
      <w:r>
        <w:rPr>
          <w:rFonts w:hint="default" w:ascii="Times New Roman" w:hAnsi="Times New Roman" w:eastAsia="微软雅黑" w:cs="Times New Roman"/>
          <w:i w:val="0"/>
          <w:iCs w:val="0"/>
          <w:caps w:val="0"/>
          <w:color w:val="333333"/>
          <w:spacing w:val="0"/>
          <w:sz w:val="32"/>
          <w:szCs w:val="32"/>
          <w:shd w:val="clear" w:color="auto" w:fill="FFFFFF"/>
        </w:rPr>
        <w:t> 2</w:t>
      </w:r>
    </w:p>
    <w:p w14:paraId="588C85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466" w:right="0"/>
        <w:jc w:val="both"/>
        <w:textAlignment w:val="auto"/>
        <w:rPr>
          <w:rFonts w:hint="default" w:ascii="Times New Roman" w:hAnsi="Times New Roman" w:eastAsia="微软雅黑" w:cs="Times New Roman"/>
          <w:i w:val="0"/>
          <w:iCs w:val="0"/>
          <w:caps w:val="0"/>
          <w:color w:val="333333"/>
          <w:spacing w:val="0"/>
          <w:sz w:val="32"/>
          <w:szCs w:val="32"/>
          <w:shd w:val="clear" w:color="auto" w:fill="FFFFFF"/>
        </w:rPr>
      </w:pPr>
    </w:p>
    <w:p w14:paraId="612E296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微软雅黑" w:cs="Times New Roman"/>
          <w:kern w:val="0"/>
          <w:sz w:val="44"/>
          <w:szCs w:val="44"/>
          <w:lang w:val="en-US" w:eastAsia="zh-CN"/>
        </w:rPr>
      </w:pPr>
      <w:r>
        <w:rPr>
          <w:rFonts w:hint="default" w:ascii="Times New Roman" w:hAnsi="Times New Roman" w:eastAsia="微软雅黑" w:cs="Times New Roman"/>
          <w:kern w:val="0"/>
          <w:sz w:val="44"/>
          <w:szCs w:val="44"/>
        </w:rPr>
        <w:t>投标企业符合《政府采购法》第</w:t>
      </w:r>
      <w:r>
        <w:rPr>
          <w:rFonts w:hint="default" w:ascii="Times New Roman" w:hAnsi="Times New Roman" w:eastAsia="微软雅黑" w:cs="Times New Roman"/>
          <w:kern w:val="0"/>
          <w:sz w:val="44"/>
          <w:szCs w:val="44"/>
          <w:lang w:val="en-US" w:eastAsia="zh-CN"/>
        </w:rPr>
        <w:t>二十二条</w:t>
      </w:r>
    </w:p>
    <w:p w14:paraId="6FC269A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微软雅黑" w:cs="Times New Roman"/>
          <w:kern w:val="0"/>
          <w:sz w:val="44"/>
          <w:szCs w:val="44"/>
          <w:lang w:val="en-US" w:eastAsia="zh-CN"/>
        </w:rPr>
      </w:pPr>
      <w:r>
        <w:rPr>
          <w:rFonts w:hint="default" w:ascii="Times New Roman" w:hAnsi="Times New Roman" w:eastAsia="微软雅黑" w:cs="Times New Roman"/>
          <w:kern w:val="0"/>
          <w:sz w:val="44"/>
          <w:szCs w:val="44"/>
          <w:lang w:val="en-US" w:eastAsia="zh-CN"/>
        </w:rPr>
        <w:t>规定声明函</w:t>
      </w:r>
    </w:p>
    <w:p w14:paraId="391AB604">
      <w:pPr>
        <w:pStyle w:val="2"/>
        <w:keepNext w:val="0"/>
        <w:keepLines w:val="0"/>
        <w:pageBreakBefore w:val="0"/>
        <w:tabs>
          <w:tab w:val="left" w:pos="567"/>
        </w:tabs>
        <w:kinsoku/>
        <w:wordWrap/>
        <w:overflowPunct/>
        <w:topLinePunct w:val="0"/>
        <w:autoSpaceDE/>
        <w:autoSpaceDN/>
        <w:bidi w:val="0"/>
        <w:textAlignment w:val="auto"/>
        <w:rPr>
          <w:rFonts w:hint="default"/>
          <w:lang w:val="en-US" w:eastAsia="zh-CN"/>
        </w:rPr>
      </w:pPr>
    </w:p>
    <w:p w14:paraId="3F892A8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根据《财政部关于促进政府采购公平竞争优化营商环境的通知》（财库</w:t>
      </w:r>
      <w:r>
        <w:rPr>
          <w:rFonts w:hint="default" w:ascii="Times New Roman" w:hAnsi="Times New Roman" w:eastAsia="仿宋_GB2312" w:cs="Times New Roman"/>
          <w:kern w:val="0"/>
          <w:sz w:val="32"/>
          <w:szCs w:val="32"/>
          <w:lang w:val="en-US" w:eastAsia="zh-CN" w:bidi="ar-SA"/>
        </w:rPr>
        <w:t>〔2019〕38</w:t>
      </w:r>
      <w:r>
        <w:rPr>
          <w:rFonts w:hint="default" w:ascii="Times New Roman" w:hAnsi="Times New Roman" w:eastAsia="仿宋_GB2312" w:cs="Times New Roman"/>
          <w:kern w:val="0"/>
          <w:sz w:val="32"/>
          <w:szCs w:val="32"/>
        </w:rPr>
        <w:t>号）的规定，本公司郑重声明</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本公司同时满足以下条件：</w:t>
      </w:r>
    </w:p>
    <w:p w14:paraId="1619341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SA"/>
        </w:rPr>
        <w:t>1</w:t>
      </w:r>
      <w:r>
        <w:rPr>
          <w:rFonts w:hint="default" w:ascii="Times New Roman" w:hAnsi="Times New Roman" w:eastAsia="仿宋_GB2312" w:cs="Times New Roman"/>
          <w:kern w:val="0"/>
          <w:sz w:val="32"/>
          <w:szCs w:val="32"/>
        </w:rPr>
        <w:t>. 符合《中华人民共和国政府采购法》第二十二条规定。</w:t>
      </w:r>
    </w:p>
    <w:p w14:paraId="13F7763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SA"/>
        </w:rPr>
        <w:t>2</w:t>
      </w:r>
      <w:r>
        <w:rPr>
          <w:rFonts w:hint="default" w:ascii="Times New Roman" w:hAnsi="Times New Roman" w:eastAsia="仿宋_GB2312" w:cs="Times New Roman"/>
          <w:kern w:val="0"/>
          <w:sz w:val="32"/>
          <w:szCs w:val="32"/>
        </w:rPr>
        <w:t>. 本公司参加本项目采购活动由本</w:t>
      </w:r>
      <w:r>
        <w:rPr>
          <w:rFonts w:hint="eastAsia" w:ascii="Times New Roman" w:hAnsi="Times New Roman" w:eastAsia="仿宋_GB2312" w:cs="Times New Roman"/>
          <w:kern w:val="0"/>
          <w:sz w:val="32"/>
          <w:szCs w:val="32"/>
          <w:lang w:eastAsia="zh-CN"/>
        </w:rPr>
        <w:t>单位</w:t>
      </w:r>
      <w:r>
        <w:rPr>
          <w:rFonts w:hint="default" w:ascii="Times New Roman" w:hAnsi="Times New Roman" w:eastAsia="仿宋_GB2312" w:cs="Times New Roman"/>
          <w:kern w:val="0"/>
          <w:sz w:val="32"/>
          <w:szCs w:val="32"/>
        </w:rPr>
        <w:t>提供服务。</w:t>
      </w:r>
    </w:p>
    <w:p w14:paraId="3C8AB9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本公司对上述声明的真实性负责。如有虚假，将依法承担相应责任。</w:t>
      </w:r>
    </w:p>
    <w:p w14:paraId="5DA7F73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w:t>
      </w:r>
    </w:p>
    <w:p w14:paraId="3CA8DF8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w:t>
      </w:r>
    </w:p>
    <w:p w14:paraId="61159BB9">
      <w:pPr>
        <w:pStyle w:val="2"/>
        <w:rPr>
          <w:rFonts w:hint="default"/>
        </w:rPr>
      </w:pPr>
    </w:p>
    <w:p w14:paraId="643DFC41">
      <w:pPr>
        <w:keepNext w:val="0"/>
        <w:keepLines w:val="0"/>
        <w:pageBreakBefore w:val="0"/>
        <w:widowControl w:val="0"/>
        <w:kinsoku/>
        <w:wordWrap/>
        <w:overflowPunct/>
        <w:topLinePunct w:val="0"/>
        <w:autoSpaceDE/>
        <w:autoSpaceDN/>
        <w:bidi w:val="0"/>
        <w:adjustRightInd w:val="0"/>
        <w:snapToGrid w:val="0"/>
        <w:spacing w:line="580" w:lineRule="exact"/>
        <w:ind w:firstLine="4480" w:firstLineChars="14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供应商签章：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年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日</w:t>
      </w:r>
    </w:p>
    <w:p w14:paraId="22D8621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p>
    <w:p w14:paraId="420DEF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3" w:beforeAutospacing="0" w:after="105" w:afterAutospacing="0" w:line="580" w:lineRule="exact"/>
        <w:ind w:left="0" w:right="0"/>
        <w:jc w:val="both"/>
        <w:textAlignment w:val="auto"/>
        <w:rPr>
          <w:rFonts w:hint="default" w:ascii="Times New Roman" w:hAnsi="Times New Roman" w:eastAsia="微软雅黑" w:cs="Times New Roman"/>
          <w:i w:val="0"/>
          <w:iCs w:val="0"/>
          <w:caps w:val="0"/>
          <w:color w:val="333333"/>
          <w:spacing w:val="0"/>
          <w:sz w:val="16"/>
          <w:szCs w:val="16"/>
          <w:shd w:val="clear" w:color="auto" w:fill="FFFFFF"/>
        </w:rPr>
      </w:pPr>
      <w:r>
        <w:rPr>
          <w:rFonts w:hint="default" w:ascii="Times New Roman" w:hAnsi="Times New Roman" w:eastAsia="微软雅黑" w:cs="Times New Roman"/>
          <w:i w:val="0"/>
          <w:iCs w:val="0"/>
          <w:caps w:val="0"/>
          <w:color w:val="333333"/>
          <w:spacing w:val="0"/>
          <w:sz w:val="16"/>
          <w:szCs w:val="16"/>
          <w:shd w:val="clear" w:color="auto" w:fill="FFFFFF"/>
        </w:rPr>
        <w:t> </w:t>
      </w:r>
    </w:p>
    <w:p w14:paraId="23F875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3" w:beforeAutospacing="0" w:after="105" w:afterAutospacing="0" w:line="580" w:lineRule="exact"/>
        <w:ind w:left="0" w:right="0"/>
        <w:jc w:val="both"/>
        <w:textAlignment w:val="auto"/>
        <w:rPr>
          <w:rFonts w:hint="default" w:ascii="Times New Roman" w:hAnsi="Times New Roman" w:eastAsia="微软雅黑" w:cs="Times New Roman"/>
          <w:i w:val="0"/>
          <w:iCs w:val="0"/>
          <w:caps w:val="0"/>
          <w:color w:val="333333"/>
          <w:spacing w:val="0"/>
          <w:sz w:val="16"/>
          <w:szCs w:val="16"/>
          <w:shd w:val="clear" w:color="auto" w:fill="FFFFFF"/>
        </w:rPr>
      </w:pPr>
    </w:p>
    <w:p w14:paraId="0C0E39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3" w:beforeAutospacing="0" w:after="105" w:afterAutospacing="0" w:line="580" w:lineRule="exact"/>
        <w:ind w:left="0" w:right="0"/>
        <w:jc w:val="both"/>
        <w:textAlignment w:val="auto"/>
        <w:rPr>
          <w:rFonts w:hint="default" w:ascii="Times New Roman" w:hAnsi="Times New Roman" w:eastAsia="微软雅黑" w:cs="Times New Roman"/>
          <w:i w:val="0"/>
          <w:iCs w:val="0"/>
          <w:caps w:val="0"/>
          <w:color w:val="333333"/>
          <w:spacing w:val="0"/>
          <w:sz w:val="16"/>
          <w:szCs w:val="16"/>
          <w:shd w:val="clear" w:color="auto" w:fill="FFFFFF"/>
        </w:rPr>
      </w:pPr>
    </w:p>
    <w:p w14:paraId="5B54EA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64" w:beforeAutospacing="0" w:after="105" w:afterAutospacing="0" w:line="580" w:lineRule="exact"/>
        <w:ind w:right="0"/>
        <w:jc w:val="both"/>
        <w:textAlignment w:val="auto"/>
        <w:rPr>
          <w:rFonts w:hint="default" w:ascii="Times New Roman" w:hAnsi="Times New Roman" w:eastAsia="黑体" w:cs="Times New Roman"/>
          <w:i w:val="0"/>
          <w:iCs w:val="0"/>
          <w:caps w:val="0"/>
          <w:color w:val="333333"/>
          <w:spacing w:val="0"/>
          <w:sz w:val="32"/>
          <w:szCs w:val="32"/>
          <w:shd w:val="clear" w:color="auto" w:fill="FFFFFF"/>
        </w:rPr>
      </w:pPr>
    </w:p>
    <w:p w14:paraId="759BC7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0" w:firstLineChars="0"/>
        <w:jc w:val="both"/>
        <w:textAlignment w:val="auto"/>
        <w:rPr>
          <w:rFonts w:hint="default" w:ascii="Times New Roman" w:hAnsi="Times New Roman" w:cs="Times New Roman"/>
        </w:rPr>
      </w:pPr>
      <w:r>
        <w:rPr>
          <w:rFonts w:hint="default" w:ascii="Times New Roman" w:hAnsi="Times New Roman" w:eastAsia="黑体" w:cs="Times New Roman"/>
          <w:i w:val="0"/>
          <w:iCs w:val="0"/>
          <w:caps w:val="0"/>
          <w:color w:val="333333"/>
          <w:spacing w:val="0"/>
          <w:sz w:val="32"/>
          <w:szCs w:val="32"/>
          <w:shd w:val="clear" w:color="auto" w:fill="FFFFFF"/>
        </w:rPr>
        <w:t>附件</w:t>
      </w:r>
      <w:r>
        <w:rPr>
          <w:rFonts w:hint="default" w:ascii="Times New Roman" w:hAnsi="Times New Roman" w:eastAsia="微软雅黑" w:cs="Times New Roman"/>
          <w:i w:val="0"/>
          <w:iCs w:val="0"/>
          <w:caps w:val="0"/>
          <w:color w:val="333333"/>
          <w:spacing w:val="0"/>
          <w:sz w:val="32"/>
          <w:szCs w:val="32"/>
          <w:shd w:val="clear" w:color="auto" w:fill="FFFFFF"/>
        </w:rPr>
        <w:t> 3</w:t>
      </w:r>
    </w:p>
    <w:p w14:paraId="51C03B2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微软雅黑" w:cs="Times New Roman"/>
          <w:kern w:val="0"/>
          <w:sz w:val="44"/>
          <w:szCs w:val="44"/>
          <w:lang w:val="en-US" w:eastAsia="zh-CN"/>
        </w:rPr>
      </w:pPr>
    </w:p>
    <w:p w14:paraId="6438386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微软雅黑" w:cs="Times New Roman"/>
          <w:kern w:val="0"/>
          <w:sz w:val="44"/>
          <w:szCs w:val="44"/>
          <w:lang w:val="en-US" w:eastAsia="zh-CN"/>
        </w:rPr>
      </w:pPr>
      <w:r>
        <w:rPr>
          <w:rFonts w:hint="default" w:ascii="Times New Roman" w:hAnsi="Times New Roman" w:eastAsia="微软雅黑" w:cs="Times New Roman"/>
          <w:kern w:val="0"/>
          <w:sz w:val="44"/>
          <w:szCs w:val="44"/>
          <w:lang w:val="en-US" w:eastAsia="zh-CN"/>
        </w:rPr>
        <w:t>无不良信用记录声明函</w:t>
      </w:r>
    </w:p>
    <w:p w14:paraId="3F18F01A">
      <w:pPr>
        <w:keepNext w:val="0"/>
        <w:keepLines w:val="0"/>
        <w:pageBreakBefore w:val="0"/>
        <w:widowControl w:val="0"/>
        <w:kinsoku/>
        <w:wordWrap/>
        <w:overflowPunct/>
        <w:topLinePunct w:val="0"/>
        <w:autoSpaceDE/>
        <w:autoSpaceDN/>
        <w:bidi w:val="0"/>
        <w:adjustRightInd w:val="0"/>
        <w:snapToGrid w:val="0"/>
        <w:spacing w:line="580" w:lineRule="exact"/>
        <w:ind w:firstLine="880" w:firstLineChars="200"/>
        <w:jc w:val="both"/>
        <w:textAlignment w:val="auto"/>
        <w:rPr>
          <w:rFonts w:hint="default" w:ascii="Times New Roman" w:hAnsi="Times New Roman" w:eastAsia="微软雅黑" w:cs="Times New Roman"/>
          <w:kern w:val="0"/>
          <w:sz w:val="44"/>
          <w:szCs w:val="44"/>
          <w:lang w:val="en-US" w:eastAsia="zh-CN"/>
        </w:rPr>
      </w:pPr>
    </w:p>
    <w:p w14:paraId="1582939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本公司郑重声明，我公司无以下不良信用记录情形：</w:t>
      </w:r>
    </w:p>
    <w:p w14:paraId="2987990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SA"/>
        </w:rPr>
        <w:t>1</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公司被人民法院列入失信被执行人；</w:t>
      </w:r>
    </w:p>
    <w:p w14:paraId="1661BF7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SA"/>
        </w:rPr>
        <w:t>2</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公司、法定代表人或拟派项目经理（项目负责人）被人民检察院列入行贿犯罪档案；</w:t>
      </w:r>
    </w:p>
    <w:p w14:paraId="15C1159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bidi="ar-SA"/>
        </w:rPr>
        <w:t>3</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公司被工商行政管理部门列入企业经营异常名录；</w:t>
      </w:r>
    </w:p>
    <w:p w14:paraId="49B7E8A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bidi="ar-SA"/>
        </w:rPr>
        <w:t>4</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公司被税务部门列入重大税收违法案件当事人名单；</w:t>
      </w:r>
    </w:p>
    <w:p w14:paraId="48CBE3A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bidi="ar-SA"/>
        </w:rPr>
        <w:t>5</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公司被政府采购监管部门列入政府采购严重违法失信行为 记录名单。</w:t>
      </w:r>
    </w:p>
    <w:p w14:paraId="7247CBC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我公司已就上述不良信用行为按照招标文件中投标供应商须知前附表规定进行了查询。我公司承诺：合同签订前，若我公司具有不良信用记录情形，贵方可取消我公司中标资格或者不授予合同，所有责任由我公司自行承担。同时，我公司愿意无条件接受监管部门的调查处理。</w:t>
      </w:r>
    </w:p>
    <w:p w14:paraId="30A5DC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p>
    <w:p w14:paraId="0B28143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p>
    <w:p w14:paraId="5BE1C208">
      <w:pPr>
        <w:pStyle w:val="2"/>
        <w:rPr>
          <w:rFonts w:hint="default"/>
          <w:lang w:val="en-US" w:eastAsia="zh-CN"/>
        </w:rPr>
      </w:pPr>
    </w:p>
    <w:p w14:paraId="35529B99">
      <w:pPr>
        <w:keepNext w:val="0"/>
        <w:keepLines w:val="0"/>
        <w:pageBreakBefore w:val="0"/>
        <w:widowControl w:val="0"/>
        <w:kinsoku/>
        <w:wordWrap/>
        <w:overflowPunct/>
        <w:topLinePunct w:val="0"/>
        <w:autoSpaceDE/>
        <w:autoSpaceDN/>
        <w:bidi w:val="0"/>
        <w:adjustRightInd w:val="0"/>
        <w:snapToGrid w:val="0"/>
        <w:spacing w:line="580" w:lineRule="exact"/>
        <w:ind w:firstLine="4160" w:firstLineChars="13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供应商签章：</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年</w:t>
      </w:r>
      <w:r>
        <w:rPr>
          <w:rFonts w:hint="default"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月</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日</w:t>
      </w:r>
    </w:p>
    <w:p w14:paraId="128021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0" w:leftChars="0" w:right="0" w:firstLine="0" w:firstLineChars="0"/>
        <w:jc w:val="both"/>
        <w:textAlignment w:val="auto"/>
        <w:rPr>
          <w:rFonts w:hint="default" w:ascii="Times New Roman" w:hAnsi="Times New Roman" w:eastAsia="黑体" w:cs="Times New Roman"/>
          <w:i w:val="0"/>
          <w:iCs w:val="0"/>
          <w:caps w:val="0"/>
          <w:color w:val="333333"/>
          <w:spacing w:val="0"/>
          <w:sz w:val="32"/>
          <w:szCs w:val="32"/>
          <w:shd w:val="clear" w:color="auto" w:fill="FFFFFF"/>
        </w:rPr>
      </w:pPr>
    </w:p>
    <w:p w14:paraId="42CC59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0" w:leftChars="0" w:right="0" w:firstLine="0" w:firstLineChars="0"/>
        <w:jc w:val="both"/>
        <w:textAlignment w:val="auto"/>
        <w:rPr>
          <w:rFonts w:hint="default" w:ascii="Times New Roman" w:hAnsi="Times New Roman" w:cs="Times New Roman"/>
        </w:rPr>
      </w:pPr>
      <w:r>
        <w:rPr>
          <w:rFonts w:hint="default" w:ascii="Times New Roman" w:hAnsi="Times New Roman" w:eastAsia="黑体" w:cs="Times New Roman"/>
          <w:i w:val="0"/>
          <w:iCs w:val="0"/>
          <w:caps w:val="0"/>
          <w:color w:val="333333"/>
          <w:spacing w:val="0"/>
          <w:sz w:val="32"/>
          <w:szCs w:val="32"/>
          <w:shd w:val="clear" w:color="auto" w:fill="FFFFFF"/>
        </w:rPr>
        <w:t>附件</w:t>
      </w:r>
      <w:r>
        <w:rPr>
          <w:rFonts w:hint="default" w:ascii="Times New Roman" w:hAnsi="Times New Roman" w:eastAsia="微软雅黑" w:cs="Times New Roman"/>
          <w:i w:val="0"/>
          <w:iCs w:val="0"/>
          <w:caps w:val="0"/>
          <w:color w:val="333333"/>
          <w:spacing w:val="0"/>
          <w:sz w:val="32"/>
          <w:szCs w:val="32"/>
          <w:shd w:val="clear" w:color="auto" w:fill="FFFFFF"/>
        </w:rPr>
        <w:t> 4</w:t>
      </w:r>
    </w:p>
    <w:p w14:paraId="10C0E0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0" w:right="0"/>
        <w:jc w:val="both"/>
        <w:textAlignment w:val="auto"/>
        <w:rPr>
          <w:rFonts w:hint="default" w:ascii="Times New Roman" w:hAnsi="Times New Roman" w:cs="Times New Roman"/>
        </w:rPr>
      </w:pPr>
      <w:r>
        <w:rPr>
          <w:rFonts w:hint="default" w:ascii="Times New Roman" w:hAnsi="Times New Roman" w:eastAsia="微软雅黑" w:cs="Times New Roman"/>
          <w:i w:val="0"/>
          <w:iCs w:val="0"/>
          <w:caps w:val="0"/>
          <w:color w:val="333333"/>
          <w:spacing w:val="0"/>
          <w:sz w:val="23"/>
          <w:szCs w:val="23"/>
          <w:shd w:val="clear" w:color="auto" w:fill="FFFFFF"/>
        </w:rPr>
        <w:t> </w:t>
      </w:r>
    </w:p>
    <w:p w14:paraId="2FA3477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微软雅黑" w:cs="Times New Roman"/>
          <w:kern w:val="0"/>
          <w:sz w:val="44"/>
          <w:szCs w:val="44"/>
        </w:rPr>
      </w:pPr>
      <w:r>
        <w:rPr>
          <w:rFonts w:hint="default" w:ascii="Times New Roman" w:hAnsi="Times New Roman" w:eastAsia="微软雅黑" w:cs="Times New Roman"/>
          <w:kern w:val="0"/>
          <w:sz w:val="44"/>
          <w:szCs w:val="44"/>
        </w:rPr>
        <w:t>无重大违法记录声明函</w:t>
      </w:r>
    </w:p>
    <w:p w14:paraId="097940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80" w:lineRule="exact"/>
        <w:ind w:left="0" w:right="0"/>
        <w:jc w:val="both"/>
        <w:textAlignment w:val="auto"/>
        <w:rPr>
          <w:rFonts w:hint="default" w:ascii="Times New Roman" w:hAnsi="Times New Roman" w:cs="Times New Roman"/>
        </w:rPr>
      </w:pPr>
    </w:p>
    <w:p w14:paraId="14D5695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5D875AE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本公司对上述声明的真实性负责。如有虚假，将依法承担相应责任。</w:t>
      </w:r>
    </w:p>
    <w:p w14:paraId="7C3C602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w:t>
      </w:r>
    </w:p>
    <w:p w14:paraId="23F97C2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w:t>
      </w:r>
    </w:p>
    <w:p w14:paraId="3EF0EEB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w:t>
      </w:r>
    </w:p>
    <w:p w14:paraId="3ECC86B9">
      <w:pPr>
        <w:keepNext w:val="0"/>
        <w:keepLines w:val="0"/>
        <w:pageBreakBefore w:val="0"/>
        <w:widowControl w:val="0"/>
        <w:kinsoku/>
        <w:wordWrap/>
        <w:overflowPunct/>
        <w:topLinePunct w:val="0"/>
        <w:autoSpaceDE/>
        <w:autoSpaceDN/>
        <w:bidi w:val="0"/>
        <w:adjustRightInd w:val="0"/>
        <w:snapToGrid w:val="0"/>
        <w:spacing w:line="580" w:lineRule="exact"/>
        <w:ind w:firstLine="4480" w:firstLineChars="14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供应商签章：</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年</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日</w:t>
      </w:r>
    </w:p>
    <w:p w14:paraId="770A1042">
      <w:pPr>
        <w:keepNext w:val="0"/>
        <w:keepLines w:val="0"/>
        <w:pageBreakBefore w:val="0"/>
        <w:widowControl/>
        <w:suppressLineNumbers w:val="0"/>
        <w:kinsoku/>
        <w:wordWrap/>
        <w:overflowPunct/>
        <w:topLinePunct w:val="0"/>
        <w:autoSpaceDE/>
        <w:autoSpaceDN/>
        <w:bidi w:val="0"/>
        <w:spacing w:line="580" w:lineRule="exact"/>
        <w:jc w:val="both"/>
        <w:textAlignment w:val="auto"/>
        <w:rPr>
          <w:rFonts w:hint="default" w:ascii="Times New Roman" w:hAnsi="Times New Roman" w:cs="Times New Roman"/>
        </w:rPr>
      </w:pPr>
    </w:p>
    <w:p w14:paraId="66AA8F9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p>
    <w:p w14:paraId="6AA063E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p>
    <w:p w14:paraId="6FB0B57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p>
    <w:p w14:paraId="47BF74A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p>
    <w:p w14:paraId="071C6D5A">
      <w:pPr>
        <w:pStyle w:val="9"/>
        <w:keepNext w:val="0"/>
        <w:keepLines w:val="0"/>
        <w:pageBreakBefore w:val="0"/>
        <w:kinsoku/>
        <w:wordWrap/>
        <w:overflowPunct/>
        <w:topLinePunct w:val="0"/>
        <w:autoSpaceDE/>
        <w:autoSpaceDN/>
        <w:bidi w:val="0"/>
        <w:spacing w:line="560" w:lineRule="exact"/>
        <w:ind w:left="0" w:leftChars="0" w:firstLine="0" w:firstLineChars="0"/>
        <w:jc w:val="both"/>
        <w:textAlignment w:val="auto"/>
        <w:rPr>
          <w:rFonts w:hint="default" w:ascii="Times New Roman" w:hAnsi="Times New Roman" w:eastAsia="黑体" w:cs="Times New Roman"/>
          <w:color w:val="333333"/>
          <w:kern w:val="2"/>
          <w:sz w:val="32"/>
          <w:szCs w:val="32"/>
          <w:lang w:val="en-US" w:eastAsia="zh-CN" w:bidi="ar-SA"/>
        </w:rPr>
      </w:pPr>
    </w:p>
    <w:p w14:paraId="769D9BC7">
      <w:pPr>
        <w:pStyle w:val="9"/>
        <w:keepNext w:val="0"/>
        <w:keepLines w:val="0"/>
        <w:pageBreakBefore w:val="0"/>
        <w:kinsoku/>
        <w:wordWrap/>
        <w:overflowPunct/>
        <w:topLinePunct w:val="0"/>
        <w:autoSpaceDE/>
        <w:autoSpaceDN/>
        <w:bidi w:val="0"/>
        <w:spacing w:line="560" w:lineRule="exact"/>
        <w:ind w:left="0" w:leftChars="0" w:firstLine="0" w:firstLineChars="0"/>
        <w:jc w:val="both"/>
        <w:textAlignment w:val="auto"/>
        <w:rPr>
          <w:rFonts w:hint="default" w:ascii="Times New Roman" w:hAnsi="Times New Roman" w:eastAsia="黑体" w:cs="Times New Roman"/>
          <w:color w:val="333333"/>
          <w:kern w:val="2"/>
          <w:sz w:val="32"/>
          <w:szCs w:val="32"/>
          <w:lang w:val="en-US" w:eastAsia="zh-CN" w:bidi="ar-SA"/>
        </w:rPr>
      </w:pPr>
    </w:p>
    <w:p w14:paraId="25F793FC">
      <w:pPr>
        <w:pStyle w:val="9"/>
        <w:keepNext w:val="0"/>
        <w:keepLines w:val="0"/>
        <w:pageBreakBefore w:val="0"/>
        <w:widowControl w:val="0"/>
        <w:kinsoku/>
        <w:wordWrap/>
        <w:overflowPunct/>
        <w:topLinePunct w:val="0"/>
        <w:autoSpaceDE/>
        <w:autoSpaceDN/>
        <w:bidi w:val="0"/>
        <w:adjustRightInd/>
        <w:snapToGrid/>
        <w:spacing w:after="0" w:line="580" w:lineRule="exact"/>
        <w:ind w:left="0" w:leftChars="0" w:firstLine="0" w:firstLineChars="0"/>
        <w:jc w:val="both"/>
        <w:textAlignment w:val="auto"/>
        <w:rPr>
          <w:rFonts w:hint="default" w:ascii="Times New Roman" w:hAnsi="Times New Roman" w:eastAsia="黑体" w:cs="Times New Roman"/>
          <w:color w:val="333333"/>
          <w:kern w:val="2"/>
          <w:sz w:val="32"/>
          <w:szCs w:val="32"/>
          <w:lang w:val="en-US" w:eastAsia="zh-CN" w:bidi="ar-SA"/>
        </w:rPr>
      </w:pPr>
      <w:r>
        <w:rPr>
          <w:rFonts w:hint="default" w:ascii="Times New Roman" w:hAnsi="Times New Roman" w:eastAsia="黑体" w:cs="Times New Roman"/>
          <w:color w:val="333333"/>
          <w:kern w:val="2"/>
          <w:sz w:val="32"/>
          <w:szCs w:val="32"/>
          <w:lang w:val="en-US" w:eastAsia="zh-CN" w:bidi="ar-SA"/>
        </w:rPr>
        <w:t>附件5</w:t>
      </w:r>
    </w:p>
    <w:p w14:paraId="791013E9">
      <w:pPr>
        <w:pStyle w:val="9"/>
        <w:keepNext w:val="0"/>
        <w:keepLines w:val="0"/>
        <w:pageBreakBefore w:val="0"/>
        <w:widowControl w:val="0"/>
        <w:kinsoku/>
        <w:wordWrap/>
        <w:overflowPunct/>
        <w:topLinePunct w:val="0"/>
        <w:autoSpaceDE/>
        <w:autoSpaceDN/>
        <w:bidi w:val="0"/>
        <w:adjustRightInd/>
        <w:snapToGrid/>
        <w:spacing w:after="0" w:line="580" w:lineRule="exact"/>
        <w:ind w:left="0" w:leftChars="0" w:firstLine="0" w:firstLineChars="0"/>
        <w:jc w:val="center"/>
        <w:textAlignment w:val="auto"/>
        <w:rPr>
          <w:rFonts w:hint="default" w:ascii="Times New Roman" w:hAnsi="Times New Roman" w:eastAsia="黑体" w:cs="Times New Roman"/>
          <w:color w:val="333333"/>
          <w:kern w:val="2"/>
          <w:sz w:val="32"/>
          <w:szCs w:val="32"/>
          <w:lang w:val="en-US" w:eastAsia="zh-CN" w:bidi="ar-SA"/>
        </w:rPr>
      </w:pPr>
    </w:p>
    <w:p w14:paraId="75EA65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服务要求承诺函</w:t>
      </w:r>
    </w:p>
    <w:p w14:paraId="163EFC8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本公司郑重声明，根据采购方要求，完成测评范围内所有网上</w:t>
      </w:r>
      <w:r>
        <w:rPr>
          <w:rFonts w:hint="default" w:ascii="Times New Roman" w:hAnsi="Times New Roman" w:eastAsia="仿宋_GB2312" w:cs="Times New Roman"/>
          <w:sz w:val="32"/>
          <w:szCs w:val="32"/>
          <w:highlight w:val="none"/>
        </w:rPr>
        <w:t>测评工作</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及时提供客观详实的测评报告，</w:t>
      </w:r>
      <w:r>
        <w:rPr>
          <w:rFonts w:hint="default" w:ascii="Times New Roman" w:hAnsi="Times New Roman" w:eastAsia="仿宋_GB2312" w:cs="Times New Roman"/>
          <w:sz w:val="32"/>
          <w:szCs w:val="32"/>
          <w:highlight w:val="none"/>
        </w:rPr>
        <w:t>报告包括被测评对象的《问题反馈</w:t>
      </w:r>
      <w:r>
        <w:rPr>
          <w:rFonts w:hint="default" w:ascii="Times New Roman" w:hAnsi="Times New Roman" w:eastAsia="仿宋_GB2312" w:cs="Times New Roman"/>
          <w:sz w:val="32"/>
          <w:szCs w:val="32"/>
          <w:highlight w:val="none"/>
          <w:lang w:eastAsia="zh-CN"/>
        </w:rPr>
        <w:t>清</w:t>
      </w:r>
      <w:r>
        <w:rPr>
          <w:rFonts w:hint="default" w:ascii="Times New Roman" w:hAnsi="Times New Roman" w:eastAsia="仿宋_GB2312" w:cs="Times New Roman"/>
          <w:sz w:val="32"/>
          <w:szCs w:val="32"/>
          <w:highlight w:val="none"/>
        </w:rPr>
        <w:t>单》和《政务公开测评分析报告》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并承诺严格保护</w:t>
      </w:r>
      <w:r>
        <w:rPr>
          <w:rFonts w:hint="default" w:ascii="Times New Roman" w:hAnsi="Times New Roman" w:eastAsia="仿宋_GB2312" w:cs="Times New Roman"/>
          <w:sz w:val="32"/>
          <w:szCs w:val="32"/>
          <w:highlight w:val="none"/>
        </w:rPr>
        <w:t>项目所涉及全部内容的保密</w:t>
      </w:r>
      <w:r>
        <w:rPr>
          <w:rFonts w:hint="default" w:ascii="Times New Roman" w:hAnsi="Times New Roman" w:eastAsia="仿宋_GB2312" w:cs="Times New Roman"/>
          <w:sz w:val="32"/>
          <w:szCs w:val="32"/>
          <w:highlight w:val="none"/>
          <w:lang w:val="en-US" w:eastAsia="zh-CN"/>
        </w:rPr>
        <w:t>性</w:t>
      </w:r>
      <w:r>
        <w:rPr>
          <w:rFonts w:hint="default" w:ascii="Times New Roman" w:hAnsi="Times New Roman" w:eastAsia="仿宋_GB2312" w:cs="Times New Roman"/>
          <w:sz w:val="32"/>
          <w:szCs w:val="32"/>
          <w:highlight w:val="none"/>
        </w:rPr>
        <w:t>和安全</w:t>
      </w:r>
      <w:r>
        <w:rPr>
          <w:rFonts w:hint="default" w:ascii="Times New Roman" w:hAnsi="Times New Roman" w:eastAsia="仿宋_GB2312" w:cs="Times New Roman"/>
          <w:sz w:val="32"/>
          <w:szCs w:val="32"/>
          <w:highlight w:val="none"/>
          <w:lang w:val="en-US" w:eastAsia="zh-CN"/>
        </w:rPr>
        <w:t>性</w:t>
      </w:r>
      <w:r>
        <w:rPr>
          <w:rFonts w:hint="default" w:ascii="Times New Roman" w:hAnsi="Times New Roman" w:eastAsia="仿宋_GB2312" w:cs="Times New Roman"/>
          <w:sz w:val="32"/>
          <w:szCs w:val="32"/>
          <w:highlight w:val="none"/>
        </w:rPr>
        <w:t>，不在其他任何场合以任何手段使用</w:t>
      </w:r>
      <w:r>
        <w:rPr>
          <w:rFonts w:hint="default" w:ascii="Times New Roman" w:hAnsi="Times New Roman" w:eastAsia="仿宋_GB2312" w:cs="Times New Roman"/>
          <w:sz w:val="32"/>
          <w:szCs w:val="32"/>
          <w:highlight w:val="none"/>
          <w:lang w:eastAsia="zh-CN"/>
        </w:rPr>
        <w:t>。</w:t>
      </w:r>
    </w:p>
    <w:p w14:paraId="36FCC742">
      <w:pPr>
        <w:pStyle w:val="9"/>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default" w:ascii="Times New Roman" w:hAnsi="Times New Roman" w:eastAsia="仿宋_GB2312" w:cs="Times New Roman"/>
          <w:sz w:val="32"/>
          <w:szCs w:val="32"/>
          <w:highlight w:val="none"/>
          <w:lang w:eastAsia="zh-CN"/>
        </w:rPr>
      </w:pPr>
    </w:p>
    <w:p w14:paraId="67B3D2F8">
      <w:pPr>
        <w:pStyle w:val="9"/>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default" w:ascii="Times New Roman" w:hAnsi="Times New Roman" w:eastAsia="仿宋_GB2312" w:cs="Times New Roman"/>
          <w:sz w:val="32"/>
          <w:szCs w:val="32"/>
          <w:highlight w:val="none"/>
          <w:lang w:eastAsia="zh-CN"/>
        </w:rPr>
      </w:pPr>
    </w:p>
    <w:p w14:paraId="5F0A0430">
      <w:pPr>
        <w:pStyle w:val="9"/>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default" w:ascii="Times New Roman" w:hAnsi="Times New Roman" w:eastAsia="仿宋_GB2312" w:cs="Times New Roman"/>
          <w:sz w:val="32"/>
          <w:szCs w:val="32"/>
          <w:highlight w:val="none"/>
          <w:lang w:eastAsia="zh-CN"/>
        </w:rPr>
      </w:pPr>
    </w:p>
    <w:p w14:paraId="2B76E377">
      <w:pPr>
        <w:keepNext w:val="0"/>
        <w:keepLines w:val="0"/>
        <w:pageBreakBefore w:val="0"/>
        <w:widowControl w:val="0"/>
        <w:kinsoku/>
        <w:wordWrap/>
        <w:overflowPunct/>
        <w:topLinePunct w:val="0"/>
        <w:autoSpaceDE/>
        <w:autoSpaceDN/>
        <w:bidi w:val="0"/>
        <w:adjustRightInd/>
        <w:snapToGrid/>
        <w:spacing w:line="580" w:lineRule="exact"/>
        <w:ind w:firstLine="4480" w:firstLineChars="14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投标供应商签章：</w:t>
      </w:r>
      <w:r>
        <w:rPr>
          <w:rFonts w:hint="default" w:ascii="Times New Roman" w:hAnsi="Times New Roman" w:eastAsia="仿宋_GB2312" w:cs="Times New Roman"/>
          <w:sz w:val="32"/>
          <w:szCs w:val="32"/>
          <w:u w:val="single"/>
        </w:rPr>
        <w:t xml:space="preserve">            </w:t>
      </w:r>
    </w:p>
    <w:p w14:paraId="3B4A6F83">
      <w:pPr>
        <w:pStyle w:val="4"/>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rPr>
      </w:pPr>
    </w:p>
    <w:p w14:paraId="16586708">
      <w:pPr>
        <w:pStyle w:val="9"/>
        <w:keepNext w:val="0"/>
        <w:keepLines w:val="0"/>
        <w:pageBreakBefore w:val="0"/>
        <w:widowControl w:val="0"/>
        <w:kinsoku/>
        <w:wordWrap/>
        <w:overflowPunct/>
        <w:topLinePunct w:val="0"/>
        <w:autoSpaceDE/>
        <w:autoSpaceDN/>
        <w:bidi w:val="0"/>
        <w:adjustRightInd/>
        <w:snapToGrid/>
        <w:spacing w:after="0" w:line="580" w:lineRule="exact"/>
        <w:ind w:firstLine="4160" w:firstLineChars="13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 xml:space="preserve">日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p>
    <w:p w14:paraId="284E333A">
      <w:pPr>
        <w:keepNext w:val="0"/>
        <w:keepLines w:val="0"/>
        <w:pageBreakBefore w:val="0"/>
        <w:kinsoku/>
        <w:wordWrap/>
        <w:overflowPunct/>
        <w:topLinePunct w:val="0"/>
        <w:bidi w:val="0"/>
        <w:spacing w:line="560" w:lineRule="exact"/>
        <w:ind w:firstLine="435"/>
        <w:textAlignment w:val="auto"/>
        <w:rPr>
          <w:rFonts w:hint="default" w:ascii="Times New Roman" w:hAnsi="Times New Roman" w:eastAsia="仿宋_GB2312" w:cs="Times New Roman"/>
          <w:sz w:val="32"/>
          <w:szCs w:val="32"/>
          <w:lang w:val="en-US" w:eastAsia="zh-CN"/>
        </w:rPr>
      </w:pPr>
    </w:p>
    <w:p w14:paraId="240AFCBB">
      <w:pPr>
        <w:keepNext w:val="0"/>
        <w:keepLines w:val="0"/>
        <w:pageBreakBefore w:val="0"/>
        <w:kinsoku/>
        <w:wordWrap/>
        <w:overflowPunct/>
        <w:topLinePunct w:val="0"/>
        <w:bidi w:val="0"/>
        <w:spacing w:line="560" w:lineRule="exact"/>
        <w:ind w:firstLine="435"/>
        <w:textAlignment w:val="auto"/>
        <w:rPr>
          <w:rFonts w:hint="default" w:ascii="Times New Roman" w:hAnsi="Times New Roman" w:eastAsia="仿宋_GB2312" w:cs="Times New Roman"/>
          <w:sz w:val="32"/>
          <w:szCs w:val="32"/>
          <w:lang w:val="en-US" w:eastAsia="zh-CN"/>
        </w:rPr>
      </w:pPr>
    </w:p>
    <w:p w14:paraId="71ACC7BD">
      <w:pPr>
        <w:keepNext w:val="0"/>
        <w:keepLines w:val="0"/>
        <w:pageBreakBefore w:val="0"/>
        <w:kinsoku/>
        <w:wordWrap/>
        <w:overflowPunct/>
        <w:topLinePunct w:val="0"/>
        <w:bidi w:val="0"/>
        <w:spacing w:line="560" w:lineRule="exact"/>
        <w:ind w:firstLine="435"/>
        <w:textAlignment w:val="auto"/>
        <w:rPr>
          <w:rFonts w:hint="default" w:ascii="Times New Roman" w:hAnsi="Times New Roman" w:eastAsia="仿宋_GB2312" w:cs="Times New Roman"/>
          <w:sz w:val="32"/>
          <w:szCs w:val="32"/>
          <w:lang w:val="en-US" w:eastAsia="zh-CN"/>
        </w:rPr>
      </w:pPr>
    </w:p>
    <w:p w14:paraId="340C0A16">
      <w:pPr>
        <w:keepNext w:val="0"/>
        <w:keepLines w:val="0"/>
        <w:pageBreakBefore w:val="0"/>
        <w:kinsoku/>
        <w:wordWrap/>
        <w:overflowPunct/>
        <w:topLinePunct w:val="0"/>
        <w:bidi w:val="0"/>
        <w:spacing w:line="560" w:lineRule="exact"/>
        <w:ind w:firstLine="435"/>
        <w:textAlignment w:val="auto"/>
        <w:rPr>
          <w:rFonts w:hint="default" w:ascii="Times New Roman" w:hAnsi="Times New Roman" w:eastAsia="仿宋_GB2312" w:cs="Times New Roman"/>
          <w:sz w:val="32"/>
          <w:szCs w:val="32"/>
          <w:lang w:val="en-US" w:eastAsia="zh-CN"/>
        </w:rPr>
      </w:pPr>
    </w:p>
    <w:p w14:paraId="1CA93000">
      <w:pPr>
        <w:keepNext w:val="0"/>
        <w:keepLines w:val="0"/>
        <w:pageBreakBefore w:val="0"/>
        <w:kinsoku/>
        <w:wordWrap/>
        <w:overflowPunct/>
        <w:topLinePunct w:val="0"/>
        <w:bidi w:val="0"/>
        <w:spacing w:line="560" w:lineRule="exact"/>
        <w:ind w:firstLine="435"/>
        <w:textAlignment w:val="auto"/>
        <w:rPr>
          <w:rFonts w:hint="default" w:ascii="Times New Roman" w:hAnsi="Times New Roman" w:eastAsia="仿宋_GB2312" w:cs="Times New Roman"/>
          <w:sz w:val="32"/>
          <w:szCs w:val="32"/>
          <w:lang w:val="en-US" w:eastAsia="zh-CN"/>
        </w:rPr>
      </w:pPr>
    </w:p>
    <w:p w14:paraId="151EC0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CF8A9F-6858-4ECC-A0E0-9AABEC9056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B4F607B-AF53-4DB4-98E9-C87A6D744A5D}"/>
  </w:font>
  <w:font w:name="仿宋_GB2312">
    <w:panose1 w:val="02010609030101010101"/>
    <w:charset w:val="86"/>
    <w:family w:val="modern"/>
    <w:pitch w:val="default"/>
    <w:sig w:usb0="00000001" w:usb1="080E0000" w:usb2="00000000" w:usb3="00000000" w:csb0="00040000" w:csb1="00000000"/>
    <w:embedRegular r:id="rId3" w:fontKey="{BCC9E845-CBC6-4AED-9AA1-7A2B4EAE8161}"/>
  </w:font>
  <w:font w:name="方正小标宋简体">
    <w:panose1 w:val="02000000000000000000"/>
    <w:charset w:val="86"/>
    <w:family w:val="auto"/>
    <w:pitch w:val="default"/>
    <w:sig w:usb0="00000001" w:usb1="080E0000" w:usb2="00000000" w:usb3="00000000" w:csb0="00040000" w:csb1="00000000"/>
    <w:embedRegular r:id="rId4" w:fontKey="{478E0DF4-268F-4870-8D86-A18CF3D4CDA9}"/>
  </w:font>
  <w:font w:name="微软雅黑">
    <w:panose1 w:val="020B0503020204020204"/>
    <w:charset w:val="86"/>
    <w:family w:val="swiss"/>
    <w:pitch w:val="default"/>
    <w:sig w:usb0="80000287" w:usb1="2ACF3C50" w:usb2="00000016" w:usb3="00000000" w:csb0="0004001F" w:csb1="00000000"/>
    <w:embedRegular r:id="rId5" w:fontKey="{5CF43385-F475-4472-A7D9-78B17FA93DD4}"/>
  </w:font>
  <w:font w:name="楷体_GB2312">
    <w:panose1 w:val="02010609030101010101"/>
    <w:charset w:val="86"/>
    <w:family w:val="modern"/>
    <w:pitch w:val="default"/>
    <w:sig w:usb0="00000001" w:usb1="080E0000" w:usb2="00000000" w:usb3="00000000" w:csb0="00040000" w:csb1="00000000"/>
    <w:embedRegular r:id="rId6" w:fontKey="{7C23144B-8B9B-4279-92A1-EA380D7A8CF3}"/>
  </w:font>
  <w:font w:name="仿宋">
    <w:panose1 w:val="02010609060101010101"/>
    <w:charset w:val="86"/>
    <w:family w:val="modern"/>
    <w:pitch w:val="default"/>
    <w:sig w:usb0="800002BF" w:usb1="38CF7CFA" w:usb2="00000016" w:usb3="00000000" w:csb0="00040001" w:csb1="00000000"/>
    <w:embedRegular r:id="rId7" w:fontKey="{A1ECEA71-107E-4025-898A-C7791D8A1339}"/>
  </w:font>
  <w:font w:name="国标黑体">
    <w:altName w:val="黑体"/>
    <w:panose1 w:val="02000500000000000000"/>
    <w:charset w:val="86"/>
    <w:family w:val="auto"/>
    <w:pitch w:val="default"/>
    <w:sig w:usb0="00000000" w:usb1="00000000" w:usb2="00000000" w:usb3="00000000" w:csb0="00040000" w:csb1="00000000"/>
    <w:embedRegular r:id="rId8" w:fontKey="{F284EFC8-3B2D-465C-AA1C-0B29E815D2F9}"/>
  </w:font>
  <w:font w:name="方正小标宋_GBK">
    <w:panose1 w:val="02000000000000000000"/>
    <w:charset w:val="86"/>
    <w:family w:val="auto"/>
    <w:pitch w:val="default"/>
    <w:sig w:usb0="00000001" w:usb1="080E0000" w:usb2="00000000" w:usb3="00000000" w:csb0="00040000" w:csb1="00000000"/>
    <w:embedRegular r:id="rId9" w:fontKey="{CE2F59F6-849B-4FE1-9432-CC6C2262AA97}"/>
  </w:font>
  <w:font w:name="KSOF7DF6CDC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5C302">
    <w:pPr>
      <w:pStyle w:val="5"/>
      <w:spacing w:line="14" w:lineRule="auto"/>
      <w:ind w:firstLine="40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posOffset>4799965</wp:posOffset>
              </wp:positionH>
              <wp:positionV relativeFrom="paragraph">
                <wp:posOffset>-47625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2B04F9">
                          <w:pPr>
                            <w:pStyle w:val="7"/>
                            <w:wordWrap w:val="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7.95pt;margin-top:-3.75pt;height:144pt;width:144pt;mso-position-horizontal-relative:margin;mso-wrap-style:none;z-index:251660288;mso-width-relative:page;mso-height-relative:page;" filled="f" stroked="f" coordsize="21600,21600" o:gfxdata="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Q+/C61wAAAAsBAAAPAAAAAAAAAAEAIAAAACIAAABkcnMvZG93&#10;bnJldi54bWxQSwECFAAUAAAACACHTuJA5KL+z8gBAACZAwAADgAAAAAAAAABACAAAAAmAQAAZHJz&#10;L2Uyb0RvYy54bWxQSwUGAAAAAAYABgBZAQAAYAUAAAAA&#10;">
              <v:path/>
              <v:fill on="f" focussize="0,0"/>
              <v:stroke on="f"/>
              <v:imagedata o:title=""/>
              <o:lock v:ext="edit" aspectratio="f"/>
              <v:textbox inset="0mm,0mm,0mm,0mm" style="mso-fit-shape-to-text:t;">
                <w:txbxContent>
                  <w:p w14:paraId="5F2B04F9">
                    <w:pPr>
                      <w:pStyle w:val="7"/>
                      <w:wordWrap w:val="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D262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42CADB">
                          <w:pPr>
                            <w:pStyle w:val="7"/>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2A42CADB">
                    <w:pPr>
                      <w:pStyle w:val="7"/>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33D94"/>
    <w:rsid w:val="39833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next w:val="1"/>
    <w:qFormat/>
    <w:uiPriority w:val="9"/>
    <w:pPr>
      <w:keepNext/>
      <w:keepLines/>
      <w:widowControl w:val="0"/>
      <w:spacing w:before="340" w:after="330" w:line="578" w:lineRule="auto"/>
      <w:jc w:val="both"/>
      <w:outlineLvl w:val="0"/>
    </w:pPr>
    <w:rPr>
      <w:rFonts w:ascii="Calibri" w:hAnsi="Calibri" w:eastAsia="宋体" w:cs="Times New Roman"/>
      <w:b/>
      <w:bCs/>
      <w:kern w:val="44"/>
      <w:sz w:val="44"/>
      <w:szCs w:val="44"/>
      <w:lang w:val="en-US" w:eastAsia="zh-CN" w:bidi="ar-SA"/>
    </w:rPr>
  </w:style>
  <w:style w:type="paragraph" w:styleId="2">
    <w:name w:val="heading 2"/>
    <w:next w:val="1"/>
    <w:unhideWhenUsed/>
    <w:qFormat/>
    <w:uiPriority w:val="0"/>
    <w:pPr>
      <w:widowControl w:val="0"/>
      <w:jc w:val="left"/>
      <w:outlineLvl w:val="1"/>
    </w:pPr>
    <w:rPr>
      <w:rFonts w:hint="eastAsia" w:ascii="宋体" w:hAnsi="宋体" w:eastAsia="宋体" w:cs="Times New Roman"/>
      <w:b/>
      <w:kern w:val="0"/>
      <w:sz w:val="36"/>
      <w:szCs w:val="36"/>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table of authorities"/>
    <w:next w:val="1"/>
    <w:unhideWhenUsed/>
    <w:qFormat/>
    <w:uiPriority w:val="99"/>
    <w:pPr>
      <w:widowControl w:val="0"/>
      <w:ind w:left="420" w:leftChars="200"/>
      <w:jc w:val="both"/>
    </w:pPr>
    <w:rPr>
      <w:rFonts w:ascii="Calibri" w:hAnsi="Calibri" w:eastAsia="宋体" w:cs="Times New Roman"/>
      <w:kern w:val="2"/>
      <w:sz w:val="32"/>
      <w:szCs w:val="32"/>
      <w:lang w:val="en-US" w:eastAsia="zh-CN" w:bidi="ar-SA"/>
    </w:rPr>
  </w:style>
  <w:style w:type="paragraph" w:styleId="5">
    <w:name w:val="Body Text"/>
    <w:next w:val="1"/>
    <w:unhideWhenUsed/>
    <w:qFormat/>
    <w:uiPriority w:val="0"/>
    <w:pPr>
      <w:widowControl w:val="0"/>
      <w:spacing w:after="120" w:line="360" w:lineRule="auto"/>
      <w:ind w:firstLine="200" w:firstLineChars="200"/>
      <w:jc w:val="both"/>
    </w:pPr>
    <w:rPr>
      <w:rFonts w:ascii="Calibri" w:hAnsi="Calibri" w:eastAsia="宋体" w:cs="Times New Roman"/>
      <w:kern w:val="2"/>
      <w:sz w:val="24"/>
      <w:szCs w:val="21"/>
      <w:lang w:val="en-US" w:eastAsia="zh-CN" w:bidi="ar-SA"/>
    </w:rPr>
  </w:style>
  <w:style w:type="paragraph" w:styleId="6">
    <w:name w:val="Body Text Indent"/>
    <w:unhideWhenUsed/>
    <w:qFormat/>
    <w:uiPriority w:val="99"/>
    <w:pPr>
      <w:widowControl w:val="0"/>
      <w:spacing w:after="120"/>
      <w:ind w:left="420" w:leftChars="200"/>
      <w:jc w:val="both"/>
    </w:pPr>
    <w:rPr>
      <w:rFonts w:ascii="Calibri" w:hAnsi="Calibri" w:eastAsia="宋体" w:cs="Times New Roman"/>
      <w:kern w:val="2"/>
      <w:sz w:val="21"/>
      <w:szCs w:val="21"/>
      <w:lang w:val="en-US" w:eastAsia="zh-CN" w:bidi="ar-SA"/>
    </w:rPr>
  </w:style>
  <w:style w:type="paragraph" w:styleId="7">
    <w:name w:val="footer"/>
    <w:qFormat/>
    <w:uiPriority w:val="0"/>
    <w:pPr>
      <w:widowControl w:val="0"/>
      <w:tabs>
        <w:tab w:val="center" w:pos="4153"/>
        <w:tab w:val="right" w:pos="8306"/>
      </w:tabs>
      <w:snapToGrid w:val="0"/>
      <w:jc w:val="left"/>
    </w:pPr>
    <w:rPr>
      <w:rFonts w:ascii="Calibri" w:hAnsi="Calibri" w:eastAsia="宋体" w:cs="Times New Roman"/>
      <w:kern w:val="2"/>
      <w:sz w:val="18"/>
      <w:szCs w:val="21"/>
      <w:lang w:val="en-US" w:eastAsia="zh-CN" w:bidi="ar-SA"/>
    </w:rPr>
  </w:style>
  <w:style w:type="paragraph" w:styleId="8">
    <w:name w:val="Normal (Web)"/>
    <w:qFormat/>
    <w:uiPriority w:val="99"/>
    <w:pPr>
      <w:widowControl/>
      <w:ind w:firstLine="800" w:firstLineChars="200"/>
      <w:jc w:val="left"/>
    </w:pPr>
    <w:rPr>
      <w:rFonts w:ascii="宋体" w:hAnsi="宋体" w:eastAsia="仿宋_GB2312" w:cs="宋体"/>
      <w:kern w:val="0"/>
      <w:sz w:val="24"/>
      <w:szCs w:val="24"/>
      <w:lang w:val="en-US" w:eastAsia="zh-CN" w:bidi="ar-SA"/>
    </w:rPr>
  </w:style>
  <w:style w:type="paragraph" w:styleId="9">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1"/>
      <w:lang w:val="en-US" w:eastAsia="zh-CN" w:bidi="ar-SA"/>
    </w:rPr>
  </w:style>
  <w:style w:type="paragraph" w:customStyle="1" w:styleId="12">
    <w:name w:val="_Style 2"/>
    <w:qFormat/>
    <w:uiPriority w:val="0"/>
    <w:pPr>
      <w:widowControl w:val="0"/>
      <w:spacing w:line="351" w:lineRule="atLeast"/>
      <w:ind w:firstLine="623"/>
      <w:jc w:val="both"/>
      <w:textAlignment w:val="baseline"/>
    </w:pPr>
    <w:rPr>
      <w:rFonts w:ascii="Times New Roman" w:hAnsi="Times New Roman" w:eastAsia="仿宋_GB2312" w:cs="Times New Roman"/>
      <w:color w:val="000000"/>
      <w:kern w:val="2"/>
      <w:sz w:val="31"/>
      <w:szCs w:val="20"/>
      <w:lang w:val="en-US" w:eastAsia="zh-CN" w:bidi="ar-SA"/>
    </w:rPr>
  </w:style>
  <w:style w:type="paragraph" w:customStyle="1" w:styleId="13">
    <w:name w:val="Table Paragraph"/>
    <w:qFormat/>
    <w:uiPriority w:val="1"/>
    <w:pPr>
      <w:widowControl w:val="0"/>
      <w:jc w:val="both"/>
    </w:pPr>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2026-07-29T06:52:00Z</dcterms:created>
  <dc:creator>风之诺言</dc:creator>
  <cp:lastModifiedBy>风之诺言</cp:lastModifiedBy>
  <dcterms:modified xsi:type="dcterms:W3CDTF">2026-07-29T06:52:49Z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C3B162C8F37748CD9C113673BFDD12E2_11</vt:lpwstr>
  </property>
  <property fmtid="{D5CDD505-2E9C-101B-9397-08002B2CF9AE}" pid="4" name="KSOTemplateDocerSaveRecord">
    <vt:lpwstr>eyJoZGlkIjoiMGFjZDMxZjRkYzdiNmM5ZDNiMTYwMWFjYWYwMWQ1ZTEiLCJ1c2VySWQiOiIyNTIzMjIyMjQifQ==</vt:lpwstr>
  </property>
</Properties>
</file>