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6755D">
      <w:pPr>
        <w:pStyle w:val="3"/>
        <w:keepNext w:val="0"/>
        <w:keepLines w:val="0"/>
        <w:widowControl/>
        <w:suppressLineNumbers w:val="0"/>
        <w:shd w:val="clear" w:fill="FFFFFF"/>
        <w:spacing w:before="0" w:beforeAutospacing="0" w:after="0" w:afterAutospacing="0" w:line="580" w:lineRule="atLeast"/>
        <w:ind w:left="0" w:right="0"/>
        <w:jc w:val="center"/>
        <w:rPr>
          <w:rFonts w:ascii="Calibri" w:hAnsi="Calibri" w:cs="Calibri"/>
          <w:sz w:val="21"/>
          <w:szCs w:val="21"/>
        </w:rPr>
      </w:pPr>
      <w:r>
        <w:rPr>
          <w:rFonts w:ascii="方正小标宋简体" w:hAnsi="方正小标宋简体" w:eastAsia="方正小标宋简体" w:cs="方正小标宋简体"/>
          <w:color w:val="333333"/>
          <w:sz w:val="44"/>
          <w:szCs w:val="44"/>
          <w:shd w:val="clear" w:fill="FFFFFF"/>
        </w:rPr>
        <w:t>淮北市人民政府办公室（外事办公室）</w:t>
      </w:r>
    </w:p>
    <w:p w14:paraId="05A442A6">
      <w:pPr>
        <w:pStyle w:val="3"/>
        <w:keepNext w:val="0"/>
        <w:keepLines w:val="0"/>
        <w:widowControl/>
        <w:suppressLineNumbers w:val="0"/>
        <w:shd w:val="clear" w:fill="FFFFFF"/>
        <w:spacing w:before="0" w:beforeAutospacing="0" w:after="0" w:afterAutospacing="0" w:line="58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color w:val="333333"/>
          <w:sz w:val="44"/>
          <w:szCs w:val="44"/>
          <w:shd w:val="clear" w:fill="FFFFFF"/>
        </w:rPr>
        <w:t>2019年政府信息公开工作年度报告</w:t>
      </w:r>
    </w:p>
    <w:p w14:paraId="211B9F9C">
      <w:pPr>
        <w:pStyle w:val="3"/>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sz w:val="21"/>
          <w:szCs w:val="21"/>
        </w:rPr>
      </w:pPr>
      <w:r>
        <w:rPr>
          <w:rFonts w:ascii="仿宋" w:hAnsi="仿宋" w:eastAsia="仿宋" w:cs="仿宋"/>
          <w:color w:val="333333"/>
          <w:sz w:val="32"/>
          <w:szCs w:val="32"/>
          <w:shd w:val="clear" w:fill="FFFFFF"/>
        </w:rPr>
        <w:t> </w:t>
      </w:r>
    </w:p>
    <w:p w14:paraId="2F461BC2">
      <w:pPr>
        <w:pStyle w:val="3"/>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color w:val="333333"/>
          <w:sz w:val="32"/>
          <w:szCs w:val="32"/>
          <w:shd w:val="clear" w:fill="FFFFFF"/>
        </w:rPr>
        <w:t>本报告是根据《中华人民共和国政府信息公开条例》</w:t>
      </w:r>
      <w:bookmarkStart w:id="0" w:name="_GoBack"/>
      <w:bookmarkEnd w:id="0"/>
      <w:r>
        <w:rPr>
          <w:rFonts w:hint="eastAsia" w:ascii="仿宋" w:hAnsi="仿宋" w:eastAsia="仿宋" w:cs="仿宋"/>
          <w:color w:val="333333"/>
          <w:sz w:val="32"/>
          <w:szCs w:val="32"/>
          <w:shd w:val="clear" w:fill="FFFFFF"/>
        </w:rPr>
        <w:t>（国务院令第711号）和《国务院办公厅政府信息与政务公开办公室关于政府信息公开工作年度报告有关事项的通知》（国办公开办函〔2019〕60号）要求，结合工作实际，由淮北市人民政府办公室撰写。全文由政府信息公开总体情况、主动公开政府信息情况、收到和处理政府信息公开申请情况、政府信息公开行政复议和行政诉讼情况、存在主要问题和改进情况、其它需要报告等六部分组成。本报告中所列数据的统计期限自2019年1月1日起至2019年12月31日止。如有疑问，请与淮北市人民政府办公室政务公开办联系。（地址：淮北市人民路208号行政中心5楼512室，邮编：235000，电话:0561-3198517）。</w:t>
      </w:r>
    </w:p>
    <w:p w14:paraId="3D48B2F2">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ascii="黑体" w:hAnsi="宋体" w:eastAsia="黑体" w:cs="黑体"/>
          <w:color w:val="333333"/>
          <w:sz w:val="32"/>
          <w:szCs w:val="32"/>
          <w:shd w:val="clear" w:fill="FFFFFF"/>
        </w:rPr>
        <w:t>一、总体情况</w:t>
      </w:r>
    </w:p>
    <w:p w14:paraId="46022ABA">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color w:val="333333"/>
          <w:sz w:val="32"/>
          <w:szCs w:val="32"/>
          <w:shd w:val="clear" w:fill="FFFFFF"/>
        </w:rPr>
        <w:t>2019年以来，市政府办公室认真贯彻落实新修订的《中华人民共和国政府信息公开条例》，严格按照安徽省人民政府办公厅《2019年政务公开重点工作任务分工》的各项，全面推进五公开，持续深化重点信息领域公开，切实加强政策解读、回应关切、新闻发布和公众参与，不断完善制度机制，各项工作取得显著性成效。</w:t>
      </w:r>
    </w:p>
    <w:p w14:paraId="07C666E4">
      <w:pPr>
        <w:pStyle w:val="3"/>
        <w:keepNext w:val="0"/>
        <w:keepLines w:val="0"/>
        <w:widowControl/>
        <w:suppressLineNumbers w:val="0"/>
        <w:spacing w:before="0" w:beforeAutospacing="0" w:after="0" w:afterAutospacing="0" w:line="580" w:lineRule="atLeast"/>
        <w:ind w:left="0" w:right="0" w:firstLine="643"/>
        <w:jc w:val="both"/>
        <w:rPr>
          <w:rFonts w:hint="default" w:ascii="Calibri" w:hAnsi="Calibri" w:cs="Calibri"/>
          <w:sz w:val="21"/>
          <w:szCs w:val="21"/>
        </w:rPr>
      </w:pPr>
      <w:r>
        <w:rPr>
          <w:rFonts w:ascii="楷体" w:hAnsi="楷体" w:eastAsia="楷体" w:cs="楷体"/>
          <w:b/>
          <w:color w:val="333333"/>
          <w:sz w:val="32"/>
          <w:szCs w:val="32"/>
        </w:rPr>
        <w:t>（一）主动公开情况</w:t>
      </w:r>
      <w:r>
        <w:rPr>
          <w:rFonts w:hint="eastAsia" w:ascii="楷体" w:hAnsi="楷体" w:eastAsia="楷体" w:cs="楷体"/>
          <w:b/>
          <w:color w:val="000000"/>
          <w:sz w:val="32"/>
          <w:szCs w:val="32"/>
        </w:rPr>
        <w:t>。</w:t>
      </w:r>
      <w:r>
        <w:rPr>
          <w:rFonts w:hint="eastAsia" w:ascii="仿宋" w:hAnsi="仿宋" w:eastAsia="仿宋" w:cs="仿宋"/>
          <w:color w:val="000000"/>
          <w:sz w:val="32"/>
          <w:szCs w:val="32"/>
        </w:rPr>
        <w:t>一是深入落实“五公开”。建立健全企业家参与涉企政策制定机制，继续抓好重大决策预公开，推进政府会议开放，邀请公众代表列席市政府常务会议，并听取代表对相关议题的意见建议。市政府第</w:t>
      </w:r>
      <w:r>
        <w:rPr>
          <w:rFonts w:hint="default" w:ascii="Calibri" w:hAnsi="Calibri" w:cs="Calibri"/>
          <w:color w:val="000000"/>
          <w:sz w:val="32"/>
          <w:szCs w:val="32"/>
        </w:rPr>
        <w:t>24</w:t>
      </w:r>
      <w:r>
        <w:rPr>
          <w:rFonts w:hint="eastAsia" w:ascii="仿宋" w:hAnsi="仿宋" w:eastAsia="仿宋" w:cs="仿宋"/>
          <w:color w:val="000000"/>
          <w:sz w:val="32"/>
          <w:szCs w:val="32"/>
        </w:rPr>
        <w:t>次常务会议审议《淮北市步行和自行车交通系统规划（</w:t>
      </w:r>
      <w:r>
        <w:rPr>
          <w:rFonts w:hint="default" w:ascii="Calibri" w:hAnsi="Calibri" w:cs="Calibri"/>
          <w:color w:val="000000"/>
          <w:sz w:val="32"/>
          <w:szCs w:val="32"/>
        </w:rPr>
        <w:t>2018—2035</w:t>
      </w:r>
      <w:r>
        <w:rPr>
          <w:rFonts w:hint="eastAsia" w:ascii="仿宋" w:hAnsi="仿宋" w:eastAsia="仿宋" w:cs="仿宋"/>
          <w:color w:val="000000"/>
          <w:sz w:val="32"/>
          <w:szCs w:val="32"/>
        </w:rPr>
        <w:t>年）（送审稿）》等议题时，邀请公众代表列席，听取其意见。二是不断强化重点领域信息公开。持续抓好放管服改革、高质量发展、“三大攻坚战”、重大项目建设批准与实施、公共资源配置和公共监管等工作任务和要求的贯彻落实，积极推进社会公益事业及重点民生领域信息公开，提高信息发布数量和质量。三是加强政策解读。围绕稳定市场预期，加强政策解读工作力度。建立政策解读前置审核程序，对部门起草提请市政府常务会议审议的政策性文件，在报送议题的同时，同步要求制定解读方案，切实提高解读质量。四是主动回应关切。通过新闻发布、在线访谈、政风行风热线、回应关切等栏目，及时对全市经济社会热点和市场主体和人民群众办事创业的赌点痛点进行回应。全年市政府主动回应关切</w:t>
      </w:r>
      <w:r>
        <w:rPr>
          <w:rFonts w:hint="default" w:ascii="Calibri" w:hAnsi="Calibri" w:cs="Calibri"/>
          <w:color w:val="000000"/>
          <w:sz w:val="32"/>
          <w:szCs w:val="32"/>
        </w:rPr>
        <w:t>336</w:t>
      </w:r>
      <w:r>
        <w:rPr>
          <w:rFonts w:hint="eastAsia" w:ascii="仿宋" w:hAnsi="仿宋" w:eastAsia="仿宋" w:cs="仿宋"/>
          <w:color w:val="000000"/>
          <w:sz w:val="32"/>
          <w:szCs w:val="32"/>
        </w:rPr>
        <w:t>次，组织“在线访谈”</w:t>
      </w:r>
      <w:r>
        <w:rPr>
          <w:rFonts w:hint="default" w:ascii="Calibri" w:hAnsi="Calibri" w:cs="Calibri"/>
          <w:color w:val="000000"/>
          <w:sz w:val="32"/>
          <w:szCs w:val="32"/>
        </w:rPr>
        <w:t>11</w:t>
      </w:r>
      <w:r>
        <w:rPr>
          <w:rFonts w:hint="eastAsia" w:ascii="仿宋" w:hAnsi="仿宋" w:eastAsia="仿宋" w:cs="仿宋"/>
          <w:color w:val="000000"/>
          <w:sz w:val="32"/>
          <w:szCs w:val="32"/>
        </w:rPr>
        <w:t>期，播出政风行风热线节目</w:t>
      </w:r>
      <w:r>
        <w:rPr>
          <w:rFonts w:hint="default" w:ascii="Calibri" w:hAnsi="Calibri" w:cs="Calibri"/>
          <w:color w:val="000000"/>
          <w:sz w:val="32"/>
          <w:szCs w:val="32"/>
        </w:rPr>
        <w:t>345</w:t>
      </w:r>
      <w:r>
        <w:rPr>
          <w:rFonts w:hint="eastAsia" w:ascii="仿宋" w:hAnsi="仿宋" w:eastAsia="仿宋" w:cs="仿宋"/>
          <w:color w:val="000000"/>
          <w:sz w:val="32"/>
          <w:szCs w:val="32"/>
        </w:rPr>
        <w:t>期。</w:t>
      </w:r>
    </w:p>
    <w:p w14:paraId="0E67843F">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楷体" w:hAnsi="楷体" w:eastAsia="楷体" w:cs="楷体"/>
          <w:b/>
          <w:color w:val="333333"/>
          <w:sz w:val="32"/>
          <w:szCs w:val="32"/>
          <w:shd w:val="clear" w:fill="FFFFFF"/>
        </w:rPr>
        <w:t>（二）依申请公开情况。</w:t>
      </w:r>
      <w:r>
        <w:rPr>
          <w:rFonts w:hint="eastAsia" w:ascii="仿宋" w:hAnsi="仿宋" w:eastAsia="仿宋" w:cs="仿宋"/>
          <w:color w:val="000000"/>
          <w:sz w:val="32"/>
          <w:szCs w:val="32"/>
          <w:shd w:val="clear" w:fill="FFFFFF"/>
        </w:rPr>
        <w:t>高度重视依申请公开，新《条例》出台后，及时对依申请公开办理时限、程序等内容进行调整，进一步规范受理登记、分析研判、会商办理、审核答复、档案归档等环节办理流程。全年受理依申请公开</w:t>
      </w:r>
      <w:r>
        <w:rPr>
          <w:rFonts w:hint="default" w:ascii="Calibri" w:hAnsi="Calibri" w:cs="Calibri"/>
          <w:color w:val="000000"/>
          <w:sz w:val="32"/>
          <w:szCs w:val="32"/>
          <w:shd w:val="clear" w:fill="FFFFFF"/>
        </w:rPr>
        <w:t>44</w:t>
      </w:r>
      <w:r>
        <w:rPr>
          <w:rFonts w:hint="eastAsia" w:ascii="仿宋" w:hAnsi="仿宋" w:eastAsia="仿宋" w:cs="仿宋"/>
          <w:color w:val="000000"/>
          <w:sz w:val="32"/>
          <w:szCs w:val="32"/>
          <w:shd w:val="clear" w:fill="FFFFFF"/>
        </w:rPr>
        <w:t>件，从申请主体上看，企业</w:t>
      </w:r>
      <w:r>
        <w:rPr>
          <w:rFonts w:hint="default" w:ascii="Calibri" w:hAnsi="Calibri" w:cs="Calibri"/>
          <w:color w:val="000000"/>
          <w:sz w:val="32"/>
          <w:szCs w:val="32"/>
          <w:shd w:val="clear" w:fill="FFFFFF"/>
        </w:rPr>
        <w:t>0</w:t>
      </w:r>
      <w:r>
        <w:rPr>
          <w:rFonts w:hint="eastAsia" w:ascii="仿宋" w:hAnsi="仿宋" w:eastAsia="仿宋" w:cs="仿宋"/>
          <w:color w:val="000000"/>
          <w:sz w:val="32"/>
          <w:szCs w:val="32"/>
          <w:shd w:val="clear" w:fill="FFFFFF"/>
        </w:rPr>
        <w:t>人，公民</w:t>
      </w:r>
      <w:r>
        <w:rPr>
          <w:rFonts w:hint="default" w:ascii="Calibri" w:hAnsi="Calibri" w:cs="Calibri"/>
          <w:color w:val="000000"/>
          <w:sz w:val="32"/>
          <w:szCs w:val="32"/>
          <w:shd w:val="clear" w:fill="FFFFFF"/>
        </w:rPr>
        <w:t>44</w:t>
      </w:r>
      <w:r>
        <w:rPr>
          <w:rFonts w:hint="eastAsia" w:ascii="仿宋" w:hAnsi="仿宋" w:eastAsia="仿宋" w:cs="仿宋"/>
          <w:color w:val="000000"/>
          <w:sz w:val="32"/>
          <w:szCs w:val="32"/>
          <w:shd w:val="clear" w:fill="FFFFFF"/>
        </w:rPr>
        <w:t>人；从申请方式上看，互联网申请</w:t>
      </w:r>
      <w:r>
        <w:rPr>
          <w:rFonts w:hint="default" w:ascii="Calibri" w:hAnsi="Calibri" w:cs="Calibri"/>
          <w:color w:val="000000"/>
          <w:sz w:val="32"/>
          <w:szCs w:val="32"/>
          <w:shd w:val="clear" w:fill="FFFFFF"/>
        </w:rPr>
        <w:t>28</w:t>
      </w:r>
      <w:r>
        <w:rPr>
          <w:rFonts w:hint="eastAsia" w:ascii="仿宋" w:hAnsi="仿宋" w:eastAsia="仿宋" w:cs="仿宋"/>
          <w:color w:val="000000"/>
          <w:sz w:val="32"/>
          <w:szCs w:val="32"/>
          <w:shd w:val="clear" w:fill="FFFFFF"/>
        </w:rPr>
        <w:t>件，其他方式申请</w:t>
      </w:r>
      <w:r>
        <w:rPr>
          <w:rFonts w:hint="default" w:ascii="Calibri" w:hAnsi="Calibri" w:cs="Calibri"/>
          <w:color w:val="000000"/>
          <w:sz w:val="32"/>
          <w:szCs w:val="32"/>
          <w:shd w:val="clear" w:fill="FFFFFF"/>
        </w:rPr>
        <w:t>16</w:t>
      </w:r>
      <w:r>
        <w:rPr>
          <w:rFonts w:hint="eastAsia" w:ascii="仿宋" w:hAnsi="仿宋" w:eastAsia="仿宋" w:cs="仿宋"/>
          <w:color w:val="000000"/>
          <w:sz w:val="32"/>
          <w:szCs w:val="32"/>
          <w:shd w:val="clear" w:fill="FFFFFF"/>
        </w:rPr>
        <w:t>件。</w:t>
      </w:r>
    </w:p>
    <w:p w14:paraId="6102B382">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楷体" w:hAnsi="楷体" w:eastAsia="楷体" w:cs="楷体"/>
          <w:b/>
          <w:color w:val="333333"/>
          <w:sz w:val="32"/>
          <w:szCs w:val="32"/>
          <w:shd w:val="clear" w:fill="FFFFFF"/>
        </w:rPr>
        <w:t>（三）政府信息管理。</w:t>
      </w:r>
      <w:r>
        <w:rPr>
          <w:rFonts w:hint="eastAsia" w:ascii="仿宋" w:hAnsi="仿宋" w:eastAsia="仿宋" w:cs="仿宋"/>
          <w:color w:val="333333"/>
          <w:sz w:val="32"/>
          <w:szCs w:val="32"/>
          <w:shd w:val="clear" w:fill="FFFFFF"/>
        </w:rPr>
        <w:t>建立健全政府信息管理动态调整机制，对不予公开的政府信息进行定期评估审查，对因情势变化可以公开的政府信息及时予以公开。加强政务公开机构建设，以机构改革为契机，调整充实政务公开办人员力量，1名县级干部、2名科级干部专职从事政务公开工作。加大培训力度，</w:t>
      </w:r>
      <w:r>
        <w:rPr>
          <w:rFonts w:hint="eastAsia" w:ascii="仿宋" w:hAnsi="仿宋" w:eastAsia="仿宋" w:cs="仿宋"/>
          <w:color w:val="000000"/>
          <w:sz w:val="32"/>
          <w:szCs w:val="32"/>
          <w:shd w:val="clear" w:fill="FFFFFF"/>
        </w:rPr>
        <w:t>先后组织全市政务公开信息员业务培训会</w:t>
      </w:r>
      <w:r>
        <w:rPr>
          <w:rFonts w:hint="default" w:ascii="Calibri" w:hAnsi="Calibri" w:cs="Calibri"/>
          <w:color w:val="000000"/>
          <w:sz w:val="32"/>
          <w:szCs w:val="32"/>
          <w:shd w:val="clear" w:fill="FFFFFF"/>
        </w:rPr>
        <w:t>4</w:t>
      </w:r>
      <w:r>
        <w:rPr>
          <w:rFonts w:hint="eastAsia" w:ascii="仿宋" w:hAnsi="仿宋" w:eastAsia="仿宋" w:cs="仿宋"/>
          <w:color w:val="000000"/>
          <w:sz w:val="32"/>
          <w:szCs w:val="32"/>
          <w:shd w:val="clear" w:fill="FFFFFF"/>
        </w:rPr>
        <w:t>次。强化经费保障，投入</w:t>
      </w:r>
      <w:r>
        <w:rPr>
          <w:rFonts w:hint="default" w:ascii="Calibri" w:hAnsi="Calibri" w:cs="Calibri"/>
          <w:color w:val="000000"/>
          <w:sz w:val="32"/>
          <w:szCs w:val="32"/>
          <w:shd w:val="clear" w:fill="FFFFFF"/>
        </w:rPr>
        <w:t>20</w:t>
      </w:r>
      <w:r>
        <w:rPr>
          <w:rFonts w:hint="eastAsia" w:ascii="仿宋" w:hAnsi="仿宋" w:eastAsia="仿宋" w:cs="仿宋"/>
          <w:color w:val="000000"/>
          <w:sz w:val="32"/>
          <w:szCs w:val="32"/>
          <w:shd w:val="clear" w:fill="FFFFFF"/>
        </w:rPr>
        <w:t>余万元，用于政务公开第三方测评、宣传、载体制作等工作。</w:t>
      </w:r>
    </w:p>
    <w:p w14:paraId="6BA1CA57">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楷体" w:hAnsi="楷体" w:eastAsia="楷体" w:cs="楷体"/>
          <w:b/>
          <w:color w:val="333333"/>
          <w:sz w:val="32"/>
          <w:szCs w:val="32"/>
          <w:shd w:val="clear" w:fill="FFFFFF"/>
        </w:rPr>
        <w:t>（四）公开平台建设。</w:t>
      </w:r>
      <w:r>
        <w:rPr>
          <w:rFonts w:hint="eastAsia" w:ascii="仿宋" w:hAnsi="仿宋" w:eastAsia="仿宋" w:cs="仿宋"/>
          <w:color w:val="333333"/>
          <w:sz w:val="32"/>
          <w:szCs w:val="32"/>
          <w:shd w:val="clear" w:fill="FFFFFF"/>
        </w:rPr>
        <w:t>充分发挥政府门户网站和政务新媒体公开“主渠道”作用，结合工作实际，及时调整完善政府信息主动公开目录。</w:t>
      </w:r>
      <w:r>
        <w:rPr>
          <w:rFonts w:hint="eastAsia" w:ascii="仿宋" w:hAnsi="仿宋" w:eastAsia="仿宋" w:cs="仿宋"/>
          <w:sz w:val="32"/>
          <w:szCs w:val="32"/>
          <w:shd w:val="clear" w:fill="FFFFFF"/>
        </w:rPr>
        <w:t>紧跟全市经济发展的大局和人民群众的需求，设立“四送一服”、“中央环境保护督察淮北专题”、“安徽省环境保护督察淮北专题”等特色专题，切实提高公开效果。把政府公报作为政务公开基础性工作，继续办好政府公报电子版，完善政府公报体系和工作机制，提高政府公报科学化、规范化、制度化水平。</w:t>
      </w:r>
    </w:p>
    <w:p w14:paraId="16ABF46A">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楷体" w:hAnsi="楷体" w:eastAsia="楷体" w:cs="楷体"/>
          <w:b/>
          <w:color w:val="333333"/>
          <w:sz w:val="32"/>
          <w:szCs w:val="32"/>
          <w:shd w:val="clear" w:fill="FFFFFF"/>
        </w:rPr>
        <w:t>（五）监督保障。</w:t>
      </w:r>
      <w:r>
        <w:rPr>
          <w:rFonts w:hint="eastAsia" w:ascii="仿宋" w:hAnsi="仿宋" w:eastAsia="仿宋" w:cs="仿宋"/>
          <w:color w:val="333333"/>
          <w:sz w:val="32"/>
          <w:szCs w:val="32"/>
          <w:shd w:val="clear" w:fill="FFFFFF"/>
        </w:rPr>
        <w:t>一是强化组织领导。召开政务公开工作领导小组会议，专题安排部署政务公开工作，</w:t>
      </w:r>
      <w:r>
        <w:rPr>
          <w:rFonts w:hint="eastAsia" w:ascii="仿宋" w:hAnsi="仿宋" w:eastAsia="仿宋" w:cs="仿宋"/>
          <w:color w:val="000000"/>
          <w:sz w:val="32"/>
          <w:szCs w:val="32"/>
          <w:shd w:val="clear" w:fill="FFFFFF"/>
        </w:rPr>
        <w:t>印发《</w:t>
      </w:r>
      <w:r>
        <w:rPr>
          <w:rFonts w:hint="default" w:ascii="Calibri" w:hAnsi="Calibri" w:cs="Calibri"/>
          <w:color w:val="000000"/>
          <w:sz w:val="32"/>
          <w:szCs w:val="32"/>
          <w:shd w:val="clear" w:fill="FFFFFF"/>
        </w:rPr>
        <w:t>2019</w:t>
      </w:r>
      <w:r>
        <w:rPr>
          <w:rFonts w:hint="eastAsia" w:ascii="仿宋" w:hAnsi="仿宋" w:eastAsia="仿宋" w:cs="仿宋"/>
          <w:color w:val="000000"/>
          <w:sz w:val="32"/>
          <w:szCs w:val="32"/>
          <w:shd w:val="clear" w:fill="FFFFFF"/>
        </w:rPr>
        <w:t>年政务公开重点工作任务分工》等文件，进一步细化政务公开工作，明确各项重点工作的时间表、任务书。二是强化督查考核。聘请第三方机构，对政务公开工作开展季度测评，实行一对一现场培训整改，确保问题整改完毕。印发《淮北市</w:t>
      </w:r>
      <w:r>
        <w:rPr>
          <w:rFonts w:hint="default" w:ascii="Calibri" w:hAnsi="Calibri" w:cs="Calibri"/>
          <w:color w:val="000000"/>
          <w:sz w:val="32"/>
          <w:szCs w:val="32"/>
          <w:shd w:val="clear" w:fill="FFFFFF"/>
        </w:rPr>
        <w:t>2019</w:t>
      </w:r>
      <w:r>
        <w:rPr>
          <w:rFonts w:hint="eastAsia" w:ascii="仿宋" w:hAnsi="仿宋" w:eastAsia="仿宋" w:cs="仿宋"/>
          <w:color w:val="000000"/>
          <w:sz w:val="32"/>
          <w:szCs w:val="32"/>
          <w:shd w:val="clear" w:fill="FFFFFF"/>
        </w:rPr>
        <w:t>年政务公开工作考评方案》，将政务公开工作纳入目标管理绩效考核，分值权重占比</w:t>
      </w:r>
      <w:r>
        <w:rPr>
          <w:rFonts w:hint="default" w:ascii="Calibri" w:hAnsi="Calibri" w:cs="Calibri"/>
          <w:color w:val="000000"/>
          <w:sz w:val="32"/>
          <w:szCs w:val="32"/>
          <w:shd w:val="clear" w:fill="FFFFFF"/>
        </w:rPr>
        <w:t>4%</w:t>
      </w:r>
      <w:r>
        <w:rPr>
          <w:rFonts w:hint="eastAsia" w:ascii="仿宋" w:hAnsi="仿宋" w:eastAsia="仿宋" w:cs="仿宋"/>
          <w:color w:val="000000"/>
          <w:sz w:val="32"/>
          <w:szCs w:val="32"/>
          <w:shd w:val="clear" w:fill="FFFFFF"/>
        </w:rPr>
        <w:t>，季度测评结果作为政务公开绩效考核的重要参考。</w:t>
      </w:r>
    </w:p>
    <w:p w14:paraId="765E2245">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黑体" w:hAnsi="宋体" w:eastAsia="黑体" w:cs="黑体"/>
          <w:color w:val="333333"/>
          <w:sz w:val="32"/>
          <w:szCs w:val="32"/>
          <w:shd w:val="clear" w:fill="FFFFFF"/>
        </w:rPr>
        <w:t>二、主动公开政府信息情况</w:t>
      </w:r>
    </w:p>
    <w:tbl>
      <w:tblPr>
        <w:tblStyle w:val="4"/>
        <w:tblW w:w="8140" w:type="dxa"/>
        <w:jc w:val="center"/>
        <w:shd w:val="clear" w:color="auto" w:fill="auto"/>
        <w:tblLayout w:type="autofit"/>
        <w:tblCellMar>
          <w:top w:w="0" w:type="dxa"/>
          <w:left w:w="0" w:type="dxa"/>
          <w:bottom w:w="0" w:type="dxa"/>
          <w:right w:w="0" w:type="dxa"/>
        </w:tblCellMar>
      </w:tblPr>
      <w:tblGrid>
        <w:gridCol w:w="3113"/>
        <w:gridCol w:w="1875"/>
        <w:gridCol w:w="6"/>
        <w:gridCol w:w="1265"/>
        <w:gridCol w:w="1881"/>
      </w:tblGrid>
      <w:tr w14:paraId="2144A4F1">
        <w:tblPrEx>
          <w:shd w:val="clear" w:color="auto" w:fill="auto"/>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677C95C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第二十条第（一）项</w:t>
            </w:r>
          </w:p>
        </w:tc>
      </w:tr>
      <w:tr w14:paraId="76C575C1">
        <w:tblPrEx>
          <w:shd w:val="clear" w:color="auto" w:fill="auto"/>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69C53C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信息内容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1590D0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本年新</w:t>
            </w:r>
            <w:r>
              <w:rPr>
                <w:rFonts w:hint="eastAsia" w:ascii="仿宋" w:hAnsi="仿宋" w:eastAsia="仿宋" w:cs="仿宋"/>
                <w:color w:val="000000"/>
                <w:sz w:val="32"/>
                <w:szCs w:val="32"/>
              </w:rPr>
              <w:br w:type="textWrapping"/>
            </w:r>
            <w:r>
              <w:rPr>
                <w:rFonts w:hint="eastAsia" w:ascii="仿宋" w:hAnsi="仿宋" w:eastAsia="仿宋" w:cs="仿宋"/>
                <w:sz w:val="32"/>
                <w:szCs w:val="32"/>
              </w:rPr>
              <w:t>制作数量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C738A4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本年新</w:t>
            </w:r>
            <w:r>
              <w:rPr>
                <w:rFonts w:hint="eastAsia" w:ascii="仿宋" w:hAnsi="仿宋" w:eastAsia="仿宋" w:cs="仿宋"/>
                <w:color w:val="000000"/>
                <w:sz w:val="32"/>
                <w:szCs w:val="32"/>
              </w:rPr>
              <w:br w:type="textWrapping"/>
            </w:r>
            <w:r>
              <w:rPr>
                <w:rFonts w:hint="eastAsia" w:ascii="仿宋" w:hAnsi="仿宋" w:eastAsia="仿宋" w:cs="仿宋"/>
                <w:sz w:val="32"/>
                <w:szCs w:val="32"/>
              </w:rPr>
              <w:t>公开数量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47BC92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对外公开总数量</w:t>
            </w:r>
          </w:p>
        </w:tc>
      </w:tr>
      <w:tr w14:paraId="1BA68F1D">
        <w:tblPrEx>
          <w:shd w:val="clear" w:color="auto" w:fill="auto"/>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323138C">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规章</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2ED789A">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CBA26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32"/>
                <w:szCs w:val="32"/>
              </w:rPr>
              <w:t> </w:t>
            </w:r>
            <w:r>
              <w:rPr>
                <w:rFonts w:hint="eastAsia" w:ascii="仿宋" w:hAnsi="仿宋" w:eastAsia="仿宋" w:cs="仿宋"/>
                <w:color w:val="000000"/>
                <w:sz w:val="32"/>
                <w:szCs w:val="32"/>
              </w:rPr>
              <w:t>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C415027">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r>
      <w:tr w14:paraId="693EC2AE">
        <w:tblPrEx>
          <w:shd w:val="clear" w:color="auto" w:fill="auto"/>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051009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规范性文件</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947197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49</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ABEAD6E">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32"/>
                <w:szCs w:val="32"/>
              </w:rPr>
              <w:t> </w:t>
            </w:r>
            <w:r>
              <w:rPr>
                <w:rFonts w:hint="eastAsia" w:ascii="仿宋" w:hAnsi="仿宋" w:eastAsia="仿宋" w:cs="仿宋"/>
                <w:color w:val="000000"/>
                <w:sz w:val="32"/>
                <w:szCs w:val="32"/>
              </w:rPr>
              <w:t>49</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79CA41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232</w:t>
            </w:r>
          </w:p>
        </w:tc>
      </w:tr>
      <w:tr w14:paraId="4227B70E">
        <w:tblPrEx>
          <w:shd w:val="clear" w:color="auto" w:fill="auto"/>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16928FE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第二十条第（五）项</w:t>
            </w:r>
          </w:p>
        </w:tc>
      </w:tr>
      <w:tr w14:paraId="4E27C137">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715F44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信息内容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3C5F56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B3AE10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D000DA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处理决定数量</w:t>
            </w:r>
          </w:p>
        </w:tc>
      </w:tr>
      <w:tr w14:paraId="2A718ED7">
        <w:tblPrEx>
          <w:shd w:val="clear" w:color="auto" w:fill="auto"/>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52E25B9">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行政许可</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3448F8C6">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E13F46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6DA2DE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r>
      <w:tr w14:paraId="20223CC4">
        <w:tblPrEx>
          <w:shd w:val="clear" w:color="auto" w:fill="auto"/>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65CA09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其他对外管理服务事项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3EAFCE0C">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D6DCF3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6890B6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r>
      <w:tr w14:paraId="4D3DEB87">
        <w:tblPrEx>
          <w:shd w:val="clear" w:color="auto" w:fill="auto"/>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4F281A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第二十条第（六）项</w:t>
            </w:r>
          </w:p>
        </w:tc>
      </w:tr>
      <w:tr w14:paraId="71656DEC">
        <w:tblPrEx>
          <w:shd w:val="clear" w:color="auto" w:fill="auto"/>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71FE38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信息内容</w:t>
            </w:r>
          </w:p>
        </w:tc>
        <w:tc>
          <w:tcPr>
            <w:tcW w:w="187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758E5D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002CD0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本年增/减</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87F114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处理决定数量</w:t>
            </w:r>
          </w:p>
        </w:tc>
      </w:tr>
      <w:tr w14:paraId="360CD91B">
        <w:tblPrEx>
          <w:shd w:val="clear" w:color="auto" w:fill="auto"/>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AB3893D">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行政处罚</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1FC8FE15">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37F9CAA">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866793F">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r>
      <w:tr w14:paraId="621CCD01">
        <w:tblPrEx>
          <w:shd w:val="clear" w:color="auto" w:fill="auto"/>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E88A42A">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行政强制</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46FDC0D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26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D34E1E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1881"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B72ABE2">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r>
      <w:tr w14:paraId="6BD08B05">
        <w:tblPrEx>
          <w:shd w:val="clear" w:color="auto" w:fill="auto"/>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1E91F23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第二十条第（八）项</w:t>
            </w:r>
          </w:p>
        </w:tc>
      </w:tr>
      <w:tr w14:paraId="744711D9">
        <w:tblPrEx>
          <w:shd w:val="clear" w:color="auto" w:fill="auto"/>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128511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5B05626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上一年项目数量</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65E0286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本年增/减</w:t>
            </w:r>
          </w:p>
        </w:tc>
      </w:tr>
      <w:tr w14:paraId="509BF28D">
        <w:tblPrEx>
          <w:shd w:val="clear" w:color="auto" w:fill="auto"/>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B012F8F">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行政事业性收费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32F98495">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0</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5C0FD18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0</w:t>
            </w:r>
            <w:r>
              <w:rPr>
                <w:rFonts w:hint="eastAsia" w:ascii="宋体" w:hAnsi="宋体" w:eastAsia="宋体" w:cs="宋体"/>
                <w:color w:val="000000"/>
                <w:sz w:val="32"/>
                <w:szCs w:val="32"/>
              </w:rPr>
              <w:t> </w:t>
            </w:r>
          </w:p>
        </w:tc>
      </w:tr>
      <w:tr w14:paraId="0CF0F8BA">
        <w:tblPrEx>
          <w:shd w:val="clear" w:color="auto" w:fill="auto"/>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70EB0E3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第二十条第（九）项</w:t>
            </w:r>
          </w:p>
        </w:tc>
      </w:tr>
      <w:tr w14:paraId="2636C2B1">
        <w:tblPrEx>
          <w:shd w:val="clear" w:color="auto" w:fill="auto"/>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E80AB4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信息内容</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0B165C3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采购项目数量</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5418378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采购总金额</w:t>
            </w:r>
          </w:p>
        </w:tc>
      </w:tr>
      <w:tr w14:paraId="0752E179">
        <w:tblPrEx>
          <w:shd w:val="clear" w:color="auto" w:fill="auto"/>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6897CD7">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政府集中采购</w:t>
            </w:r>
          </w:p>
        </w:tc>
        <w:tc>
          <w:tcPr>
            <w:tcW w:w="1881" w:type="dxa"/>
            <w:gridSpan w:val="2"/>
            <w:tcBorders>
              <w:top w:val="nil"/>
              <w:left w:val="nil"/>
              <w:bottom w:val="single" w:color="auto" w:sz="8" w:space="0"/>
              <w:right w:val="single" w:color="auto" w:sz="8" w:space="0"/>
            </w:tcBorders>
            <w:shd w:val="clear" w:color="auto" w:fill="auto"/>
            <w:noWrap/>
            <w:tcMar>
              <w:left w:w="108" w:type="dxa"/>
              <w:right w:w="108" w:type="dxa"/>
            </w:tcMar>
            <w:vAlign w:val="center"/>
          </w:tcPr>
          <w:p w14:paraId="6174EC3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color w:val="000000"/>
                <w:sz w:val="32"/>
                <w:szCs w:val="32"/>
              </w:rPr>
              <w:t>　 4</w:t>
            </w:r>
          </w:p>
        </w:tc>
        <w:tc>
          <w:tcPr>
            <w:tcW w:w="3146"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0CD908C1">
            <w:pPr>
              <w:pStyle w:val="3"/>
              <w:keepNext w:val="0"/>
              <w:keepLines w:val="0"/>
              <w:widowControl/>
              <w:suppressLineNumbers w:val="0"/>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sz w:val="32"/>
                <w:szCs w:val="32"/>
              </w:rPr>
              <w:t>116.7万元</w:t>
            </w:r>
          </w:p>
        </w:tc>
      </w:tr>
      <w:tr w14:paraId="2D199189">
        <w:tblPrEx>
          <w:shd w:val="clear" w:color="auto" w:fill="auto"/>
          <w:tblCellMar>
            <w:top w:w="0" w:type="dxa"/>
            <w:left w:w="0" w:type="dxa"/>
            <w:bottom w:w="0" w:type="dxa"/>
            <w:right w:w="0" w:type="dxa"/>
          </w:tblCellMar>
        </w:tblPrEx>
        <w:trPr>
          <w:trHeight w:val="0" w:hRule="atLeast"/>
          <w:jc w:val="center"/>
        </w:trPr>
        <w:tc>
          <w:tcPr>
            <w:tcW w:w="3120" w:type="dxa"/>
            <w:tcBorders>
              <w:top w:val="nil"/>
              <w:left w:val="nil"/>
              <w:bottom w:val="nil"/>
              <w:right w:val="nil"/>
            </w:tcBorders>
            <w:shd w:val="clear" w:color="auto" w:fill="auto"/>
            <w:vAlign w:val="center"/>
          </w:tcPr>
          <w:p w14:paraId="78D6F085">
            <w:pPr>
              <w:rPr>
                <w:rFonts w:hint="eastAsia" w:ascii="宋体"/>
                <w:sz w:val="24"/>
                <w:szCs w:val="24"/>
              </w:rPr>
            </w:pPr>
          </w:p>
        </w:tc>
        <w:tc>
          <w:tcPr>
            <w:tcW w:w="1875" w:type="dxa"/>
            <w:tcBorders>
              <w:top w:val="nil"/>
              <w:left w:val="nil"/>
              <w:bottom w:val="nil"/>
              <w:right w:val="nil"/>
            </w:tcBorders>
            <w:shd w:val="clear" w:color="auto" w:fill="auto"/>
            <w:vAlign w:val="center"/>
          </w:tcPr>
          <w:p w14:paraId="31AB8156">
            <w:pPr>
              <w:rPr>
                <w:rFonts w:hint="eastAsia" w:ascii="宋体"/>
                <w:sz w:val="24"/>
                <w:szCs w:val="24"/>
              </w:rPr>
            </w:pPr>
          </w:p>
        </w:tc>
        <w:tc>
          <w:tcPr>
            <w:tcW w:w="6" w:type="dxa"/>
            <w:tcBorders>
              <w:top w:val="nil"/>
              <w:left w:val="nil"/>
              <w:bottom w:val="nil"/>
              <w:right w:val="nil"/>
            </w:tcBorders>
            <w:shd w:val="clear" w:color="auto" w:fill="auto"/>
            <w:vAlign w:val="center"/>
          </w:tcPr>
          <w:p w14:paraId="0F3A8516">
            <w:pPr>
              <w:rPr>
                <w:rFonts w:hint="eastAsia" w:ascii="宋体"/>
                <w:sz w:val="24"/>
                <w:szCs w:val="24"/>
              </w:rPr>
            </w:pPr>
          </w:p>
        </w:tc>
        <w:tc>
          <w:tcPr>
            <w:tcW w:w="1260" w:type="dxa"/>
            <w:tcBorders>
              <w:top w:val="nil"/>
              <w:left w:val="nil"/>
              <w:bottom w:val="nil"/>
              <w:right w:val="nil"/>
            </w:tcBorders>
            <w:shd w:val="clear" w:color="auto" w:fill="auto"/>
            <w:vAlign w:val="center"/>
          </w:tcPr>
          <w:p w14:paraId="43E28969">
            <w:pPr>
              <w:rPr>
                <w:rFonts w:hint="eastAsia" w:ascii="宋体"/>
                <w:sz w:val="24"/>
                <w:szCs w:val="24"/>
              </w:rPr>
            </w:pPr>
          </w:p>
        </w:tc>
        <w:tc>
          <w:tcPr>
            <w:tcW w:w="1875" w:type="dxa"/>
            <w:tcBorders>
              <w:top w:val="nil"/>
              <w:left w:val="nil"/>
              <w:bottom w:val="nil"/>
              <w:right w:val="nil"/>
            </w:tcBorders>
            <w:shd w:val="clear" w:color="auto" w:fill="auto"/>
            <w:vAlign w:val="center"/>
          </w:tcPr>
          <w:p w14:paraId="5414B30B">
            <w:pPr>
              <w:rPr>
                <w:rFonts w:hint="eastAsia" w:ascii="宋体"/>
                <w:sz w:val="24"/>
                <w:szCs w:val="24"/>
              </w:rPr>
            </w:pPr>
          </w:p>
        </w:tc>
      </w:tr>
    </w:tbl>
    <w:p w14:paraId="7A50E3C2">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黑体" w:hAnsi="宋体" w:eastAsia="黑体" w:cs="黑体"/>
          <w:color w:val="333333"/>
          <w:sz w:val="32"/>
          <w:szCs w:val="32"/>
          <w:shd w:val="clear" w:fill="FFFFFF"/>
        </w:rPr>
        <w:t>三、收到和处理政府信息公开申请情况</w:t>
      </w:r>
    </w:p>
    <w:tbl>
      <w:tblPr>
        <w:tblStyle w:val="4"/>
        <w:tblW w:w="9071" w:type="dxa"/>
        <w:jc w:val="center"/>
        <w:shd w:val="clear" w:color="auto" w:fill="auto"/>
        <w:tblLayout w:type="autofit"/>
        <w:tblCellMar>
          <w:top w:w="0" w:type="dxa"/>
          <w:left w:w="0" w:type="dxa"/>
          <w:bottom w:w="0" w:type="dxa"/>
          <w:right w:w="0" w:type="dxa"/>
        </w:tblCellMar>
      </w:tblPr>
      <w:tblGrid>
        <w:gridCol w:w="856"/>
        <w:gridCol w:w="1176"/>
        <w:gridCol w:w="1827"/>
        <w:gridCol w:w="794"/>
        <w:gridCol w:w="711"/>
        <w:gridCol w:w="711"/>
        <w:gridCol w:w="756"/>
        <w:gridCol w:w="882"/>
        <w:gridCol w:w="676"/>
        <w:gridCol w:w="682"/>
      </w:tblGrid>
      <w:tr w14:paraId="707DD0E4">
        <w:tblPrEx>
          <w:shd w:val="clear" w:color="auto" w:fill="auto"/>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ADE84A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05E26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申请人情况</w:t>
            </w:r>
          </w:p>
        </w:tc>
      </w:tr>
      <w:tr w14:paraId="6471E087">
        <w:tblPrEx>
          <w:shd w:val="clear" w:color="auto" w:fill="auto"/>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5539871">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AFD24F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自然人</w:t>
            </w:r>
          </w:p>
        </w:tc>
        <w:tc>
          <w:tcPr>
            <w:tcW w:w="406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3F1DF8F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法人或其他组织</w:t>
            </w:r>
          </w:p>
        </w:tc>
        <w:tc>
          <w:tcPr>
            <w:tcW w:w="7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1FD802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总计</w:t>
            </w:r>
          </w:p>
        </w:tc>
      </w:tr>
      <w:tr w14:paraId="7A809154">
        <w:tblPrEx>
          <w:shd w:val="clear" w:color="auto" w:fill="auto"/>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26F5A8">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55BA8E5">
            <w:pPr>
              <w:rPr>
                <w:rFonts w:hint="eastAsia" w:ascii="宋体"/>
                <w:sz w:val="24"/>
                <w:szCs w:val="24"/>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55596C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24F23B7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科研机构</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74772B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社会公益组织</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033243C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法律服务机构</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FCE3AA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其他</w:t>
            </w:r>
          </w:p>
        </w:tc>
        <w:tc>
          <w:tcPr>
            <w:tcW w:w="7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99D8014">
            <w:pPr>
              <w:rPr>
                <w:rFonts w:hint="eastAsia" w:ascii="宋体"/>
                <w:sz w:val="24"/>
                <w:szCs w:val="24"/>
              </w:rPr>
            </w:pPr>
          </w:p>
        </w:tc>
      </w:tr>
      <w:tr w14:paraId="6720D4C4">
        <w:tblPrEx>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ACF9E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225D9A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44</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ABF028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76F6E4F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5CB7BED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B369BF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039852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59808A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44</w:t>
            </w:r>
            <w:r>
              <w:rPr>
                <w:rFonts w:hint="default" w:ascii="Calibri" w:hAnsi="Calibri" w:cs="Calibri"/>
                <w:sz w:val="32"/>
                <w:szCs w:val="32"/>
              </w:rPr>
              <w:t> </w:t>
            </w:r>
          </w:p>
        </w:tc>
      </w:tr>
      <w:tr w14:paraId="6BB37C15">
        <w:tblPrEx>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CD2F0F">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972AF8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82F4E6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05758F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279D38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13EFE6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564145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198C11D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r>
      <w:tr w14:paraId="0DE6F873">
        <w:tblPrEx>
          <w:shd w:val="clear" w:color="auto" w:fill="auto"/>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4BB77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C587101">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0963DD3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4</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B831AE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D8A1A0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C372CB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7CD0178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5D9EC3A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1395C1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4</w:t>
            </w:r>
          </w:p>
        </w:tc>
      </w:tr>
      <w:tr w14:paraId="64A3E325">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03B002">
            <w:pPr>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726EA75">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6AF0C65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1</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60A8A7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2C04BA3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BC2810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91841B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0D6B45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747C88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1</w:t>
            </w:r>
            <w:r>
              <w:rPr>
                <w:rFonts w:hint="default" w:ascii="Calibri" w:hAnsi="Calibri" w:cs="Calibri"/>
                <w:sz w:val="32"/>
                <w:szCs w:val="32"/>
              </w:rPr>
              <w:t> </w:t>
            </w:r>
          </w:p>
        </w:tc>
      </w:tr>
      <w:tr w14:paraId="7308A375">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73FFD69">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EC7D9C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33A608AF">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1694349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382F78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202962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4AE8EB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6782F0C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4D320F0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FA4118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28B4912B">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AEA902">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25F6F8">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4243634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A68CDA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B97629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DE09BA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3379828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19D72E7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24C2FA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111A076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71120442">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884F56">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B63793E">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31922B6C">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5CF128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0ED23C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9E6ADC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5501F82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77DDA4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81BD79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FC401C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74631E4E">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641CD8">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6B104AE">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35900CBF">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5801FB0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C79C71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A12E5A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3CA6D3A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77BB72E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A6599A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63FE7EF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7CA7057A">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1BC6F0">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9CBC030">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770D6D24">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60F5CC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21C666B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4D36DC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AF903D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AC9841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42BB63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490179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47EB9139">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71EB70">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D4C7969">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2BBCF8FC">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8BBF9F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2BFC6B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292C928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3AD6AC4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69D7D14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CE2D88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50AD150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472DAE18">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38E7D9">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8908DC5">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73C9C114">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1A8368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0CFDCE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3E2DC88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647B086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0CDE41A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3EF48B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5730F70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4B8F2AD5">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046802">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1481F57">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18E515DA">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0937F60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1C43836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CE6153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89360A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FF2729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7A4C473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374234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14884B7D">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B7546B">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42460B9">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6A85FA6A">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3F871CF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32</w:t>
            </w: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F76595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7D079B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35FCF6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C4DCCF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BF394B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480A99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32</w:t>
            </w:r>
            <w:r>
              <w:rPr>
                <w:rFonts w:hint="default" w:ascii="Calibri" w:hAnsi="Calibri" w:cs="Calibri"/>
                <w:sz w:val="32"/>
                <w:szCs w:val="32"/>
              </w:rPr>
              <w:t> </w:t>
            </w:r>
          </w:p>
        </w:tc>
      </w:tr>
      <w:tr w14:paraId="27519D5E">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5DFB69">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F2253E8">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0821699D">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F9B0E4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776812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701E8BE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DB41AC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7213567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E505FB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6F2491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4867BB16">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53B9F4">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AABE68F">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3E12BC7E">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C8C4D4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8B21AB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D5084A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65DBF64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C70116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59CC41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B95EBE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00EF0EA5">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26FA65">
            <w:pPr>
              <w:rPr>
                <w:rFonts w:hint="eastAsia"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9E98476">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4F8051E1">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16D4CC1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1E9735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7B265AA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FB7CAD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4DBFA0B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0E5D09E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6A5505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43FBC429">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1153CF">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AD2240D">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57D1AF40">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022BEA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3A8D3F3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388F820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10363A6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DA047A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B6F817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0881DEF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52359666">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8E3511">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BFCEDC6">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4A3C330E">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B7CB79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3D8CFBD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306ACF2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960E12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5C8585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283B55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6FAD540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7CAC59C1">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9897E9">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935B0F9">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058C577C">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495DE9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16CCC93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429C28C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46B2595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0ECC9CB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354FC18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18CC912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0A5FCDD1">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A9FA6">
            <w:pPr>
              <w:rPr>
                <w:rFonts w:hint="eastAsia"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515D88E">
            <w:pPr>
              <w:rPr>
                <w:rFonts w:hint="eastAsia" w:ascii="宋体"/>
                <w:sz w:val="24"/>
                <w:szCs w:val="24"/>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14:paraId="3DA193F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2308980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78B79FE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5EA8D59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9C9069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2B73256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680777A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C62D13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r>
      <w:tr w14:paraId="18EF21E6">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4691E9">
            <w:pPr>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2485E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B4651C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7</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15FF631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0E75D78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18D22A1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34F1460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10C0BC4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0E30278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7</w:t>
            </w:r>
            <w:r>
              <w:rPr>
                <w:rFonts w:hint="default" w:ascii="Calibri" w:hAnsi="Calibri" w:cs="Calibri"/>
                <w:sz w:val="32"/>
                <w:szCs w:val="32"/>
              </w:rPr>
              <w:t> </w:t>
            </w:r>
          </w:p>
        </w:tc>
      </w:tr>
      <w:tr w14:paraId="5009A9D7">
        <w:tblPrEx>
          <w:shd w:val="clear" w:color="auto" w:fill="auto"/>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789927">
            <w:pPr>
              <w:rPr>
                <w:rFonts w:hint="eastAsia" w:ascii="宋体"/>
                <w:sz w:val="24"/>
                <w:szCs w:val="24"/>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A5CF343">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557C349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44</w:t>
            </w: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A14861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20A80EF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6014189E">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3998736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6C219D3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CB4498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44</w:t>
            </w:r>
          </w:p>
        </w:tc>
      </w:tr>
      <w:tr w14:paraId="5B060953">
        <w:tblPrEx>
          <w:shd w:val="clear" w:color="auto" w:fill="auto"/>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BD998D">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7360008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41A26E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14:paraId="6BCD100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14:paraId="31B0B44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14:paraId="5576080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14:paraId="29FB380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3FB905D">
            <w:pPr>
              <w:rPr>
                <w:rFonts w:hint="eastAsia" w:ascii="宋体"/>
                <w:sz w:val="24"/>
                <w:szCs w:val="24"/>
              </w:rPr>
            </w:pPr>
          </w:p>
        </w:tc>
      </w:tr>
    </w:tbl>
    <w:p w14:paraId="6E2401C9">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黑体" w:hAnsi="宋体" w:eastAsia="黑体" w:cs="黑体"/>
          <w:color w:val="333333"/>
          <w:sz w:val="32"/>
          <w:szCs w:val="32"/>
          <w:shd w:val="clear" w:fill="FFFFFF"/>
        </w:rPr>
        <w:t>四、政府信息公开行政复议、行政诉讼情况</w:t>
      </w:r>
    </w:p>
    <w:tbl>
      <w:tblPr>
        <w:tblStyle w:val="4"/>
        <w:tblW w:w="9071" w:type="dxa"/>
        <w:jc w:val="center"/>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588E337">
        <w:tblPrEx>
          <w:shd w:val="clear" w:color="auto" w:fill="auto"/>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E845F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918A06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行政诉讼</w:t>
            </w:r>
          </w:p>
        </w:tc>
      </w:tr>
      <w:tr w14:paraId="7F62CEC5">
        <w:tblPrEx>
          <w:shd w:val="clear" w:color="auto" w:fill="auto"/>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752CF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8886DA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结果纠正</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3040E9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其他结果</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9058DF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尚未审结</w:t>
            </w:r>
          </w:p>
        </w:tc>
        <w:tc>
          <w:tcPr>
            <w:tcW w:w="65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2049DC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总计</w:t>
            </w:r>
          </w:p>
        </w:tc>
        <w:tc>
          <w:tcPr>
            <w:tcW w:w="297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6370648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未经复议直接起诉</w:t>
            </w:r>
          </w:p>
        </w:tc>
        <w:tc>
          <w:tcPr>
            <w:tcW w:w="302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3FE5D46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复议后起诉</w:t>
            </w:r>
          </w:p>
        </w:tc>
      </w:tr>
      <w:tr w14:paraId="7FB23B27">
        <w:tblPrEx>
          <w:shd w:val="clear" w:color="auto" w:fill="auto"/>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DF7525">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06FB05F">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3A00B3F">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0BAE3D1">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4BF81C">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C9B771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B37B3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74620C">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其他结果</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E716E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尚未审结</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982473">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总计</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6F5EDA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998E6E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D208DD8">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其他结果</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C7AE94B">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尚未审结</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E9A8D42">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总计</w:t>
            </w:r>
          </w:p>
        </w:tc>
      </w:tr>
      <w:tr w14:paraId="33F23B43">
        <w:tblPrEx>
          <w:shd w:val="clear" w:color="auto" w:fill="auto"/>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007DF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9C749A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DDC82E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F9AA2C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Calibri" w:hAnsi="Calibri" w:cs="Calibri"/>
                <w:sz w:val="32"/>
                <w:szCs w:val="32"/>
              </w:rPr>
              <w:t> </w:t>
            </w:r>
            <w:r>
              <w:rPr>
                <w:rFonts w:hint="eastAsia" w:ascii="仿宋" w:hAnsi="仿宋" w:eastAsia="仿宋" w:cs="仿宋"/>
                <w:sz w:val="32"/>
                <w:szCs w:val="32"/>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E56BC0A">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default" w:ascii="Calibri" w:hAnsi="Calibri" w:cs="Calibri"/>
                <w:sz w:val="32"/>
                <w:szCs w:val="32"/>
              </w:rPr>
              <w:t>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499EA67">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r>
              <w:rPr>
                <w:rFonts w:hint="eastAsia" w:ascii="宋体" w:hAnsi="宋体" w:eastAsia="宋体" w:cs="宋体"/>
                <w:sz w:val="32"/>
                <w:szCs w:val="32"/>
              </w:rPr>
              <w:t>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ADE9661">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2"/>
                <w:szCs w:val="32"/>
              </w:rPr>
              <w:t> </w:t>
            </w:r>
            <w:r>
              <w:rPr>
                <w:rFonts w:hint="eastAsia" w:ascii="仿宋" w:hAnsi="仿宋" w:eastAsia="仿宋" w:cs="仿宋"/>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E864E4">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2"/>
                <w:szCs w:val="32"/>
              </w:rPr>
              <w:t> </w:t>
            </w:r>
            <w:r>
              <w:rPr>
                <w:rFonts w:hint="eastAsia" w:ascii="仿宋" w:hAnsi="仿宋" w:eastAsia="仿宋" w:cs="仿宋"/>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96F245">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2"/>
                <w:szCs w:val="32"/>
              </w:rPr>
              <w:t> </w:t>
            </w:r>
            <w:r>
              <w:rPr>
                <w:rFonts w:hint="eastAsia" w:ascii="仿宋" w:hAnsi="仿宋" w:eastAsia="仿宋" w:cs="仿宋"/>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4E92CD">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32"/>
                <w:szCs w:val="32"/>
              </w:rPr>
              <w:t> </w:t>
            </w:r>
            <w:r>
              <w:rPr>
                <w:rFonts w:hint="eastAsia" w:ascii="仿宋" w:hAnsi="仿宋" w:eastAsia="仿宋" w:cs="仿宋"/>
                <w:color w:val="000000"/>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E133DF">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2"/>
                <w:szCs w:val="32"/>
              </w:rPr>
              <w:t> </w:t>
            </w:r>
            <w:r>
              <w:rPr>
                <w:rFonts w:hint="eastAsia" w:ascii="仿宋" w:hAnsi="仿宋" w:eastAsia="仿宋" w:cs="仿宋"/>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3F6D199">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2"/>
                <w:szCs w:val="32"/>
              </w:rPr>
              <w:t> </w:t>
            </w:r>
            <w:r>
              <w:rPr>
                <w:rFonts w:hint="eastAsia" w:ascii="仿宋" w:hAnsi="仿宋" w:eastAsia="仿宋" w:cs="仿宋"/>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FB11440">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000000"/>
                <w:sz w:val="32"/>
                <w:szCs w:val="32"/>
              </w:rPr>
              <w:t>0</w:t>
            </w:r>
            <w:r>
              <w:rPr>
                <w:rFonts w:hint="eastAsia" w:ascii="宋体" w:hAnsi="宋体" w:eastAsia="宋体" w:cs="宋体"/>
                <w:color w:val="000000"/>
                <w:sz w:val="32"/>
                <w:szCs w:val="32"/>
              </w:rPr>
              <w:t>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02B6EC76">
            <w:pPr>
              <w:pStyle w:val="3"/>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32"/>
                <w:szCs w:val="3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797650B">
            <w:pPr>
              <w:pStyle w:val="3"/>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32"/>
                <w:szCs w:val="32"/>
              </w:rPr>
              <w:t>0</w:t>
            </w:r>
          </w:p>
        </w:tc>
      </w:tr>
    </w:tbl>
    <w:p w14:paraId="1B85390F">
      <w:pPr>
        <w:pStyle w:val="3"/>
        <w:keepNext w:val="0"/>
        <w:keepLines w:val="0"/>
        <w:widowControl/>
        <w:suppressLineNumbers w:val="0"/>
        <w:shd w:val="clear" w:fill="FFFFFF"/>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color w:val="333333"/>
          <w:sz w:val="32"/>
          <w:szCs w:val="32"/>
          <w:shd w:val="clear" w:fill="FFFFFF"/>
        </w:rPr>
        <w:t> </w:t>
      </w:r>
    </w:p>
    <w:p w14:paraId="7F8434F7">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黑体" w:hAnsi="宋体" w:eastAsia="黑体" w:cs="黑体"/>
          <w:color w:val="333333"/>
          <w:sz w:val="32"/>
          <w:szCs w:val="32"/>
          <w:shd w:val="clear" w:fill="FFFFFF"/>
        </w:rPr>
        <w:t>五、存在的主要问题及改进情况</w:t>
      </w:r>
    </w:p>
    <w:p w14:paraId="0BB2BA71">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仿宋" w:hAnsi="仿宋" w:eastAsia="仿宋" w:cs="仿宋"/>
          <w:color w:val="333333"/>
          <w:sz w:val="32"/>
          <w:szCs w:val="32"/>
          <w:shd w:val="clear" w:fill="FFFFFF"/>
        </w:rPr>
        <w:t>2019年，我办按照省政务公开办《2019年政务公开重点工作任务分工》的安排部署，扎实推进、务实创新，取得了一定的成效。但离领导的要求和群众的期望还有一定的距离。一是</w:t>
      </w:r>
      <w:r>
        <w:rPr>
          <w:rFonts w:hint="eastAsia" w:ascii="仿宋" w:hAnsi="仿宋" w:eastAsia="仿宋" w:cs="仿宋"/>
          <w:color w:val="000000"/>
          <w:sz w:val="32"/>
          <w:szCs w:val="32"/>
          <w:shd w:val="clear" w:fill="FFFFFF"/>
        </w:rPr>
        <w:t>政策文件解读的数量和质量不高，解读形式仍需进一步丰富。二是意见征集的形式较为单一，公众参与度偏低。三是政务公开工作人员的业务能力仍需进一步增强。</w:t>
      </w:r>
    </w:p>
    <w:p w14:paraId="4BA5B92E">
      <w:pPr>
        <w:pStyle w:val="3"/>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color w:val="333333"/>
          <w:sz w:val="32"/>
          <w:szCs w:val="32"/>
        </w:rPr>
        <w:t>针对以上存在的问题，我办将从以下几个方面入手，一</w:t>
      </w:r>
      <w:r>
        <w:rPr>
          <w:rFonts w:hint="eastAsia" w:ascii="仿宋" w:hAnsi="仿宋" w:eastAsia="仿宋" w:cs="仿宋"/>
          <w:color w:val="000000"/>
          <w:sz w:val="32"/>
          <w:szCs w:val="32"/>
        </w:rPr>
        <w:t>是加强政策解读。落实和完善政策解读各项工作制度，进一步明确解读范围、落实解读责任，丰富解读形式，提高政策解读质量。二是推进制度建设。完善重大决策预公开工作制度，继续落实利益相关方、公众、专家、媒体等列席政府常务会制度。建立重点领域信息公开制度，围绕</w:t>
      </w:r>
      <w:r>
        <w:rPr>
          <w:rFonts w:hint="default" w:ascii="Calibri" w:hAnsi="Calibri" w:cs="Calibri"/>
          <w:color w:val="000000"/>
          <w:sz w:val="32"/>
          <w:szCs w:val="32"/>
        </w:rPr>
        <w:t>“</w:t>
      </w:r>
      <w:r>
        <w:rPr>
          <w:rFonts w:hint="eastAsia" w:ascii="仿宋" w:hAnsi="仿宋" w:eastAsia="仿宋" w:cs="仿宋"/>
          <w:color w:val="000000"/>
          <w:sz w:val="32"/>
          <w:szCs w:val="32"/>
        </w:rPr>
        <w:t>三大攻坚战</w:t>
      </w:r>
      <w:r>
        <w:rPr>
          <w:rFonts w:hint="default" w:ascii="Calibri" w:hAnsi="Calibri" w:cs="Calibri"/>
          <w:color w:val="000000"/>
          <w:sz w:val="32"/>
          <w:szCs w:val="32"/>
        </w:rPr>
        <w:t>”</w:t>
      </w:r>
      <w:r>
        <w:rPr>
          <w:rFonts w:hint="eastAsia" w:ascii="仿宋" w:hAnsi="仿宋" w:eastAsia="仿宋" w:cs="仿宋"/>
          <w:color w:val="000000"/>
          <w:sz w:val="32"/>
          <w:szCs w:val="32"/>
        </w:rPr>
        <w:t>、高质量发展、公共服务与民生等重点领域信息公开，明确公开重点，细化公开内容，增强公开时效。</w:t>
      </w:r>
      <w:r>
        <w:rPr>
          <w:rFonts w:hint="eastAsia" w:ascii="仿宋" w:hAnsi="仿宋" w:eastAsia="仿宋" w:cs="仿宋"/>
          <w:color w:val="333333"/>
          <w:sz w:val="32"/>
          <w:szCs w:val="32"/>
        </w:rPr>
        <w:t>三是加强业务培训。将政务公开课程纳入干部教育培训课程，适时举办全市政务公开工作人员能力提升培训班，不断提高工作人员业务能力水平。</w:t>
      </w:r>
    </w:p>
    <w:p w14:paraId="0A16002A">
      <w:pPr>
        <w:pStyle w:val="3"/>
        <w:keepNext w:val="0"/>
        <w:keepLines w:val="0"/>
        <w:widowControl/>
        <w:suppressLineNumbers w:val="0"/>
        <w:shd w:val="clear" w:fill="FFFFFF"/>
        <w:spacing w:before="0" w:beforeAutospacing="0" w:after="0" w:afterAutospacing="0"/>
        <w:ind w:left="0" w:right="0" w:firstLine="480"/>
        <w:jc w:val="both"/>
        <w:rPr>
          <w:rFonts w:hint="default" w:ascii="Calibri" w:hAnsi="Calibri" w:cs="Calibri"/>
          <w:sz w:val="21"/>
          <w:szCs w:val="21"/>
        </w:rPr>
      </w:pPr>
      <w:r>
        <w:rPr>
          <w:rFonts w:hint="eastAsia" w:ascii="黑体" w:hAnsi="宋体" w:eastAsia="黑体" w:cs="黑体"/>
          <w:color w:val="333333"/>
          <w:sz w:val="32"/>
          <w:szCs w:val="32"/>
          <w:shd w:val="clear" w:fill="FFFFFF"/>
        </w:rPr>
        <w:t>六、其他需要报告的事项</w:t>
      </w:r>
    </w:p>
    <w:p w14:paraId="74B17731">
      <w:pPr>
        <w:pStyle w:val="3"/>
        <w:keepNext w:val="0"/>
        <w:keepLines w:val="0"/>
        <w:widowControl/>
        <w:suppressLineNumbers w:val="0"/>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color w:val="333333"/>
          <w:sz w:val="32"/>
          <w:szCs w:val="32"/>
        </w:rPr>
        <w:t>我办高度重视新《条例》的宣传贯彻，及时下发《关于做好新修订的〈中华人民共和国政府信息公开条例〉宣传贯彻工作的通知》，扎实推动新《条例》宣传贯彻。一是召开会议“学”。市县两级及时召开专题学习会议，邀请相关专家对新《条例》修改的相关内容进行培训，培训200余人次。二是网站专题“设”。通过转载新《条例》全文及政策解读，滚动播放宣传横幅、标语等方式，在全市43家政府网站显著位置开设新《条例》宣传贯彻专题。三是深入基层“讲”。坚持市、区、镇（街道）三级联动，积极组织政务公开信息员走进社区、走进基层，悬挂条幅10条、发放宣传资料2000余份。</w:t>
      </w:r>
    </w:p>
    <w:p w14:paraId="418938B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DMxZjRkYzdiNmM5ZDNiMTYwMWFjYWYwMWQ1ZTEifQ=="/>
  </w:docVars>
  <w:rsids>
    <w:rsidRoot w:val="00000000"/>
    <w:rsid w:val="4BB91921"/>
    <w:rsid w:val="5CA90A3F"/>
    <w:rsid w:val="637D2C63"/>
    <w:rsid w:val="7A59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2020-02-06T14:16:00Z</dcterms:created>
  <dc:creator>Administrator</dc:creator>
  <cp:lastModifiedBy>user</cp:lastModifiedBy>
  <dcterms:modified xsi:type="dcterms:W3CDTF">2026-03-10T15:32:39Z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3AE835BF7E97434182720B3D84298C15_12</vt:lpwstr>
  </property>
</Properties>
</file>