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3060"/>
        </w:tabs>
        <w:spacing w:before="0" w:after="0" w:line="200" w:lineRule="exact"/>
        <w:ind w:firstLine="920"/>
        <w:jc w:val="center"/>
        <w:rPr>
          <w:color w:val="000000"/>
          <w:spacing w:val="-30"/>
          <w:sz w:val="52"/>
        </w:rPr>
      </w:pPr>
      <w:bookmarkStart w:id="0" w:name="_Toc15222"/>
      <w:bookmarkStart w:id="1" w:name="_Toc23858"/>
      <w:bookmarkStart w:id="2" w:name="_Toc27470"/>
      <w:bookmarkStart w:id="3" w:name="_Toc19352"/>
      <w:bookmarkStart w:id="4" w:name="_Toc27156"/>
    </w:p>
    <w:p>
      <w:pPr>
        <w:tabs>
          <w:tab w:val="left" w:pos="3060"/>
        </w:tabs>
        <w:spacing w:before="0" w:after="0" w:line="200" w:lineRule="exact"/>
        <w:ind w:firstLine="920"/>
        <w:jc w:val="center"/>
        <w:rPr>
          <w:color w:val="000000"/>
          <w:spacing w:val="-30"/>
          <w:sz w:val="52"/>
        </w:rPr>
      </w:pPr>
    </w:p>
    <w:p>
      <w:pPr>
        <w:tabs>
          <w:tab w:val="left" w:pos="3060"/>
        </w:tabs>
        <w:spacing w:before="0" w:after="0" w:line="200" w:lineRule="exact"/>
        <w:ind w:firstLine="920"/>
        <w:jc w:val="center"/>
        <w:rPr>
          <w:color w:val="000000"/>
          <w:spacing w:val="-30"/>
          <w:sz w:val="52"/>
        </w:rPr>
      </w:pPr>
    </w:p>
    <w:p>
      <w:pPr>
        <w:tabs>
          <w:tab w:val="left" w:pos="3060"/>
        </w:tabs>
        <w:spacing w:before="0" w:after="0" w:line="200" w:lineRule="exact"/>
        <w:ind w:firstLine="920"/>
        <w:jc w:val="center"/>
        <w:rPr>
          <w:color w:val="000000"/>
          <w:spacing w:val="-30"/>
          <w:sz w:val="52"/>
        </w:rPr>
      </w:pPr>
    </w:p>
    <w:p>
      <w:pPr>
        <w:tabs>
          <w:tab w:val="left" w:pos="3060"/>
        </w:tabs>
        <w:spacing w:before="0" w:after="0" w:line="200" w:lineRule="exact"/>
        <w:ind w:firstLine="920"/>
        <w:jc w:val="center"/>
        <w:rPr>
          <w:color w:val="000000"/>
          <w:spacing w:val="-30"/>
          <w:sz w:val="52"/>
        </w:rPr>
      </w:pPr>
    </w:p>
    <w:p>
      <w:pPr>
        <w:tabs>
          <w:tab w:val="left" w:pos="3060"/>
        </w:tabs>
        <w:spacing w:before="0" w:after="0" w:line="200" w:lineRule="exact"/>
        <w:ind w:firstLine="920"/>
        <w:jc w:val="center"/>
        <w:rPr>
          <w:color w:val="000000"/>
          <w:spacing w:val="-30"/>
          <w:sz w:val="52"/>
        </w:rPr>
      </w:pPr>
    </w:p>
    <w:p>
      <w:pPr>
        <w:tabs>
          <w:tab w:val="left" w:pos="3060"/>
        </w:tabs>
        <w:spacing w:before="0" w:after="0" w:line="200" w:lineRule="exact"/>
        <w:ind w:firstLine="920"/>
        <w:jc w:val="center"/>
        <w:rPr>
          <w:color w:val="000000"/>
          <w:spacing w:val="-30"/>
          <w:sz w:val="52"/>
        </w:rPr>
      </w:pPr>
    </w:p>
    <w:p>
      <w:pPr>
        <w:tabs>
          <w:tab w:val="left" w:pos="3060"/>
        </w:tabs>
        <w:spacing w:before="0" w:after="0" w:line="200" w:lineRule="exact"/>
        <w:ind w:firstLine="920"/>
        <w:jc w:val="center"/>
        <w:rPr>
          <w:color w:val="000000"/>
          <w:spacing w:val="-30"/>
          <w:sz w:val="52"/>
        </w:rPr>
      </w:pPr>
    </w:p>
    <w:p>
      <w:pPr>
        <w:tabs>
          <w:tab w:val="left" w:pos="3060"/>
        </w:tabs>
        <w:spacing w:before="0" w:after="0" w:line="200" w:lineRule="exact"/>
        <w:ind w:firstLine="920"/>
        <w:jc w:val="center"/>
        <w:rPr>
          <w:color w:val="000000"/>
          <w:spacing w:val="-30"/>
          <w:sz w:val="52"/>
        </w:rPr>
      </w:pPr>
    </w:p>
    <w:p>
      <w:pPr>
        <w:tabs>
          <w:tab w:val="left" w:pos="3060"/>
        </w:tabs>
        <w:spacing w:before="0" w:after="0" w:line="440" w:lineRule="exact"/>
        <w:ind w:firstLine="920"/>
        <w:jc w:val="center"/>
        <w:rPr>
          <w:color w:val="000000"/>
          <w:spacing w:val="-30"/>
          <w:sz w:val="52"/>
        </w:rPr>
      </w:pPr>
    </w:p>
    <w:p>
      <w:pPr>
        <w:tabs>
          <w:tab w:val="left" w:pos="3060"/>
          <w:tab w:val="left" w:pos="3402"/>
        </w:tabs>
        <w:spacing w:before="0" w:after="0" w:line="800" w:lineRule="exact"/>
        <w:ind w:firstLine="1320"/>
        <w:jc w:val="center"/>
        <w:rPr>
          <w:rFonts w:eastAsia="方正小标宋简体"/>
          <w:color w:val="000000"/>
          <w:spacing w:val="40"/>
          <w:sz w:val="58"/>
          <w:szCs w:val="58"/>
        </w:rPr>
      </w:pPr>
      <w:r>
        <w:rPr>
          <w:rFonts w:eastAsia="方正小标宋简体"/>
          <w:color w:val="000000"/>
          <w:spacing w:val="40"/>
          <w:sz w:val="58"/>
          <w:szCs w:val="58"/>
        </w:rPr>
        <w:t>农业农村局</w:t>
      </w:r>
    </w:p>
    <w:p>
      <w:pPr>
        <w:tabs>
          <w:tab w:val="left" w:pos="3060"/>
        </w:tabs>
        <w:spacing w:before="0" w:after="0" w:line="800" w:lineRule="exact"/>
        <w:ind w:firstLine="807"/>
        <w:jc w:val="center"/>
        <w:rPr>
          <w:rFonts w:eastAsia="方正小标宋简体"/>
          <w:color w:val="000000"/>
          <w:w w:val="70"/>
          <w:sz w:val="58"/>
          <w:szCs w:val="58"/>
        </w:rPr>
      </w:pPr>
      <w:r>
        <w:rPr>
          <w:rFonts w:hint="eastAsia" w:eastAsia="方正小标宋简体"/>
          <w:color w:val="000000"/>
          <w:w w:val="70"/>
          <w:sz w:val="58"/>
          <w:szCs w:val="58"/>
        </w:rPr>
        <w:t xml:space="preserve">  发展和改革委员会</w:t>
      </w:r>
    </w:p>
    <w:p>
      <w:pPr>
        <w:tabs>
          <w:tab w:val="left" w:pos="3060"/>
        </w:tabs>
        <w:spacing w:before="0" w:after="0" w:line="960" w:lineRule="exact"/>
        <w:ind w:firstLine="640"/>
        <w:jc w:val="center"/>
        <w:rPr>
          <w:rFonts w:eastAsia="楷体_GB2312"/>
          <w:color w:val="000000"/>
          <w:sz w:val="32"/>
          <w:szCs w:val="32"/>
        </w:rPr>
      </w:pPr>
    </w:p>
    <w:p>
      <w:pPr>
        <w:spacing w:before="0" w:after="0"/>
        <w:ind w:firstLine="640"/>
        <w:jc w:val="center"/>
        <w:rPr>
          <w:rFonts w:ascii="Times New Roman" w:hAnsi="Times New Roman" w:eastAsia="仿宋_GB2312"/>
          <w:color w:val="000000"/>
          <w:sz w:val="32"/>
          <w:szCs w:val="32"/>
        </w:rPr>
      </w:pPr>
      <w:r>
        <w:rPr>
          <w:rFonts w:ascii="Times New Roman" w:hAnsi="Times New Roman" w:eastAsia="仿宋_GB2312"/>
          <w:color w:val="000000"/>
          <w:sz w:val="32"/>
          <w:szCs w:val="32"/>
        </w:rPr>
        <w:t>淮农〔2022〕9号</w:t>
      </w:r>
    </w:p>
    <w:p>
      <w:pPr>
        <w:spacing w:before="0" w:after="0" w:line="400" w:lineRule="exact"/>
        <w:ind w:firstLine="600"/>
        <w:rPr>
          <w:color w:val="000000"/>
        </w:rPr>
      </w:pPr>
    </w:p>
    <w:p>
      <w:pPr>
        <w:spacing w:before="0" w:after="0" w:line="400" w:lineRule="exact"/>
        <w:ind w:firstLine="600"/>
        <w:rPr>
          <w:color w:val="000000"/>
        </w:rPr>
      </w:pPr>
    </w:p>
    <w:p>
      <w:pPr>
        <w:spacing w:before="0" w:after="0" w:line="580" w:lineRule="exact"/>
        <w:ind w:firstLine="0" w:firstLineChars="0"/>
        <w:jc w:val="center"/>
        <w:rPr>
          <w:rStyle w:val="43"/>
          <w:rFonts w:ascii="方正小标宋简体" w:hAnsi="方正小标宋简体" w:eastAsia="方正小标宋简体" w:cs="方正小标宋简体"/>
          <w:color w:val="000000"/>
          <w:sz w:val="44"/>
          <w:szCs w:val="44"/>
        </w:rPr>
      </w:pPr>
      <w:r>
        <w:rPr>
          <w:rStyle w:val="43"/>
          <w:rFonts w:hint="eastAsia" w:ascii="方正小标宋简体" w:hAnsi="方正小标宋简体" w:eastAsia="方正小标宋简体" w:cs="方正小标宋简体"/>
          <w:color w:val="000000"/>
          <w:sz w:val="44"/>
          <w:szCs w:val="44"/>
        </w:rPr>
        <w:t>淮北市农业农村局 淮北市发展和改革委员会</w:t>
      </w:r>
    </w:p>
    <w:p>
      <w:pPr>
        <w:spacing w:before="0" w:after="0" w:line="580" w:lineRule="exact"/>
        <w:ind w:firstLine="0" w:firstLineChars="0"/>
        <w:jc w:val="center"/>
        <w:rPr>
          <w:rStyle w:val="43"/>
          <w:rFonts w:ascii="方正小标宋简体" w:hAnsi="方正小标宋简体" w:eastAsia="方正小标宋简体" w:cs="方正小标宋简体"/>
          <w:color w:val="000000"/>
          <w:sz w:val="44"/>
          <w:szCs w:val="44"/>
        </w:rPr>
      </w:pPr>
      <w:r>
        <w:rPr>
          <w:rStyle w:val="43"/>
          <w:rFonts w:hint="eastAsia" w:ascii="方正小标宋简体" w:hAnsi="方正小标宋简体" w:eastAsia="方正小标宋简体" w:cs="方正小标宋简体"/>
          <w:color w:val="000000"/>
          <w:sz w:val="44"/>
          <w:szCs w:val="44"/>
        </w:rPr>
        <w:t>关于印发淮北市“十四五”农业农村现代化</w:t>
      </w:r>
    </w:p>
    <w:p>
      <w:pPr>
        <w:spacing w:before="0" w:after="0" w:line="580" w:lineRule="exact"/>
        <w:ind w:firstLine="0" w:firstLineChars="0"/>
        <w:jc w:val="center"/>
        <w:rPr>
          <w:rStyle w:val="43"/>
          <w:rFonts w:ascii="方正小标宋简体" w:hAnsi="方正小标宋简体" w:eastAsia="方正小标宋简体" w:cs="方正小标宋简体"/>
          <w:color w:val="000000"/>
          <w:sz w:val="44"/>
          <w:szCs w:val="44"/>
        </w:rPr>
      </w:pPr>
      <w:r>
        <w:rPr>
          <w:rStyle w:val="43"/>
          <w:rFonts w:hint="eastAsia" w:ascii="方正小标宋简体" w:hAnsi="方正小标宋简体" w:eastAsia="方正小标宋简体" w:cs="方正小标宋简体"/>
          <w:color w:val="000000"/>
          <w:sz w:val="44"/>
          <w:szCs w:val="44"/>
        </w:rPr>
        <w:t>规划（含美丽乡村建设规划）的通知</w:t>
      </w:r>
    </w:p>
    <w:p>
      <w:pPr>
        <w:spacing w:before="0" w:after="0" w:line="580" w:lineRule="exact"/>
        <w:ind w:firstLine="0" w:firstLineChars="0"/>
        <w:rPr>
          <w:rStyle w:val="43"/>
          <w:rFonts w:ascii="Times New Roman" w:hAnsi="Times New Roman" w:eastAsia="方正小标宋简体"/>
          <w:color w:val="000000"/>
          <w:sz w:val="32"/>
          <w:szCs w:val="32"/>
        </w:rPr>
      </w:pPr>
    </w:p>
    <w:p>
      <w:pPr>
        <w:pStyle w:val="2"/>
        <w:spacing w:before="0" w:after="0"/>
        <w:ind w:firstLine="0" w:firstLineChars="0"/>
        <w:jc w:val="both"/>
        <w:rPr>
          <w:rStyle w:val="43"/>
          <w:rFonts w:ascii="Times New Roman" w:hAnsi="Times New Roman" w:eastAsia="仿宋_GB2312"/>
          <w:b w:val="0"/>
          <w:bCs/>
          <w:color w:val="000000"/>
          <w:sz w:val="32"/>
          <w:szCs w:val="32"/>
        </w:rPr>
      </w:pPr>
      <w:r>
        <w:rPr>
          <w:rStyle w:val="43"/>
          <w:rFonts w:ascii="Times New Roman" w:hAnsi="Times New Roman" w:eastAsia="仿宋_GB2312"/>
          <w:b w:val="0"/>
          <w:bCs/>
          <w:color w:val="000000"/>
          <w:sz w:val="32"/>
          <w:szCs w:val="32"/>
        </w:rPr>
        <w:t>濉溪县、各区人民政府、市有关单位：</w:t>
      </w:r>
    </w:p>
    <w:p>
      <w:pPr>
        <w:spacing w:before="0" w:after="0"/>
        <w:ind w:firstLine="640"/>
        <w:rPr>
          <w:rStyle w:val="43"/>
          <w:rFonts w:ascii="Times New Roman" w:hAnsi="Times New Roman" w:eastAsia="仿宋_GB2312"/>
          <w:bCs/>
          <w:color w:val="000000"/>
          <w:sz w:val="32"/>
          <w:szCs w:val="32"/>
        </w:rPr>
      </w:pPr>
      <w:r>
        <w:rPr>
          <w:rStyle w:val="43"/>
          <w:rFonts w:hint="eastAsia" w:ascii="Times New Roman" w:hAnsi="Times New Roman" w:eastAsia="仿宋_GB2312"/>
          <w:bCs/>
          <w:color w:val="000000"/>
          <w:sz w:val="32"/>
          <w:szCs w:val="32"/>
        </w:rPr>
        <w:t>经市政府同意，</w:t>
      </w:r>
      <w:r>
        <w:rPr>
          <w:rStyle w:val="43"/>
          <w:rFonts w:ascii="Times New Roman" w:hAnsi="Times New Roman" w:eastAsia="仿宋_GB2312"/>
          <w:bCs/>
          <w:color w:val="000000"/>
          <w:sz w:val="32"/>
          <w:szCs w:val="32"/>
        </w:rPr>
        <w:t>现将《淮北市“十四五”农业农村现代化规划（含美丽乡村建设规划）》印发给你们，请结合实际，认真贯彻执行。</w:t>
      </w:r>
    </w:p>
    <w:p>
      <w:pPr>
        <w:spacing w:before="0" w:after="0"/>
        <w:ind w:firstLine="640"/>
        <w:rPr>
          <w:rStyle w:val="43"/>
          <w:rFonts w:ascii="Times New Roman" w:hAnsi="Times New Roman" w:eastAsia="仿宋_GB2312"/>
          <w:bCs/>
          <w:color w:val="000000"/>
          <w:sz w:val="32"/>
          <w:szCs w:val="32"/>
        </w:rPr>
      </w:pPr>
    </w:p>
    <w:p>
      <w:pPr>
        <w:pStyle w:val="2"/>
        <w:spacing w:before="0" w:after="0"/>
        <w:ind w:firstLine="640"/>
        <w:jc w:val="both"/>
        <w:rPr>
          <w:rStyle w:val="43"/>
          <w:rFonts w:ascii="Times New Roman" w:hAnsi="Times New Roman" w:eastAsia="仿宋_GB2312"/>
          <w:b w:val="0"/>
          <w:bCs/>
          <w:color w:val="000000"/>
          <w:sz w:val="32"/>
          <w:szCs w:val="32"/>
        </w:rPr>
      </w:pPr>
      <w:r>
        <w:rPr>
          <w:rStyle w:val="43"/>
          <w:rFonts w:ascii="Times New Roman" w:hAnsi="Times New Roman" w:eastAsia="仿宋_GB2312"/>
          <w:b w:val="0"/>
          <w:bCs/>
          <w:color w:val="000000"/>
          <w:sz w:val="32"/>
          <w:szCs w:val="32"/>
        </w:rPr>
        <w:t>淮北市农业农村局          淮北市发展和改革委员会</w:t>
      </w:r>
    </w:p>
    <w:p>
      <w:pPr>
        <w:spacing w:before="0" w:after="0"/>
        <w:ind w:firstLine="640"/>
        <w:rPr>
          <w:rFonts w:ascii="Times New Roman" w:hAnsi="Times New Roman"/>
          <w:color w:val="000000"/>
        </w:rPr>
      </w:pPr>
      <w:r>
        <w:rPr>
          <w:rStyle w:val="43"/>
          <w:rFonts w:ascii="Times New Roman" w:hAnsi="Times New Roman" w:eastAsia="仿宋_GB2312"/>
          <w:bCs/>
          <w:color w:val="000000"/>
          <w:sz w:val="32"/>
          <w:szCs w:val="32"/>
        </w:rPr>
        <w:t xml:space="preserve">                             </w:t>
      </w:r>
      <w:r>
        <w:rPr>
          <w:rStyle w:val="43"/>
          <w:rFonts w:hint="eastAsia" w:ascii="Times New Roman" w:hAnsi="Times New Roman" w:eastAsia="仿宋_GB2312"/>
          <w:bCs/>
          <w:color w:val="000000"/>
          <w:sz w:val="32"/>
          <w:szCs w:val="32"/>
        </w:rPr>
        <w:t xml:space="preserve"> </w:t>
      </w:r>
      <w:r>
        <w:rPr>
          <w:rStyle w:val="43"/>
          <w:rFonts w:ascii="Times New Roman" w:hAnsi="Times New Roman" w:eastAsia="仿宋_GB2312"/>
          <w:bCs/>
          <w:color w:val="000000"/>
          <w:sz w:val="32"/>
          <w:szCs w:val="32"/>
        </w:rPr>
        <w:t>2022年3月2</w:t>
      </w:r>
      <w:r>
        <w:rPr>
          <w:rStyle w:val="43"/>
          <w:rFonts w:hint="eastAsia" w:ascii="Times New Roman" w:hAnsi="Times New Roman" w:eastAsia="仿宋_GB2312"/>
          <w:bCs/>
          <w:color w:val="000000"/>
          <w:sz w:val="32"/>
          <w:szCs w:val="32"/>
        </w:rPr>
        <w:t>5</w:t>
      </w:r>
      <w:r>
        <w:rPr>
          <w:rStyle w:val="43"/>
          <w:rFonts w:ascii="Times New Roman" w:hAnsi="Times New Roman" w:eastAsia="仿宋_GB2312"/>
          <w:bCs/>
          <w:color w:val="000000"/>
          <w:sz w:val="32"/>
          <w:szCs w:val="32"/>
        </w:rPr>
        <w:t>日</w:t>
      </w:r>
    </w:p>
    <w:p>
      <w:pPr>
        <w:spacing w:before="0" w:after="0" w:line="580" w:lineRule="exact"/>
        <w:ind w:firstLine="0" w:firstLineChars="0"/>
        <w:jc w:val="center"/>
        <w:rPr>
          <w:rStyle w:val="43"/>
          <w:rFonts w:ascii="方正小标宋简体" w:hAnsi="方正小标宋简体" w:eastAsia="方正小标宋简体" w:cs="方正小标宋简体"/>
          <w:color w:val="000000"/>
          <w:sz w:val="32"/>
          <w:szCs w:val="32"/>
        </w:rPr>
        <w:sectPr>
          <w:headerReference r:id="rId7" w:type="first"/>
          <w:footerReference r:id="rId10" w:type="first"/>
          <w:headerReference r:id="rId5" w:type="default"/>
          <w:footerReference r:id="rId8" w:type="default"/>
          <w:headerReference r:id="rId6" w:type="even"/>
          <w:footerReference r:id="rId9" w:type="even"/>
          <w:pgSz w:w="11906" w:h="16838"/>
          <w:pgMar w:top="1985" w:right="1474" w:bottom="1871" w:left="1588" w:header="851" w:footer="1474" w:gutter="0"/>
          <w:pgNumType w:start="1"/>
          <w:cols w:space="720" w:num="1"/>
          <w:docGrid w:type="lines" w:linePitch="408" w:charSpace="0"/>
        </w:sectPr>
      </w:pPr>
    </w:p>
    <w:p>
      <w:pPr>
        <w:spacing w:before="0" w:after="0" w:line="580" w:lineRule="exact"/>
        <w:ind w:firstLine="0" w:firstLineChars="0"/>
        <w:jc w:val="center"/>
        <w:rPr>
          <w:rStyle w:val="43"/>
          <w:rFonts w:ascii="方正小标宋简体" w:hAnsi="方正小标宋简体" w:eastAsia="方正小标宋简体" w:cs="方正小标宋简体"/>
          <w:color w:val="000000"/>
          <w:sz w:val="44"/>
          <w:szCs w:val="44"/>
        </w:rPr>
      </w:pPr>
      <w:r>
        <w:rPr>
          <w:rStyle w:val="43"/>
          <w:rFonts w:hint="eastAsia" w:ascii="方正小标宋简体" w:hAnsi="方正小标宋简体" w:eastAsia="方正小标宋简体" w:cs="方正小标宋简体"/>
          <w:color w:val="000000"/>
          <w:sz w:val="44"/>
          <w:szCs w:val="44"/>
        </w:rPr>
        <w:t>淮北市“十四五”农业农村现代化规划</w:t>
      </w:r>
      <w:bookmarkEnd w:id="0"/>
      <w:bookmarkEnd w:id="1"/>
      <w:bookmarkEnd w:id="2"/>
      <w:bookmarkEnd w:id="3"/>
      <w:bookmarkEnd w:id="4"/>
      <w:bookmarkStart w:id="5" w:name="_Toc1855"/>
      <w:bookmarkStart w:id="6" w:name="_Toc12462"/>
      <w:bookmarkStart w:id="7" w:name="_Toc24754"/>
    </w:p>
    <w:p>
      <w:pPr>
        <w:spacing w:before="0" w:after="0" w:line="580" w:lineRule="exact"/>
        <w:ind w:firstLine="0" w:firstLineChars="0"/>
        <w:jc w:val="center"/>
        <w:rPr>
          <w:rStyle w:val="43"/>
          <w:rFonts w:ascii="方正小标宋简体" w:hAnsi="方正小标宋简体" w:eastAsia="方正小标宋简体" w:cs="方正小标宋简体"/>
          <w:color w:val="000000"/>
          <w:sz w:val="44"/>
          <w:szCs w:val="44"/>
        </w:rPr>
      </w:pPr>
      <w:r>
        <w:rPr>
          <w:rStyle w:val="43"/>
          <w:rFonts w:hint="eastAsia" w:ascii="方正小标宋简体" w:hAnsi="方正小标宋简体" w:eastAsia="方正小标宋简体" w:cs="方正小标宋简体"/>
          <w:color w:val="000000"/>
          <w:sz w:val="44"/>
          <w:szCs w:val="44"/>
        </w:rPr>
        <w:t>（含美丽乡村建设规划）</w:t>
      </w:r>
      <w:bookmarkEnd w:id="5"/>
      <w:bookmarkEnd w:id="6"/>
      <w:bookmarkEnd w:id="7"/>
    </w:p>
    <w:p>
      <w:pPr>
        <w:spacing w:before="0" w:after="0" w:line="580" w:lineRule="exact"/>
        <w:ind w:firstLine="640"/>
        <w:rPr>
          <w:rFonts w:ascii="Times New Roman" w:hAnsi="Times New Roman" w:eastAsia="仿宋_GB2312"/>
          <w:color w:val="000000"/>
          <w:sz w:val="32"/>
          <w:szCs w:val="32"/>
        </w:rPr>
      </w:pPr>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为全面贯彻习近平新时代中国特色社会主义思想，</w:t>
      </w:r>
      <w:r>
        <w:rPr>
          <w:rStyle w:val="43"/>
          <w:rFonts w:ascii="Times New Roman" w:hAnsi="Times New Roman" w:eastAsia="仿宋_GB2312"/>
          <w:color w:val="000000"/>
          <w:sz w:val="32"/>
          <w:szCs w:val="32"/>
        </w:rPr>
        <w:t>深入落实党的十九届五中全会关于加快农业农村现代化的重大决策部署，</w:t>
      </w:r>
      <w:r>
        <w:rPr>
          <w:rFonts w:ascii="Times New Roman" w:hAnsi="Times New Roman" w:eastAsia="仿宋_GB2312"/>
          <w:color w:val="000000"/>
          <w:sz w:val="32"/>
          <w:szCs w:val="32"/>
        </w:rPr>
        <w:t>扎实推进</w:t>
      </w:r>
      <w:r>
        <w:rPr>
          <w:rFonts w:hint="eastAsia" w:ascii="Times New Roman" w:hAnsi="Times New Roman" w:eastAsia="仿宋_GB2312"/>
          <w:color w:val="000000"/>
          <w:sz w:val="32"/>
          <w:szCs w:val="32"/>
        </w:rPr>
        <w:t>淮北</w:t>
      </w:r>
      <w:r>
        <w:rPr>
          <w:rFonts w:ascii="Times New Roman" w:hAnsi="Times New Roman" w:eastAsia="仿宋_GB2312"/>
          <w:color w:val="000000"/>
          <w:sz w:val="32"/>
          <w:szCs w:val="32"/>
        </w:rPr>
        <w:t>市“十四五”农业农村现代化建设，根据近年来中央经济工作会议、中央农村工作会议和《淮北市国民经济和社会发展第十四个五年规划和二</w:t>
      </w:r>
      <w:r>
        <w:rPr>
          <w:rFonts w:ascii="Times New Roman" w:hAnsi="Times New Roman" w:eastAsia="宋体"/>
          <w:color w:val="000000"/>
          <w:sz w:val="32"/>
          <w:szCs w:val="32"/>
        </w:rPr>
        <w:t>〇</w:t>
      </w:r>
      <w:r>
        <w:rPr>
          <w:rFonts w:ascii="Times New Roman" w:hAnsi="Times New Roman" w:eastAsia="仿宋_GB2312"/>
          <w:color w:val="000000"/>
          <w:sz w:val="32"/>
          <w:szCs w:val="32"/>
        </w:rPr>
        <w:t>三五年远景目标的纲要》精神，经认真调查研究，形成《淮北市“十四五”农业农村现代化规划（含美丽乡村建设规划）》，旨在明确淮北市“十四五”期间农业农村工作的目标、主要任务和重大举措，指导各县区、各部门科学有序推动“三农”工作高质量发展。</w:t>
      </w:r>
      <w:bookmarkStart w:id="8" w:name="_Toc26618"/>
    </w:p>
    <w:bookmarkEnd w:id="8"/>
    <w:p>
      <w:pPr>
        <w:pStyle w:val="3"/>
        <w:keepNext w:val="0"/>
        <w:keepLines w:val="0"/>
        <w:spacing w:before="0" w:after="0" w:line="560" w:lineRule="exact"/>
        <w:rPr>
          <w:rFonts w:ascii="Times New Roman" w:hAnsi="Times New Roman" w:eastAsia="黑体"/>
          <w:b w:val="0"/>
          <w:color w:val="000000"/>
          <w:sz w:val="32"/>
          <w:szCs w:val="32"/>
        </w:rPr>
      </w:pPr>
      <w:bookmarkStart w:id="9" w:name="_Toc32725"/>
      <w:bookmarkStart w:id="10" w:name="_Toc27127"/>
      <w:bookmarkStart w:id="11" w:name="_Toc16737"/>
    </w:p>
    <w:p>
      <w:pPr>
        <w:pStyle w:val="3"/>
        <w:keepNext w:val="0"/>
        <w:keepLines w:val="0"/>
        <w:spacing w:before="0" w:after="0" w:line="560" w:lineRule="exact"/>
        <w:rPr>
          <w:rFonts w:ascii="Times New Roman" w:hAnsi="Times New Roman" w:eastAsia="黑体"/>
          <w:b w:val="0"/>
          <w:color w:val="000000"/>
          <w:sz w:val="32"/>
          <w:szCs w:val="32"/>
        </w:rPr>
      </w:pPr>
      <w:r>
        <w:rPr>
          <w:rFonts w:ascii="Times New Roman" w:hAnsi="Times New Roman" w:eastAsia="黑体"/>
          <w:b w:val="0"/>
          <w:color w:val="000000"/>
          <w:sz w:val="32"/>
          <w:szCs w:val="32"/>
        </w:rPr>
        <w:t>第一章  发展回顾与形势展望</w:t>
      </w:r>
      <w:bookmarkEnd w:id="9"/>
      <w:bookmarkEnd w:id="10"/>
      <w:bookmarkStart w:id="12" w:name="_Toc26352"/>
      <w:bookmarkStart w:id="13" w:name="_Toc10263"/>
      <w:bookmarkStart w:id="14" w:name="_Toc14106"/>
    </w:p>
    <w:p>
      <w:pPr>
        <w:pStyle w:val="4"/>
        <w:keepNext w:val="0"/>
        <w:keepLines w:val="0"/>
        <w:spacing w:before="0" w:after="0"/>
        <w:ind w:firstLine="640" w:firstLineChars="200"/>
        <w:rPr>
          <w:rFonts w:ascii="Times New Roman" w:hAnsi="Times New Roman" w:eastAsia="黑体"/>
          <w:b w:val="0"/>
          <w:color w:val="000000"/>
          <w:szCs w:val="32"/>
        </w:rPr>
      </w:pPr>
      <w:r>
        <w:rPr>
          <w:rFonts w:ascii="Times New Roman" w:hAnsi="Times New Roman" w:eastAsia="黑体"/>
          <w:b w:val="0"/>
          <w:color w:val="000000"/>
          <w:szCs w:val="32"/>
        </w:rPr>
        <w:t>一、“十三五”农业农村发展成就</w:t>
      </w:r>
      <w:bookmarkEnd w:id="12"/>
      <w:bookmarkEnd w:id="13"/>
      <w:bookmarkEnd w:id="14"/>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“十三五”期间，</w:t>
      </w:r>
      <w:r>
        <w:rPr>
          <w:rFonts w:hint="eastAsia" w:ascii="Times New Roman" w:hAnsi="Times New Roman" w:eastAsia="仿宋_GB2312"/>
          <w:color w:val="000000"/>
          <w:sz w:val="32"/>
          <w:szCs w:val="32"/>
        </w:rPr>
        <w:t>淮北</w:t>
      </w:r>
      <w:r>
        <w:rPr>
          <w:rFonts w:ascii="Times New Roman" w:hAnsi="Times New Roman" w:eastAsia="仿宋_GB2312"/>
          <w:color w:val="000000"/>
          <w:sz w:val="32"/>
          <w:szCs w:val="32"/>
        </w:rPr>
        <w:t>市深化农业供给侧结构性改革，持续夯实粮食生产能力和农业基础，调整优化农业结构，推动农村各产业融合发展，加快培育农村发展新动能，为全市城乡协调发展、打赢脱贫攻坚战提供了坚强保证，农业农村经济全面向好。</w:t>
      </w:r>
    </w:p>
    <w:p>
      <w:pPr>
        <w:pStyle w:val="5"/>
        <w:keepNext w:val="0"/>
        <w:keepLines w:val="0"/>
        <w:spacing w:before="0" w:after="0"/>
        <w:ind w:firstLine="642" w:firstLineChars="200"/>
        <w:rPr>
          <w:rFonts w:eastAsia="楷体_GB2312"/>
          <w:color w:val="000000"/>
          <w:sz w:val="32"/>
          <w:szCs w:val="32"/>
        </w:rPr>
      </w:pPr>
      <w:bookmarkStart w:id="15" w:name="_Toc17"/>
      <w:bookmarkStart w:id="16" w:name="_Toc20283"/>
      <w:r>
        <w:rPr>
          <w:rFonts w:eastAsia="楷体_GB2312"/>
          <w:color w:val="000000"/>
          <w:sz w:val="32"/>
          <w:szCs w:val="32"/>
        </w:rPr>
        <w:t>（一）脱贫攻坚取得全面胜利</w:t>
      </w:r>
      <w:bookmarkEnd w:id="15"/>
      <w:bookmarkEnd w:id="16"/>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聚焦高质量脱贫，措施精准稳，结合各村主导产业，有针对性地谋划实施到村到户项目，抓好特色种养业扶贫工作。实现13052户35235贫困人口全部脱贫，22个贫困村全部出列，贫困户人均纯收入从2014年的2411元增长到2020年的1.15万元，年均增长36.69%，彻底解决绝对贫困，如期完成脱贫攻坚战任务。</w:t>
      </w:r>
    </w:p>
    <w:p>
      <w:pPr>
        <w:pStyle w:val="5"/>
        <w:keepNext w:val="0"/>
        <w:keepLines w:val="0"/>
        <w:spacing w:before="0" w:after="0"/>
        <w:ind w:firstLine="642" w:firstLineChars="200"/>
        <w:rPr>
          <w:rFonts w:eastAsia="楷体_GB2312"/>
          <w:color w:val="000000"/>
          <w:sz w:val="32"/>
          <w:szCs w:val="32"/>
        </w:rPr>
      </w:pPr>
      <w:bookmarkStart w:id="17" w:name="_Toc1649"/>
      <w:bookmarkStart w:id="18" w:name="_Toc10491"/>
      <w:r>
        <w:rPr>
          <w:rFonts w:eastAsia="楷体_GB2312"/>
          <w:color w:val="000000"/>
          <w:sz w:val="32"/>
          <w:szCs w:val="32"/>
        </w:rPr>
        <w:t>（二）重要农产品保障水平稳步提升</w:t>
      </w:r>
      <w:bookmarkEnd w:id="17"/>
      <w:bookmarkEnd w:id="18"/>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扛稳粮食安全重任，粮食生产质量效益持续提高，规模化养殖位居全省前列。全市累计建成高标准农田156.89万亩，划定171.8万亩粮食生产功能区和80万亩重要农产品生产保护区，段园葡萄基地入选安徽特色农产品优势区。粮食总产站稳145万吨台阶，2020年达149.36万吨，增幅居全省第4位，实现“十七连丰”；肉蛋奶和蔬菜产量持续增长，总产量分别达18.92万吨和40.65万吨。</w:t>
      </w:r>
    </w:p>
    <w:p>
      <w:pPr>
        <w:pStyle w:val="5"/>
        <w:keepNext w:val="0"/>
        <w:keepLines w:val="0"/>
        <w:spacing w:before="0" w:after="0"/>
        <w:ind w:firstLine="642" w:firstLineChars="200"/>
        <w:rPr>
          <w:rFonts w:eastAsia="楷体_GB2312"/>
          <w:color w:val="000000"/>
          <w:sz w:val="32"/>
          <w:szCs w:val="32"/>
        </w:rPr>
      </w:pPr>
      <w:bookmarkStart w:id="19" w:name="_Toc9216"/>
      <w:bookmarkStart w:id="20" w:name="_Toc30137"/>
      <w:r>
        <w:rPr>
          <w:rFonts w:eastAsia="楷体_GB2312"/>
          <w:color w:val="000000"/>
          <w:sz w:val="32"/>
          <w:szCs w:val="32"/>
        </w:rPr>
        <w:t>（三）农业产业化经营体系逐渐完善</w:t>
      </w:r>
      <w:bookmarkEnd w:id="19"/>
      <w:bookmarkEnd w:id="20"/>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濉溪县开展专用小麦“一县一业（特）”全产业链示范创建，段园镇获评第十批全国“一村一品”示范村镇，全市形成以相山经济开发区、百善食品工业园、宝迪工业园、口子工业园四大食品专业园区为主体的食品加工业集群。建立省级现代农业产业园4个，培育规模以上农产品加工企业190家，其中省级以上重点龙头企业35家。新型经营主体发展迅速，面向小农户的农业社会化服务体系逐步健全，在册农民专业合作社1376家（省级及以上农民专业合作社示范社31家），家庭农场5183家（省级示范家庭农场66家），以托管服务为主的农业生产性服务组织达200个。认定100家155个“淮优”农产品，成立4家“淮优”农产品产业协会。“淮优”农产品公共品牌逐步做强。</w:t>
      </w:r>
    </w:p>
    <w:p>
      <w:pPr>
        <w:pStyle w:val="5"/>
        <w:keepNext w:val="0"/>
        <w:keepLines w:val="0"/>
        <w:spacing w:before="0" w:after="0"/>
        <w:ind w:firstLine="642" w:firstLineChars="200"/>
        <w:rPr>
          <w:rFonts w:eastAsia="楷体_GB2312"/>
          <w:color w:val="000000"/>
          <w:sz w:val="32"/>
          <w:szCs w:val="32"/>
        </w:rPr>
      </w:pPr>
      <w:bookmarkStart w:id="21" w:name="_Toc31127"/>
      <w:bookmarkStart w:id="22" w:name="_Toc3605"/>
      <w:r>
        <w:rPr>
          <w:rFonts w:eastAsia="楷体_GB2312"/>
          <w:color w:val="000000"/>
          <w:sz w:val="32"/>
          <w:szCs w:val="32"/>
        </w:rPr>
        <w:t>（四）农业绿色发展取得新进展</w:t>
      </w:r>
      <w:bookmarkEnd w:id="21"/>
      <w:bookmarkEnd w:id="22"/>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积极推广有机肥替代化肥、病虫害绿色防治、畜禽粪污资源化利用和秸秆综合利用产业化，主要农作物化肥农药使用量持续实现负增长，畜禽粪污综合利用率高于全省平均水平，濉溪县、烈山区、杜集区实现畜禽粪污资源化利用整县（区）推进</w:t>
      </w:r>
      <w:r>
        <w:rPr>
          <w:rFonts w:hint="eastAsia" w:ascii="Times New Roman" w:hAnsi="Times New Roman" w:eastAsia="仿宋_GB2312"/>
          <w:color w:val="000000"/>
          <w:sz w:val="32"/>
          <w:szCs w:val="32"/>
        </w:rPr>
        <w:t>，主要</w:t>
      </w:r>
      <w:r>
        <w:rPr>
          <w:rFonts w:ascii="Times New Roman" w:hAnsi="Times New Roman" w:eastAsia="仿宋_GB2312"/>
          <w:color w:val="000000"/>
          <w:sz w:val="32"/>
          <w:szCs w:val="32"/>
        </w:rPr>
        <w:t>农作物秸秆综合利用率达92%。食用农产品合格证制度全面试行，农产品质量安全例行监测合格率稳定在99%以上，濉溪县、相山区、杜集区成功创建省级农产品质量安全县（区）。有效期内 “三品一标”农产品141个，</w:t>
      </w:r>
      <w:r>
        <w:rPr>
          <w:rFonts w:hint="eastAsia" w:ascii="Times New Roman" w:hAnsi="Times New Roman" w:eastAsia="仿宋_GB2312"/>
          <w:color w:val="000000"/>
          <w:sz w:val="32"/>
          <w:szCs w:val="32"/>
        </w:rPr>
        <w:t>在</w:t>
      </w:r>
      <w:r>
        <w:rPr>
          <w:rFonts w:ascii="Times New Roman" w:hAnsi="Times New Roman" w:eastAsia="仿宋_GB2312"/>
          <w:color w:val="000000"/>
          <w:sz w:val="32"/>
          <w:szCs w:val="32"/>
        </w:rPr>
        <w:t>省实施长三角绿色农产品生产加工供应基地建设“158”行动</w:t>
      </w:r>
      <w:r>
        <w:rPr>
          <w:rFonts w:hint="eastAsia" w:ascii="Times New Roman" w:hAnsi="Times New Roman" w:eastAsia="仿宋_GB2312"/>
          <w:color w:val="000000"/>
          <w:sz w:val="32"/>
          <w:szCs w:val="32"/>
        </w:rPr>
        <w:t>中，获批</w:t>
      </w:r>
      <w:r>
        <w:rPr>
          <w:rFonts w:ascii="Times New Roman" w:hAnsi="Times New Roman" w:eastAsia="仿宋_GB2312"/>
          <w:color w:val="000000"/>
          <w:sz w:val="32"/>
          <w:szCs w:val="32"/>
        </w:rPr>
        <w:t>3个长三角绿色农产品生产加工供应示范基地、1个重点龙头企业、1个农产品加工重点园区和1个农产品冷链物流重点企业。</w:t>
      </w:r>
    </w:p>
    <w:p>
      <w:pPr>
        <w:pStyle w:val="5"/>
        <w:keepNext w:val="0"/>
        <w:keepLines w:val="0"/>
        <w:spacing w:before="0" w:after="0"/>
        <w:ind w:firstLine="642" w:firstLineChars="200"/>
        <w:rPr>
          <w:rFonts w:eastAsia="楷体_GB2312"/>
          <w:color w:val="000000"/>
          <w:sz w:val="32"/>
          <w:szCs w:val="32"/>
        </w:rPr>
      </w:pPr>
      <w:bookmarkStart w:id="23" w:name="_Toc29105"/>
      <w:bookmarkStart w:id="24" w:name="_Toc18717"/>
      <w:bookmarkStart w:id="25" w:name="_Toc1936"/>
      <w:r>
        <w:rPr>
          <w:rFonts w:eastAsia="楷体_GB2312"/>
          <w:color w:val="000000"/>
          <w:sz w:val="32"/>
          <w:szCs w:val="32"/>
        </w:rPr>
        <w:t>（五）农村新产业、新业态</w:t>
      </w:r>
      <w:bookmarkEnd w:id="23"/>
      <w:r>
        <w:rPr>
          <w:rFonts w:eastAsia="楷体_GB2312"/>
          <w:color w:val="000000"/>
          <w:sz w:val="32"/>
          <w:szCs w:val="32"/>
        </w:rPr>
        <w:t>亮点纷呈</w:t>
      </w:r>
      <w:bookmarkEnd w:id="24"/>
      <w:bookmarkEnd w:id="25"/>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农村电商、乡村休闲旅游等新产业新业态蓬勃发展，创建省级特色旅游名村4个，省级乡村旅游示范村12个，省级休闲农业示范园区4个，烈山区榴园村和杜集区南山村入选全国乡村旅游重点村。全市休闲农业和乡村旅游接待人数超200万人次，营业收入达4亿元，建成了段园葡萄、和村苹果、黄营灵枣、黄里芭斗杏等一批特色休闲农业基地，累计建</w:t>
      </w:r>
      <w:r>
        <w:rPr>
          <w:rFonts w:hint="eastAsia" w:ascii="Times New Roman" w:hAnsi="Times New Roman" w:eastAsia="仿宋_GB2312"/>
          <w:color w:val="000000"/>
          <w:sz w:val="32"/>
          <w:szCs w:val="32"/>
        </w:rPr>
        <w:t>成</w:t>
      </w:r>
      <w:r>
        <w:rPr>
          <w:rFonts w:ascii="Times New Roman" w:hAnsi="Times New Roman" w:eastAsia="仿宋_GB2312"/>
          <w:color w:val="000000"/>
          <w:sz w:val="32"/>
          <w:szCs w:val="32"/>
        </w:rPr>
        <w:t>村级益农信息社354个。推进濉溪县全国农村一二三产业融合发展先导区</w:t>
      </w:r>
      <w:r>
        <w:rPr>
          <w:rFonts w:hint="eastAsia" w:ascii="Times New Roman" w:hAnsi="Times New Roman" w:eastAsia="仿宋_GB2312"/>
          <w:color w:val="000000"/>
          <w:sz w:val="32"/>
          <w:szCs w:val="32"/>
        </w:rPr>
        <w:t>、相山区国家农村产业融合发展示范园</w:t>
      </w:r>
      <w:r>
        <w:rPr>
          <w:rFonts w:ascii="Times New Roman" w:hAnsi="Times New Roman" w:eastAsia="仿宋_GB2312"/>
          <w:color w:val="000000"/>
          <w:sz w:val="32"/>
          <w:szCs w:val="32"/>
        </w:rPr>
        <w:t xml:space="preserve">和百善镇、渠沟镇农业产业强镇示范镇建设，杜集区蝉联全国县域数字农业农村发展评价先进县（区）。 </w:t>
      </w:r>
    </w:p>
    <w:p>
      <w:pPr>
        <w:pStyle w:val="5"/>
        <w:keepNext w:val="0"/>
        <w:keepLines w:val="0"/>
        <w:spacing w:before="0" w:after="0"/>
        <w:ind w:firstLine="642" w:firstLineChars="200"/>
        <w:rPr>
          <w:rFonts w:eastAsia="楷体_GB2312"/>
          <w:color w:val="000000"/>
          <w:sz w:val="32"/>
          <w:szCs w:val="32"/>
        </w:rPr>
      </w:pPr>
      <w:bookmarkStart w:id="26" w:name="_Toc32663"/>
      <w:bookmarkStart w:id="27" w:name="_Toc9433"/>
      <w:bookmarkStart w:id="28" w:name="_Toc19485"/>
      <w:r>
        <w:rPr>
          <w:rFonts w:eastAsia="楷体_GB2312"/>
          <w:color w:val="000000"/>
          <w:sz w:val="32"/>
          <w:szCs w:val="32"/>
        </w:rPr>
        <w:t>（六）农业科技支撑力度</w:t>
      </w:r>
      <w:bookmarkEnd w:id="26"/>
      <w:r>
        <w:rPr>
          <w:rFonts w:eastAsia="楷体_GB2312"/>
          <w:color w:val="000000"/>
          <w:sz w:val="32"/>
          <w:szCs w:val="32"/>
        </w:rPr>
        <w:t>不断提升</w:t>
      </w:r>
      <w:bookmarkEnd w:id="27"/>
      <w:bookmarkEnd w:id="28"/>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积极推进科技兴农工作，加大与中国农业大学、安徽农业大学、安徽省农科院等高等院校、科研院所的合作，成功创建全国主要农作物生产全程机械化示范市。农业科技进步贡献率达64%，农机总动力达278万千瓦，农作物机械化率达90.54%，实施“种业强市”计划，主要农作物良种覆盖率达98%以上，濉溪县被认定为国家小麦制种大县和国家区域性小麦良种繁育基地。大力开展基层农技人员包村联户</w:t>
      </w:r>
      <w:r>
        <w:rPr>
          <w:rFonts w:hint="eastAsia" w:ascii="Times New Roman" w:hAnsi="Times New Roman" w:eastAsia="仿宋_GB2312"/>
          <w:color w:val="000000"/>
          <w:sz w:val="32"/>
          <w:szCs w:val="32"/>
        </w:rPr>
        <w:t>工作</w:t>
      </w:r>
      <w:r>
        <w:rPr>
          <w:rFonts w:ascii="Times New Roman" w:hAnsi="Times New Roman" w:eastAsia="仿宋_GB2312"/>
          <w:color w:val="000000"/>
          <w:sz w:val="32"/>
          <w:szCs w:val="32"/>
        </w:rPr>
        <w:t>，组织基层农业科技人员1393人次，开展包村联户，指导服务科技示范户</w:t>
      </w:r>
      <w:r>
        <w:rPr>
          <w:rFonts w:hint="eastAsia" w:ascii="Times New Roman" w:hAnsi="Times New Roman" w:eastAsia="仿宋_GB2312"/>
          <w:color w:val="000000"/>
          <w:sz w:val="32"/>
          <w:szCs w:val="32"/>
        </w:rPr>
        <w:t>6500</w:t>
      </w:r>
      <w:r>
        <w:rPr>
          <w:rFonts w:ascii="Times New Roman" w:hAnsi="Times New Roman" w:eastAsia="仿宋_GB2312"/>
          <w:color w:val="000000"/>
          <w:sz w:val="32"/>
          <w:szCs w:val="32"/>
        </w:rPr>
        <w:t>户，培训新型职业农民4766人</w:t>
      </w:r>
      <w:r>
        <w:rPr>
          <w:rFonts w:hint="eastAsia" w:ascii="Times New Roman" w:hAnsi="Times New Roman" w:eastAsia="仿宋_GB2312"/>
          <w:color w:val="000000"/>
          <w:sz w:val="32"/>
          <w:szCs w:val="32"/>
        </w:rPr>
        <w:t>次</w:t>
      </w:r>
      <w:r>
        <w:rPr>
          <w:rFonts w:ascii="Times New Roman" w:hAnsi="Times New Roman" w:eastAsia="仿宋_GB2312"/>
          <w:color w:val="000000"/>
          <w:sz w:val="32"/>
          <w:szCs w:val="32"/>
        </w:rPr>
        <w:t>。烈山区被评为学习金寨经验培育农村产业发展带头人省级试点县（区）</w:t>
      </w:r>
      <w:r>
        <w:rPr>
          <w:rFonts w:hint="eastAsia" w:ascii="Times New Roman" w:hAnsi="Times New Roman" w:eastAsia="仿宋_GB2312"/>
          <w:color w:val="000000"/>
          <w:sz w:val="32"/>
          <w:szCs w:val="32"/>
        </w:rPr>
        <w:t>。</w:t>
      </w:r>
    </w:p>
    <w:p>
      <w:pPr>
        <w:pStyle w:val="5"/>
        <w:keepNext w:val="0"/>
        <w:keepLines w:val="0"/>
        <w:spacing w:before="0" w:after="0"/>
        <w:ind w:firstLine="642" w:firstLineChars="200"/>
        <w:rPr>
          <w:rFonts w:eastAsia="楷体_GB2312"/>
          <w:color w:val="000000"/>
          <w:sz w:val="32"/>
          <w:szCs w:val="32"/>
        </w:rPr>
      </w:pPr>
      <w:bookmarkStart w:id="29" w:name="_Toc15557"/>
      <w:bookmarkStart w:id="30" w:name="_Toc1791"/>
      <w:bookmarkStart w:id="31" w:name="_Toc31636"/>
      <w:r>
        <w:rPr>
          <w:rFonts w:eastAsia="楷体_GB2312"/>
          <w:color w:val="000000"/>
          <w:sz w:val="32"/>
          <w:szCs w:val="32"/>
        </w:rPr>
        <w:t>（七）农村改革持续深化</w:t>
      </w:r>
      <w:bookmarkEnd w:id="29"/>
      <w:bookmarkEnd w:id="30"/>
      <w:bookmarkEnd w:id="31"/>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深入推进农村承包地“三权分置”改革，全面完成土地承包经营权信息管理平台建设，耕地流转面积79.07万亩、流转率33.2%。扎实推进杜集区农村闲置宅基地和闲置住宅盘活利用省级试点示范工作，稳慎推进农村宅基地改革和管理。全面完成了农村集体产权制度改革，量化集体资产总数14.25亿元，确认集体成员163.36万人。农村“三变”改革率100%，参与“三变”股民人数146.62万人。在全省率先完成农业综合行政执法改革</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荣获“全国农业综合行政执法改革示范单位”“优秀单位”等称号。实施“百村示范”工程，烈山区榴园村获评“2020年全国乡村特色产业亿元村”，50万元以上集体经济强村58个，5万元以下的薄弱村和空壳村全面消除。</w:t>
      </w:r>
      <w:bookmarkStart w:id="32" w:name="_Toc20677"/>
    </w:p>
    <w:p>
      <w:pPr>
        <w:pStyle w:val="5"/>
        <w:keepNext w:val="0"/>
        <w:keepLines w:val="0"/>
        <w:spacing w:before="0" w:after="0"/>
        <w:ind w:firstLine="642" w:firstLineChars="200"/>
        <w:rPr>
          <w:rFonts w:eastAsia="楷体_GB2312"/>
          <w:color w:val="000000"/>
          <w:sz w:val="32"/>
          <w:szCs w:val="32"/>
        </w:rPr>
      </w:pPr>
      <w:bookmarkStart w:id="33" w:name="_Toc10791"/>
      <w:bookmarkStart w:id="34" w:name="_Toc7953"/>
      <w:r>
        <w:rPr>
          <w:rFonts w:eastAsia="楷体_GB2312"/>
          <w:color w:val="000000"/>
          <w:sz w:val="32"/>
          <w:szCs w:val="32"/>
        </w:rPr>
        <w:t>（八）农村人居环境显著好转</w:t>
      </w:r>
      <w:bookmarkEnd w:id="32"/>
      <w:bookmarkEnd w:id="33"/>
      <w:bookmarkEnd w:id="34"/>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持续推进农村厕所、垃圾、污水“三大革命”，完成无害化卫生厕所改造85073户，全市18个镇政府驻地和82个省级美丽乡村中心村污水处理设施全部建成，农村卫生厕所普及率超过85%，农村生活垃圾无害化处理率达98%以上，农村人居环境整治三年行动目标任务全面完成。已建和在建美丽乡村中心村202个，占布点规划中心村的83.5%，完成“十三五”任务的104.1%。村级综合性文化服务中心覆盖率达98％。</w:t>
      </w:r>
    </w:p>
    <w:p>
      <w:pPr>
        <w:pStyle w:val="5"/>
        <w:keepNext w:val="0"/>
        <w:keepLines w:val="0"/>
        <w:spacing w:before="0" w:after="0"/>
        <w:ind w:firstLine="642" w:firstLineChars="200"/>
        <w:rPr>
          <w:rFonts w:eastAsia="楷体_GB2312"/>
          <w:color w:val="000000"/>
          <w:sz w:val="32"/>
          <w:szCs w:val="32"/>
        </w:rPr>
      </w:pPr>
      <w:bookmarkStart w:id="35" w:name="_Toc9975"/>
      <w:bookmarkStart w:id="36" w:name="_Toc25408"/>
      <w:bookmarkStart w:id="37" w:name="_Toc29082"/>
      <w:r>
        <w:rPr>
          <w:rFonts w:eastAsia="楷体_GB2312"/>
          <w:color w:val="000000"/>
          <w:sz w:val="32"/>
          <w:szCs w:val="32"/>
        </w:rPr>
        <w:t>（九）乡村治理水平明显提升</w:t>
      </w:r>
      <w:bookmarkEnd w:id="35"/>
      <w:bookmarkEnd w:id="36"/>
      <w:bookmarkEnd w:id="37"/>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持续深化“一组一会”建设，不断完善党组织领导下的“自治、法治、德治”相结合的乡村治理体系，积极开展乡村治理示范创建，濉溪县濉溪镇、双堆集镇芦沟村、相山区渠沟镇徐集村、杜集区段园镇大庄村等一镇三村获评全国乡村治理示范村镇。实施“四带一自”产业扶贫工程，投入财政资金4694.44万元，实施农业特色产业扶贫项目67个，覆盖贫困户9452户。</w:t>
      </w:r>
    </w:p>
    <w:p>
      <w:pPr>
        <w:pStyle w:val="5"/>
        <w:keepNext w:val="0"/>
        <w:keepLines w:val="0"/>
        <w:spacing w:before="0" w:after="0"/>
        <w:ind w:firstLine="642" w:firstLineChars="200"/>
        <w:rPr>
          <w:rFonts w:eastAsia="楷体_GB2312"/>
          <w:color w:val="000000"/>
          <w:sz w:val="32"/>
          <w:szCs w:val="32"/>
        </w:rPr>
      </w:pPr>
      <w:bookmarkStart w:id="38" w:name="_Toc6298"/>
      <w:bookmarkStart w:id="39" w:name="_Toc22957"/>
      <w:r>
        <w:rPr>
          <w:rFonts w:eastAsia="楷体_GB2312"/>
          <w:color w:val="000000"/>
          <w:sz w:val="32"/>
          <w:szCs w:val="32"/>
        </w:rPr>
        <w:t>（十）农村民生有效改善</w:t>
      </w:r>
      <w:bookmarkEnd w:id="38"/>
      <w:bookmarkEnd w:id="39"/>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农村常住居民人均可支配收入由2015年的9882元增加到2020年的15218元，由全省第14位升至第7位，年均增长9%。农村公共服务和公共基础设施建设有力推进，教育、文化、卫生、社会保障等社会事业快速发展，农村水电路气网等基础设施建设全面提速，农民群众的幸福感不断提升。</w:t>
      </w:r>
    </w:p>
    <w:p>
      <w:pPr>
        <w:pStyle w:val="4"/>
        <w:keepNext w:val="0"/>
        <w:keepLines w:val="0"/>
        <w:spacing w:before="0" w:after="0"/>
        <w:ind w:firstLine="640" w:firstLineChars="200"/>
        <w:rPr>
          <w:rFonts w:ascii="Times New Roman" w:hAnsi="Times New Roman" w:eastAsia="黑体"/>
          <w:b w:val="0"/>
          <w:color w:val="000000"/>
          <w:szCs w:val="32"/>
        </w:rPr>
      </w:pPr>
      <w:bookmarkStart w:id="40" w:name="_Toc166"/>
      <w:bookmarkStart w:id="41" w:name="_Toc31404"/>
      <w:bookmarkStart w:id="42" w:name="_Toc31310"/>
      <w:r>
        <w:rPr>
          <w:rFonts w:ascii="Times New Roman" w:hAnsi="Times New Roman" w:eastAsia="黑体"/>
          <w:b w:val="0"/>
          <w:color w:val="000000"/>
          <w:szCs w:val="32"/>
        </w:rPr>
        <w:t>二、“十四五”农业农村发展机遇与挑战</w:t>
      </w:r>
      <w:bookmarkEnd w:id="40"/>
      <w:bookmarkEnd w:id="41"/>
      <w:bookmarkEnd w:id="42"/>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“十四五”时期是推进乡村振兴战略规划的关键五年，也是经济结构、社会结构</w:t>
      </w:r>
      <w:r>
        <w:rPr>
          <w:rFonts w:hint="eastAsia" w:ascii="Times New Roman" w:hAnsi="Times New Roman" w:eastAsia="仿宋_GB2312"/>
          <w:color w:val="000000"/>
          <w:sz w:val="32"/>
          <w:szCs w:val="32"/>
        </w:rPr>
        <w:t>快速</w:t>
      </w:r>
      <w:r>
        <w:rPr>
          <w:rFonts w:ascii="Times New Roman" w:hAnsi="Times New Roman" w:eastAsia="仿宋_GB2312"/>
          <w:color w:val="000000"/>
          <w:sz w:val="32"/>
          <w:szCs w:val="32"/>
        </w:rPr>
        <w:t>转型时期，产业转型升级、新型城镇化和乡村振兴工程行动计划给农业农村带来新的发展机遇，但国际环境变化、国内产业结构变动也会对农业农村发展带来冲击，有利条件和不利因素并存。</w:t>
      </w:r>
    </w:p>
    <w:p>
      <w:pPr>
        <w:pStyle w:val="5"/>
        <w:keepNext w:val="0"/>
        <w:keepLines w:val="0"/>
        <w:spacing w:before="0" w:after="0"/>
        <w:ind w:firstLine="642" w:firstLineChars="200"/>
        <w:rPr>
          <w:rFonts w:eastAsia="楷体_GB2312"/>
          <w:color w:val="000000"/>
          <w:sz w:val="32"/>
          <w:szCs w:val="32"/>
        </w:rPr>
      </w:pPr>
      <w:bookmarkStart w:id="43" w:name="_Toc22925"/>
      <w:bookmarkStart w:id="44" w:name="_Toc8694"/>
      <w:bookmarkStart w:id="45" w:name="_Toc13165"/>
      <w:r>
        <w:rPr>
          <w:rFonts w:eastAsia="楷体_GB2312"/>
          <w:color w:val="000000"/>
          <w:sz w:val="32"/>
          <w:szCs w:val="32"/>
        </w:rPr>
        <w:t>（一）优势与机遇</w:t>
      </w:r>
      <w:bookmarkEnd w:id="43"/>
      <w:bookmarkEnd w:id="44"/>
      <w:bookmarkEnd w:id="45"/>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从优势而言</w:t>
      </w:r>
      <w:r>
        <w:rPr>
          <w:rFonts w:ascii="Times New Roman" w:hAnsi="Times New Roman" w:eastAsia="仿宋_GB2312"/>
          <w:color w:val="000000"/>
          <w:sz w:val="32"/>
          <w:szCs w:val="32"/>
        </w:rPr>
        <w:t>，首先，</w:t>
      </w:r>
      <w:r>
        <w:rPr>
          <w:rFonts w:hint="eastAsia" w:ascii="Times New Roman" w:hAnsi="Times New Roman" w:eastAsia="仿宋_GB2312"/>
          <w:color w:val="000000"/>
          <w:sz w:val="32"/>
          <w:szCs w:val="32"/>
        </w:rPr>
        <w:t>淮北</w:t>
      </w:r>
      <w:r>
        <w:rPr>
          <w:rFonts w:ascii="Times New Roman" w:hAnsi="Times New Roman" w:eastAsia="仿宋_GB2312"/>
          <w:color w:val="000000"/>
          <w:sz w:val="32"/>
          <w:szCs w:val="32"/>
        </w:rPr>
        <w:t>市位于安徽省北部，与江苏、河南、山东为邻，在地理上承东启西，连南接北，深化中原经济区、淮海经济区、淮河生态经济带建设等区域发展战略叠加的</w:t>
      </w:r>
      <w:r>
        <w:rPr>
          <w:rFonts w:ascii="Times New Roman" w:hAnsi="Times New Roman" w:eastAsia="仿宋_GB2312"/>
          <w:bCs/>
          <w:color w:val="000000"/>
          <w:sz w:val="32"/>
          <w:szCs w:val="32"/>
        </w:rPr>
        <w:t>区位优势</w:t>
      </w:r>
      <w:r>
        <w:rPr>
          <w:rFonts w:ascii="Times New Roman" w:hAnsi="Times New Roman" w:eastAsia="仿宋_GB2312"/>
          <w:color w:val="000000"/>
          <w:sz w:val="32"/>
          <w:szCs w:val="32"/>
        </w:rPr>
        <w:t>；其次，淮—宿—蚌、淮阜城际铁路等一批重大工程的推进，打通了人流、物流、资金流、信息流循环“大通道”，为</w:t>
      </w:r>
      <w:r>
        <w:rPr>
          <w:rFonts w:hint="eastAsia" w:ascii="Times New Roman" w:hAnsi="Times New Roman" w:eastAsia="仿宋_GB2312"/>
          <w:color w:val="000000"/>
          <w:sz w:val="32"/>
          <w:szCs w:val="32"/>
        </w:rPr>
        <w:t>淮北</w:t>
      </w:r>
      <w:r>
        <w:rPr>
          <w:rFonts w:ascii="Times New Roman" w:hAnsi="Times New Roman" w:eastAsia="仿宋_GB2312"/>
          <w:color w:val="000000"/>
          <w:sz w:val="32"/>
          <w:szCs w:val="32"/>
        </w:rPr>
        <w:t>市融入承接产业转移和“淮优”农产品融入长三角提供了</w:t>
      </w:r>
      <w:r>
        <w:rPr>
          <w:rFonts w:ascii="Times New Roman" w:hAnsi="Times New Roman" w:eastAsia="仿宋_GB2312"/>
          <w:bCs/>
          <w:color w:val="000000"/>
          <w:sz w:val="32"/>
          <w:szCs w:val="32"/>
        </w:rPr>
        <w:t>交通优势</w:t>
      </w:r>
      <w:r>
        <w:rPr>
          <w:rFonts w:ascii="Times New Roman" w:hAnsi="Times New Roman" w:eastAsia="仿宋_GB2312"/>
          <w:color w:val="000000"/>
          <w:sz w:val="32"/>
          <w:szCs w:val="32"/>
        </w:rPr>
        <w:t>；第三，</w:t>
      </w:r>
      <w:r>
        <w:rPr>
          <w:rFonts w:hint="eastAsia" w:ascii="Times New Roman" w:hAnsi="Times New Roman" w:eastAsia="仿宋_GB2312"/>
          <w:color w:val="000000"/>
          <w:sz w:val="32"/>
          <w:szCs w:val="32"/>
        </w:rPr>
        <w:t>淮北</w:t>
      </w:r>
      <w:r>
        <w:rPr>
          <w:rFonts w:ascii="Times New Roman" w:hAnsi="Times New Roman" w:eastAsia="仿宋_GB2312"/>
          <w:color w:val="000000"/>
          <w:sz w:val="32"/>
          <w:szCs w:val="32"/>
        </w:rPr>
        <w:t>市一贯推进的生态文明建设、持续的环境质量改善，由“煤城”到“美城”的完美转身为发展优质农产品提供了</w:t>
      </w:r>
      <w:r>
        <w:rPr>
          <w:rFonts w:ascii="Times New Roman" w:hAnsi="Times New Roman" w:eastAsia="仿宋_GB2312"/>
          <w:bCs/>
          <w:color w:val="000000"/>
          <w:sz w:val="32"/>
          <w:szCs w:val="32"/>
        </w:rPr>
        <w:t>生态环境优势</w:t>
      </w:r>
      <w:r>
        <w:rPr>
          <w:rFonts w:ascii="Times New Roman" w:hAnsi="Times New Roman" w:eastAsia="仿宋_GB2312"/>
          <w:color w:val="000000"/>
          <w:sz w:val="32"/>
          <w:szCs w:val="32"/>
        </w:rPr>
        <w:t>。</w:t>
      </w:r>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从机遇而言</w:t>
      </w:r>
      <w:r>
        <w:rPr>
          <w:rFonts w:ascii="Times New Roman" w:hAnsi="Times New Roman" w:eastAsia="仿宋_GB2312"/>
          <w:color w:val="000000"/>
          <w:sz w:val="32"/>
          <w:szCs w:val="32"/>
        </w:rPr>
        <w:t>，首先，农业农村工作已摆在党和国家工作全局的优先位置，乡村振兴战略的全面推进，资金投入、基础设施配置、公共服务、干部配备等方面的有力措施，为</w:t>
      </w:r>
      <w:r>
        <w:rPr>
          <w:rFonts w:hint="eastAsia" w:ascii="Times New Roman" w:hAnsi="Times New Roman" w:eastAsia="仿宋_GB2312"/>
          <w:color w:val="000000"/>
          <w:sz w:val="32"/>
          <w:szCs w:val="32"/>
        </w:rPr>
        <w:t>淮北</w:t>
      </w:r>
      <w:r>
        <w:rPr>
          <w:rFonts w:ascii="Times New Roman" w:hAnsi="Times New Roman" w:eastAsia="仿宋_GB2312"/>
          <w:color w:val="000000"/>
          <w:sz w:val="32"/>
          <w:szCs w:val="32"/>
        </w:rPr>
        <w:t>市农业农村经济发展提供了</w:t>
      </w:r>
      <w:r>
        <w:rPr>
          <w:rFonts w:ascii="Times New Roman" w:hAnsi="Times New Roman" w:eastAsia="仿宋_GB2312"/>
          <w:bCs/>
          <w:color w:val="000000"/>
          <w:sz w:val="32"/>
          <w:szCs w:val="32"/>
        </w:rPr>
        <w:t>政策优先机遇</w:t>
      </w:r>
      <w:r>
        <w:rPr>
          <w:rFonts w:ascii="Times New Roman" w:hAnsi="Times New Roman" w:eastAsia="仿宋_GB2312"/>
          <w:color w:val="000000"/>
          <w:sz w:val="32"/>
          <w:szCs w:val="32"/>
        </w:rPr>
        <w:t>；其次，建立健全城乡融合发展机制和政策体系，是党的十九大做出的重大决策部署，工农互促、城乡互补、协调发展、共同繁荣的新型工农城乡关系的形成和建立，为</w:t>
      </w:r>
      <w:r>
        <w:rPr>
          <w:rFonts w:hint="eastAsia" w:ascii="Times New Roman" w:hAnsi="Times New Roman" w:eastAsia="仿宋_GB2312"/>
          <w:color w:val="000000"/>
          <w:sz w:val="32"/>
          <w:szCs w:val="32"/>
        </w:rPr>
        <w:t>淮北市</w:t>
      </w:r>
      <w:r>
        <w:rPr>
          <w:rFonts w:ascii="Times New Roman" w:hAnsi="Times New Roman" w:eastAsia="仿宋_GB2312"/>
          <w:color w:val="000000"/>
          <w:sz w:val="32"/>
          <w:szCs w:val="32"/>
        </w:rPr>
        <w:t>农业农村经济发展提供了</w:t>
      </w:r>
      <w:r>
        <w:rPr>
          <w:rFonts w:ascii="Times New Roman" w:hAnsi="Times New Roman" w:eastAsia="仿宋_GB2312"/>
          <w:bCs/>
          <w:color w:val="000000"/>
          <w:sz w:val="32"/>
          <w:szCs w:val="32"/>
        </w:rPr>
        <w:t>协调发展机遇</w:t>
      </w:r>
      <w:r>
        <w:rPr>
          <w:rFonts w:ascii="Times New Roman" w:hAnsi="Times New Roman" w:eastAsia="仿宋_GB2312"/>
          <w:color w:val="000000"/>
          <w:sz w:val="32"/>
          <w:szCs w:val="32"/>
        </w:rPr>
        <w:t>；第三，人民群众消费需求层次显著提升，对高品质农产品需求快速增长，农产品需求多样性也明显增加，为</w:t>
      </w:r>
      <w:r>
        <w:rPr>
          <w:rFonts w:hint="eastAsia" w:ascii="Times New Roman" w:hAnsi="Times New Roman" w:eastAsia="仿宋_GB2312"/>
          <w:color w:val="000000"/>
          <w:sz w:val="32"/>
          <w:szCs w:val="32"/>
        </w:rPr>
        <w:t>淮北市</w:t>
      </w:r>
      <w:r>
        <w:rPr>
          <w:rFonts w:ascii="Times New Roman" w:hAnsi="Times New Roman" w:eastAsia="仿宋_GB2312"/>
          <w:color w:val="000000"/>
          <w:sz w:val="32"/>
          <w:szCs w:val="32"/>
        </w:rPr>
        <w:t>农业农村经济转型升级和高质量发展提供了</w:t>
      </w:r>
      <w:r>
        <w:rPr>
          <w:rFonts w:ascii="Times New Roman" w:hAnsi="Times New Roman" w:eastAsia="仿宋_GB2312"/>
          <w:bCs/>
          <w:color w:val="000000"/>
          <w:sz w:val="32"/>
          <w:szCs w:val="32"/>
        </w:rPr>
        <w:t>消费升级机遇</w:t>
      </w:r>
      <w:r>
        <w:rPr>
          <w:rFonts w:ascii="Times New Roman" w:hAnsi="Times New Roman" w:eastAsia="仿宋_GB2312"/>
          <w:color w:val="000000"/>
          <w:sz w:val="32"/>
          <w:szCs w:val="32"/>
        </w:rPr>
        <w:t>；第四，安徽省与沪苏浙一同站上了长三角更高质量一体化发展的新舞台，长三角地区是中国经济最发达的地区之一，居民消费能力强，融入长三角为</w:t>
      </w:r>
      <w:r>
        <w:rPr>
          <w:rFonts w:hint="eastAsia" w:ascii="Times New Roman" w:hAnsi="Times New Roman" w:eastAsia="仿宋_GB2312"/>
          <w:color w:val="000000"/>
          <w:sz w:val="32"/>
          <w:szCs w:val="32"/>
        </w:rPr>
        <w:t>淮北市</w:t>
      </w:r>
      <w:r>
        <w:rPr>
          <w:rFonts w:ascii="Times New Roman" w:hAnsi="Times New Roman" w:eastAsia="仿宋_GB2312"/>
          <w:color w:val="000000"/>
          <w:sz w:val="32"/>
          <w:szCs w:val="32"/>
        </w:rPr>
        <w:t>农业农村经济发展提供了</w:t>
      </w:r>
      <w:r>
        <w:rPr>
          <w:rFonts w:ascii="Times New Roman" w:hAnsi="Times New Roman" w:eastAsia="仿宋_GB2312"/>
          <w:bCs/>
          <w:color w:val="000000"/>
          <w:sz w:val="32"/>
          <w:szCs w:val="32"/>
        </w:rPr>
        <w:t>市场扩大机遇</w:t>
      </w:r>
      <w:r>
        <w:rPr>
          <w:rFonts w:ascii="Times New Roman" w:hAnsi="Times New Roman" w:eastAsia="仿宋_GB2312"/>
          <w:color w:val="000000"/>
          <w:sz w:val="32"/>
          <w:szCs w:val="32"/>
        </w:rPr>
        <w:t>。</w:t>
      </w:r>
    </w:p>
    <w:p>
      <w:pPr>
        <w:pStyle w:val="5"/>
        <w:keepNext w:val="0"/>
        <w:keepLines w:val="0"/>
        <w:spacing w:before="0" w:after="0"/>
        <w:ind w:firstLine="642" w:firstLineChars="200"/>
        <w:rPr>
          <w:rFonts w:eastAsia="楷体_GB2312"/>
          <w:color w:val="000000"/>
          <w:sz w:val="32"/>
          <w:szCs w:val="32"/>
        </w:rPr>
      </w:pPr>
      <w:bookmarkStart w:id="46" w:name="_Toc11329"/>
      <w:bookmarkStart w:id="47" w:name="_Toc24305"/>
      <w:bookmarkStart w:id="48" w:name="_Toc4271"/>
      <w:r>
        <w:rPr>
          <w:rFonts w:eastAsia="楷体_GB2312"/>
          <w:color w:val="000000"/>
          <w:sz w:val="32"/>
          <w:szCs w:val="32"/>
        </w:rPr>
        <w:t>（二）困难与挑战</w:t>
      </w:r>
      <w:bookmarkEnd w:id="46"/>
      <w:bookmarkEnd w:id="47"/>
      <w:bookmarkEnd w:id="48"/>
    </w:p>
    <w:p>
      <w:pPr>
        <w:spacing w:before="0" w:after="0"/>
        <w:ind w:firstLine="643"/>
        <w:rPr>
          <w:rFonts w:ascii="Times New Roman" w:hAnsi="Times New Roman" w:eastAsia="仿宋_GB2312"/>
          <w:bCs/>
          <w:color w:val="000000"/>
          <w:sz w:val="32"/>
          <w:szCs w:val="32"/>
        </w:rPr>
      </w:pPr>
      <w:r>
        <w:rPr>
          <w:rFonts w:ascii="Times New Roman" w:hAnsi="Times New Roman" w:eastAsia="仿宋_GB2312"/>
          <w:b/>
          <w:bCs/>
          <w:color w:val="000000"/>
          <w:sz w:val="32"/>
          <w:szCs w:val="32"/>
        </w:rPr>
        <w:t>从困难来看</w:t>
      </w:r>
      <w:r>
        <w:rPr>
          <w:rFonts w:ascii="Times New Roman" w:hAnsi="Times New Roman" w:eastAsia="仿宋_GB2312"/>
          <w:color w:val="000000"/>
          <w:sz w:val="32"/>
          <w:szCs w:val="32"/>
        </w:rPr>
        <w:t>，首先，</w:t>
      </w:r>
      <w:r>
        <w:rPr>
          <w:rFonts w:hint="eastAsia" w:ascii="Times New Roman" w:hAnsi="Times New Roman" w:eastAsia="仿宋_GB2312"/>
          <w:color w:val="000000"/>
          <w:sz w:val="32"/>
          <w:szCs w:val="32"/>
        </w:rPr>
        <w:t>淮北市</w:t>
      </w:r>
      <w:r>
        <w:rPr>
          <w:rFonts w:ascii="Times New Roman" w:hAnsi="Times New Roman" w:eastAsia="仿宋_GB2312"/>
          <w:color w:val="000000"/>
          <w:sz w:val="32"/>
          <w:szCs w:val="32"/>
        </w:rPr>
        <w:t>农业发展的基础条件虽有了较大改观，但农产品冷链物流果蔬贮运等现代化基础设施方面配套不足，农业抗自然灾害能力依然不强，生产标准化、绿色高效技术应用也存在欠缺，农业农村发展面临</w:t>
      </w:r>
      <w:r>
        <w:rPr>
          <w:rFonts w:ascii="Times New Roman" w:hAnsi="Times New Roman" w:eastAsia="仿宋_GB2312"/>
          <w:bCs/>
          <w:color w:val="000000"/>
          <w:sz w:val="32"/>
          <w:szCs w:val="32"/>
        </w:rPr>
        <w:t>补齐基础设施短板和提档升级的困难</w:t>
      </w:r>
      <w:r>
        <w:rPr>
          <w:rFonts w:ascii="Times New Roman" w:hAnsi="Times New Roman" w:eastAsia="仿宋_GB2312"/>
          <w:color w:val="000000"/>
          <w:sz w:val="32"/>
          <w:szCs w:val="32"/>
        </w:rPr>
        <w:t>；其次，虽然</w:t>
      </w:r>
      <w:r>
        <w:rPr>
          <w:rFonts w:hint="eastAsia" w:ascii="Times New Roman" w:hAnsi="Times New Roman" w:eastAsia="仿宋_GB2312"/>
          <w:color w:val="000000"/>
          <w:sz w:val="32"/>
          <w:szCs w:val="32"/>
        </w:rPr>
        <w:t>淮北市</w:t>
      </w:r>
      <w:r>
        <w:rPr>
          <w:rFonts w:ascii="Times New Roman" w:hAnsi="Times New Roman" w:eastAsia="仿宋_GB2312"/>
          <w:color w:val="000000"/>
          <w:sz w:val="32"/>
          <w:szCs w:val="32"/>
        </w:rPr>
        <w:t>农产品加工业和农业产业化经营已经取得了长足发展，但农产品生产制度体系不健全，产业融合度不深，新产业新业态发展不足等问题尚未显著改观，</w:t>
      </w:r>
      <w:r>
        <w:rPr>
          <w:rFonts w:ascii="Times New Roman" w:hAnsi="Times New Roman" w:eastAsia="仿宋_GB2312"/>
          <w:bCs/>
          <w:color w:val="000000"/>
          <w:sz w:val="32"/>
          <w:szCs w:val="32"/>
        </w:rPr>
        <w:t>农业农村发展面临提质增效的困难</w:t>
      </w:r>
      <w:r>
        <w:rPr>
          <w:rFonts w:ascii="Times New Roman" w:hAnsi="Times New Roman" w:eastAsia="仿宋_GB2312"/>
          <w:color w:val="000000"/>
          <w:sz w:val="32"/>
          <w:szCs w:val="32"/>
        </w:rPr>
        <w:t>；第三，</w:t>
      </w:r>
      <w:r>
        <w:rPr>
          <w:rFonts w:hint="eastAsia" w:ascii="Times New Roman" w:hAnsi="Times New Roman" w:eastAsia="仿宋_GB2312"/>
          <w:color w:val="000000"/>
          <w:sz w:val="32"/>
          <w:szCs w:val="32"/>
        </w:rPr>
        <w:t>淮北市</w:t>
      </w:r>
      <w:r>
        <w:rPr>
          <w:rFonts w:ascii="Times New Roman" w:hAnsi="Times New Roman" w:eastAsia="仿宋_GB2312"/>
          <w:color w:val="000000"/>
          <w:sz w:val="32"/>
          <w:szCs w:val="32"/>
        </w:rPr>
        <w:t>新型农业经营主体虽迅速发展，但经营主体的市场意识不强，对现代化科技和新业态的掌握能力有限，经营主体融资成本较高，农忙季节雇工困难，生产资料投入成本加大，粪污处理、农用地膜回收等资源环境压力不断增加，土地流转费用居高不下，</w:t>
      </w:r>
      <w:r>
        <w:rPr>
          <w:rFonts w:ascii="Times New Roman" w:hAnsi="Times New Roman" w:eastAsia="仿宋_GB2312"/>
          <w:bCs/>
          <w:color w:val="000000"/>
          <w:sz w:val="32"/>
          <w:szCs w:val="32"/>
        </w:rPr>
        <w:t>农业农村后续发展面临生产要素制约的困难；</w:t>
      </w:r>
      <w:r>
        <w:rPr>
          <w:rFonts w:ascii="Times New Roman" w:hAnsi="Times New Roman" w:eastAsia="仿宋_GB2312"/>
          <w:color w:val="000000"/>
          <w:sz w:val="32"/>
          <w:szCs w:val="32"/>
        </w:rPr>
        <w:t>第四，受新冠疫情、市场不确定等因素的影响，市财政承受能力和投资能力有限，强农惠农政策时效性不强，</w:t>
      </w:r>
      <w:r>
        <w:rPr>
          <w:rFonts w:ascii="Times New Roman" w:hAnsi="Times New Roman" w:eastAsia="仿宋_GB2312"/>
          <w:bCs/>
          <w:color w:val="000000"/>
          <w:sz w:val="32"/>
          <w:szCs w:val="32"/>
        </w:rPr>
        <w:t>农业农村发展面临财政保障的困难。</w:t>
      </w:r>
    </w:p>
    <w:p>
      <w:pPr>
        <w:spacing w:before="0" w:after="0"/>
        <w:ind w:firstLine="643"/>
        <w:rPr>
          <w:rFonts w:ascii="Times New Roman" w:hAnsi="Times New Roman" w:eastAsia="仿宋_GB2312"/>
          <w:color w:val="000000"/>
          <w:sz w:val="32"/>
          <w:szCs w:val="32"/>
        </w:rPr>
      </w:pPr>
      <w:r>
        <w:rPr>
          <w:rFonts w:ascii="Times New Roman" w:hAnsi="Times New Roman" w:eastAsia="仿宋_GB2312"/>
          <w:b/>
          <w:color w:val="000000"/>
          <w:sz w:val="32"/>
          <w:szCs w:val="32"/>
        </w:rPr>
        <w:t>从挑战上看</w:t>
      </w:r>
      <w:r>
        <w:rPr>
          <w:rFonts w:ascii="Times New Roman" w:hAnsi="Times New Roman" w:eastAsia="仿宋_GB2312"/>
          <w:color w:val="000000"/>
          <w:sz w:val="32"/>
          <w:szCs w:val="32"/>
        </w:rPr>
        <w:t>，首先，当前新冠疫情余波未消、国际贸易环境不断变化、极端天气频繁爆发，再叠加全球粮荒、市场波动等问题，农业农村面临</w:t>
      </w:r>
      <w:r>
        <w:rPr>
          <w:rFonts w:ascii="Times New Roman" w:hAnsi="Times New Roman" w:eastAsia="仿宋_GB2312"/>
          <w:bCs/>
          <w:color w:val="000000"/>
          <w:sz w:val="32"/>
          <w:szCs w:val="32"/>
        </w:rPr>
        <w:t>发展多重不确定性的挑战</w:t>
      </w:r>
      <w:r>
        <w:rPr>
          <w:rFonts w:ascii="Times New Roman" w:hAnsi="Times New Roman" w:eastAsia="仿宋_GB2312"/>
          <w:color w:val="000000"/>
          <w:sz w:val="32"/>
          <w:szCs w:val="32"/>
        </w:rPr>
        <w:t>；第二，农业农村发展虽形势良好，但城乡收入仍然存在着较大的差距，农业兼业化、农村空心化、农民老龄化问题突出，农业农村发展</w:t>
      </w:r>
      <w:r>
        <w:rPr>
          <w:rFonts w:ascii="Times New Roman" w:hAnsi="Times New Roman" w:eastAsia="仿宋_GB2312"/>
          <w:bCs/>
          <w:color w:val="000000"/>
          <w:sz w:val="32"/>
          <w:szCs w:val="32"/>
        </w:rPr>
        <w:t>面临人才不足和劳动力短缺的挑战</w:t>
      </w:r>
      <w:r>
        <w:rPr>
          <w:rFonts w:ascii="Times New Roman" w:hAnsi="Times New Roman" w:eastAsia="仿宋_GB2312"/>
          <w:color w:val="000000"/>
          <w:sz w:val="32"/>
          <w:szCs w:val="32"/>
        </w:rPr>
        <w:t>；第三，生态环境治理虽已取得明显成效，但统筹山水田林湖草系统保护和治理压力较大，农业绿色发展长效机制尚未健全，农业高质量发展面临着</w:t>
      </w:r>
      <w:r>
        <w:rPr>
          <w:rFonts w:ascii="Times New Roman" w:hAnsi="Times New Roman" w:eastAsia="仿宋_GB2312"/>
          <w:bCs/>
          <w:color w:val="000000"/>
          <w:sz w:val="32"/>
          <w:szCs w:val="32"/>
        </w:rPr>
        <w:t>资源环境的挑战</w:t>
      </w:r>
      <w:r>
        <w:rPr>
          <w:rFonts w:ascii="Times New Roman" w:hAnsi="Times New Roman" w:eastAsia="仿宋_GB2312"/>
          <w:color w:val="000000"/>
          <w:sz w:val="32"/>
          <w:szCs w:val="32"/>
        </w:rPr>
        <w:t>。</w:t>
      </w:r>
      <w:bookmarkStart w:id="49" w:name="_Toc5249"/>
      <w:bookmarkStart w:id="50" w:name="_Toc7318"/>
      <w:bookmarkStart w:id="51" w:name="_Toc4923"/>
      <w:bookmarkStart w:id="52" w:name="_Toc4823"/>
      <w:bookmarkStart w:id="53" w:name="_Toc30671"/>
    </w:p>
    <w:p>
      <w:pPr>
        <w:pStyle w:val="4"/>
        <w:keepNext w:val="0"/>
        <w:keepLines w:val="0"/>
        <w:spacing w:before="0" w:after="0"/>
        <w:jc w:val="center"/>
        <w:rPr>
          <w:rFonts w:ascii="Times New Roman" w:hAnsi="Times New Roman" w:eastAsia="黑体"/>
          <w:b w:val="0"/>
          <w:color w:val="000000"/>
          <w:szCs w:val="32"/>
        </w:rPr>
      </w:pPr>
    </w:p>
    <w:p>
      <w:pPr>
        <w:pStyle w:val="4"/>
        <w:keepNext w:val="0"/>
        <w:keepLines w:val="0"/>
        <w:spacing w:before="0" w:after="0"/>
        <w:jc w:val="center"/>
        <w:rPr>
          <w:rFonts w:ascii="Times New Roman" w:hAnsi="Times New Roman" w:eastAsia="黑体"/>
          <w:b w:val="0"/>
          <w:color w:val="000000"/>
          <w:szCs w:val="32"/>
        </w:rPr>
      </w:pPr>
      <w:r>
        <w:rPr>
          <w:rFonts w:ascii="Times New Roman" w:hAnsi="Times New Roman" w:eastAsia="黑体"/>
          <w:b w:val="0"/>
          <w:color w:val="000000"/>
          <w:szCs w:val="32"/>
        </w:rPr>
        <w:t>第二章  规划总论</w:t>
      </w:r>
      <w:bookmarkEnd w:id="49"/>
      <w:bookmarkEnd w:id="50"/>
      <w:bookmarkEnd w:id="51"/>
      <w:bookmarkEnd w:id="52"/>
      <w:bookmarkEnd w:id="53"/>
      <w:bookmarkStart w:id="54" w:name="_Toc12470"/>
      <w:bookmarkStart w:id="55" w:name="_Toc31970"/>
      <w:bookmarkStart w:id="56" w:name="_Toc15045"/>
      <w:bookmarkStart w:id="57" w:name="_Toc17098"/>
    </w:p>
    <w:p>
      <w:pPr>
        <w:pStyle w:val="4"/>
        <w:keepNext w:val="0"/>
        <w:keepLines w:val="0"/>
        <w:spacing w:before="0" w:after="0"/>
        <w:ind w:firstLine="640" w:firstLineChars="200"/>
        <w:rPr>
          <w:rFonts w:ascii="Times New Roman" w:hAnsi="Times New Roman" w:eastAsia="黑体"/>
          <w:b w:val="0"/>
          <w:color w:val="000000"/>
          <w:szCs w:val="32"/>
        </w:rPr>
      </w:pPr>
      <w:r>
        <w:rPr>
          <w:rFonts w:ascii="Times New Roman" w:hAnsi="Times New Roman" w:eastAsia="黑体"/>
          <w:b w:val="0"/>
          <w:color w:val="000000"/>
          <w:szCs w:val="32"/>
        </w:rPr>
        <w:t>一、指导思想</w:t>
      </w:r>
      <w:bookmarkEnd w:id="54"/>
      <w:bookmarkEnd w:id="55"/>
      <w:bookmarkEnd w:id="56"/>
      <w:bookmarkEnd w:id="57"/>
    </w:p>
    <w:p>
      <w:pPr>
        <w:pStyle w:val="4"/>
        <w:keepNext w:val="0"/>
        <w:keepLines w:val="0"/>
        <w:spacing w:before="0" w:after="0"/>
        <w:ind w:firstLine="640" w:firstLineChars="200"/>
        <w:rPr>
          <w:rFonts w:ascii="Times New Roman" w:hAnsi="Times New Roman" w:eastAsia="仿宋_GB2312"/>
          <w:b w:val="0"/>
          <w:color w:val="000000"/>
          <w:kern w:val="2"/>
          <w:szCs w:val="32"/>
        </w:rPr>
      </w:pPr>
      <w:bookmarkStart w:id="58" w:name="_Toc6854"/>
      <w:bookmarkStart w:id="59" w:name="_Toc10794"/>
      <w:bookmarkStart w:id="60" w:name="_Toc31504"/>
      <w:bookmarkStart w:id="61" w:name="_Toc28449"/>
      <w:r>
        <w:rPr>
          <w:rFonts w:ascii="Times New Roman" w:hAnsi="Times New Roman" w:eastAsia="仿宋_GB2312"/>
          <w:b w:val="0"/>
          <w:color w:val="000000"/>
          <w:kern w:val="2"/>
          <w:szCs w:val="32"/>
        </w:rPr>
        <w:t>坚持以习近平新时代中国特色社会主义思想为指导，全面</w:t>
      </w:r>
      <w:r>
        <w:rPr>
          <w:rFonts w:hint="eastAsia" w:ascii="Times New Roman" w:hAnsi="Times New Roman" w:eastAsia="仿宋_GB2312"/>
          <w:b w:val="0"/>
          <w:color w:val="000000"/>
          <w:kern w:val="2"/>
          <w:szCs w:val="32"/>
        </w:rPr>
        <w:t>贯彻</w:t>
      </w:r>
      <w:r>
        <w:rPr>
          <w:rFonts w:ascii="Times New Roman" w:hAnsi="Times New Roman" w:eastAsia="仿宋_GB2312"/>
          <w:b w:val="0"/>
          <w:color w:val="000000"/>
          <w:kern w:val="2"/>
          <w:szCs w:val="32"/>
        </w:rPr>
        <w:t xml:space="preserve">落实党的十九大、十九届历次全会和中央农村工作会议精神，深入贯彻习近平总书记关于“三农”工作的重要论述和视察安徽重要讲话精神，以推动高质量发展为主题，落实加快构建新发展格局要求，巩固和完善农村基本经营制度，深入推进农业供给侧结构性改革，实施农业生产“三品一标”（品种培优、品质提升、品牌打造和标准化生产）提升行动，全面提升农业综合实力、农村生态环境、人民生活水平和乡村治理能力，走出“产业兴、乡村美、农民富”的淮北乡村振兴之路。 </w:t>
      </w:r>
    </w:p>
    <w:p>
      <w:pPr>
        <w:pStyle w:val="4"/>
        <w:keepNext w:val="0"/>
        <w:keepLines w:val="0"/>
        <w:spacing w:before="0" w:after="0"/>
        <w:ind w:firstLine="640" w:firstLineChars="200"/>
        <w:rPr>
          <w:rFonts w:ascii="Times New Roman" w:hAnsi="Times New Roman" w:eastAsia="黑体"/>
          <w:b w:val="0"/>
          <w:color w:val="000000"/>
          <w:szCs w:val="32"/>
        </w:rPr>
      </w:pPr>
      <w:r>
        <w:rPr>
          <w:rFonts w:ascii="Times New Roman" w:hAnsi="Times New Roman" w:eastAsia="黑体"/>
          <w:b w:val="0"/>
          <w:color w:val="000000"/>
          <w:szCs w:val="32"/>
        </w:rPr>
        <w:t>二、基本原则</w:t>
      </w:r>
      <w:bookmarkEnd w:id="58"/>
      <w:bookmarkEnd w:id="59"/>
      <w:bookmarkEnd w:id="60"/>
      <w:bookmarkEnd w:id="61"/>
    </w:p>
    <w:p>
      <w:pPr>
        <w:spacing w:before="0" w:after="0"/>
        <w:ind w:firstLine="643"/>
        <w:rPr>
          <w:rFonts w:ascii="Times New Roman" w:hAnsi="Times New Roman" w:eastAsia="仿宋_GB2312"/>
          <w:color w:val="000000"/>
          <w:sz w:val="32"/>
          <w:szCs w:val="32"/>
        </w:rPr>
      </w:pPr>
      <w:r>
        <w:rPr>
          <w:rFonts w:ascii="Times New Roman" w:hAnsi="Times New Roman" w:eastAsia="楷体_GB2312"/>
          <w:b/>
          <w:bCs/>
          <w:color w:val="000000"/>
          <w:sz w:val="32"/>
          <w:szCs w:val="32"/>
        </w:rPr>
        <w:t>——坚持党管农村工作。</w:t>
      </w:r>
      <w:r>
        <w:rPr>
          <w:rFonts w:ascii="Times New Roman" w:hAnsi="Times New Roman" w:eastAsia="仿宋_GB2312"/>
          <w:color w:val="000000"/>
          <w:sz w:val="32"/>
          <w:szCs w:val="32"/>
        </w:rPr>
        <w:t>坚持和加强党对农村工作的全面领导，健全党管农村工作领导体制，确保党在农村工作中始终总揽全局、协调各方，为农业农村现代化发展提供坚强有力的政治保障。</w:t>
      </w:r>
    </w:p>
    <w:p>
      <w:pPr>
        <w:spacing w:before="0" w:after="0"/>
        <w:ind w:firstLine="643"/>
        <w:rPr>
          <w:rFonts w:ascii="Times New Roman" w:hAnsi="Times New Roman" w:eastAsia="仿宋_GB2312"/>
          <w:color w:val="000000"/>
          <w:sz w:val="32"/>
          <w:szCs w:val="32"/>
        </w:rPr>
      </w:pPr>
      <w:r>
        <w:rPr>
          <w:rFonts w:ascii="Times New Roman" w:hAnsi="Times New Roman" w:eastAsia="楷体_GB2312"/>
          <w:b/>
          <w:bCs/>
          <w:color w:val="000000"/>
          <w:sz w:val="32"/>
          <w:szCs w:val="32"/>
        </w:rPr>
        <w:t>——坚持农民主体地位。</w:t>
      </w:r>
      <w:r>
        <w:rPr>
          <w:rFonts w:ascii="Times New Roman" w:hAnsi="Times New Roman" w:eastAsia="仿宋_GB2312"/>
          <w:color w:val="000000"/>
          <w:sz w:val="32"/>
          <w:szCs w:val="32"/>
        </w:rPr>
        <w:t>尊重农民的意愿，切实发挥农民在农业农村发展中的主体作用，积极调动广大农民的积极性、主动性、创造性，自觉维护农民群众的根本利益，促进农民持续增收和共同富裕，不断提升农民群众的获得感、幸福感和安全感。</w:t>
      </w:r>
    </w:p>
    <w:p>
      <w:pPr>
        <w:spacing w:before="0" w:after="0"/>
        <w:ind w:firstLine="643"/>
        <w:rPr>
          <w:rFonts w:ascii="Times New Roman" w:hAnsi="Times New Roman" w:eastAsia="仿宋_GB2312"/>
          <w:color w:val="000000"/>
          <w:sz w:val="32"/>
          <w:szCs w:val="32"/>
        </w:rPr>
      </w:pPr>
      <w:r>
        <w:rPr>
          <w:rFonts w:ascii="Times New Roman" w:hAnsi="Times New Roman" w:eastAsia="楷体_GB2312"/>
          <w:b/>
          <w:bCs/>
          <w:color w:val="000000"/>
          <w:sz w:val="32"/>
          <w:szCs w:val="32"/>
        </w:rPr>
        <w:t>——坚持城乡融合发展。</w:t>
      </w:r>
      <w:r>
        <w:rPr>
          <w:rFonts w:ascii="Times New Roman" w:hAnsi="Times New Roman" w:eastAsia="仿宋_GB2312"/>
          <w:color w:val="000000"/>
          <w:sz w:val="32"/>
          <w:szCs w:val="32"/>
        </w:rPr>
        <w:t>推动新型工业化、城镇化、信息化和农业农村现代化同步发展，坚持农业农村优先发展，加快形成工农互促、城乡互补、全面融合、共同繁荣的新型工农城乡关系。</w:t>
      </w:r>
    </w:p>
    <w:p>
      <w:pPr>
        <w:spacing w:before="0" w:after="0"/>
        <w:ind w:firstLine="643"/>
        <w:rPr>
          <w:rFonts w:ascii="Times New Roman" w:hAnsi="Times New Roman" w:eastAsia="仿宋_GB2312"/>
          <w:color w:val="000000"/>
          <w:sz w:val="32"/>
          <w:szCs w:val="32"/>
        </w:rPr>
      </w:pPr>
      <w:r>
        <w:rPr>
          <w:rFonts w:ascii="Times New Roman" w:hAnsi="Times New Roman" w:eastAsia="楷体_GB2312"/>
          <w:b/>
          <w:bCs/>
          <w:color w:val="000000"/>
          <w:sz w:val="32"/>
          <w:szCs w:val="32"/>
        </w:rPr>
        <w:t>——坚持绿色稳步发展。</w:t>
      </w:r>
      <w:r>
        <w:rPr>
          <w:rFonts w:ascii="Times New Roman" w:hAnsi="Times New Roman" w:eastAsia="仿宋_GB2312"/>
          <w:color w:val="000000"/>
          <w:sz w:val="32"/>
          <w:szCs w:val="32"/>
        </w:rPr>
        <w:t>正确处理好当前和长远的关系，坚持农业产业由数量发展向质量发展转型，有效利用、配置、保护农业资源，实现农业发展与资源开发、环境保护相统一，循序梯次推进，持续稳步发展。</w:t>
      </w:r>
    </w:p>
    <w:p>
      <w:pPr>
        <w:spacing w:before="0" w:after="0"/>
        <w:ind w:firstLine="643"/>
        <w:rPr>
          <w:rFonts w:ascii="Times New Roman" w:hAnsi="Times New Roman" w:eastAsia="仿宋_GB2312"/>
          <w:color w:val="000000"/>
          <w:sz w:val="32"/>
          <w:szCs w:val="32"/>
        </w:rPr>
      </w:pPr>
      <w:r>
        <w:rPr>
          <w:rFonts w:ascii="Times New Roman" w:hAnsi="Times New Roman" w:eastAsia="楷体_GB2312"/>
          <w:b/>
          <w:bCs/>
          <w:color w:val="000000"/>
          <w:sz w:val="32"/>
          <w:szCs w:val="32"/>
        </w:rPr>
        <w:t>——坚持改革创新发展。</w:t>
      </w:r>
      <w:r>
        <w:rPr>
          <w:rFonts w:ascii="Times New Roman" w:hAnsi="Times New Roman" w:eastAsia="仿宋_GB2312"/>
          <w:color w:val="000000"/>
          <w:sz w:val="32"/>
          <w:szCs w:val="32"/>
        </w:rPr>
        <w:t>坚持以深化改革和科技创新引领支撑农业农村现代化发展全过程、全环节，推动技术转移和成果转化，加速高新技术推广应用，为全面实施乡村振兴战略提供体制机制保障和强大动能。</w:t>
      </w:r>
    </w:p>
    <w:p>
      <w:pPr>
        <w:pStyle w:val="4"/>
        <w:keepNext w:val="0"/>
        <w:keepLines w:val="0"/>
        <w:spacing w:before="0" w:after="0"/>
        <w:ind w:firstLine="640" w:firstLineChars="200"/>
        <w:rPr>
          <w:rFonts w:ascii="Times New Roman" w:hAnsi="Times New Roman" w:eastAsia="黑体"/>
          <w:b w:val="0"/>
          <w:color w:val="000000"/>
          <w:szCs w:val="32"/>
        </w:rPr>
      </w:pPr>
      <w:bookmarkStart w:id="62" w:name="_Toc19647"/>
      <w:bookmarkStart w:id="63" w:name="_Toc7629"/>
      <w:bookmarkStart w:id="64" w:name="_Toc10370"/>
      <w:bookmarkStart w:id="65" w:name="_Toc965"/>
      <w:r>
        <w:rPr>
          <w:rFonts w:ascii="Times New Roman" w:hAnsi="Times New Roman" w:eastAsia="黑体"/>
          <w:b w:val="0"/>
          <w:color w:val="000000"/>
          <w:szCs w:val="32"/>
        </w:rPr>
        <w:t>三、发展思路</w:t>
      </w:r>
      <w:bookmarkEnd w:id="62"/>
      <w:bookmarkEnd w:id="63"/>
      <w:bookmarkEnd w:id="64"/>
      <w:bookmarkEnd w:id="65"/>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按照市政府打造苏鲁豫皖四省交汇区域改革开放新高地、承接长三角产业转移产业园、全国资源型城市全面绿色转型发展样板区的定位，以实施乡村振兴战略为总抓手，以深入推进农业供给侧改革为主线，以生态优先、绿色发展为牵引，稳步推进农村改革和产业融合发展，重点打造粮、蔬、果、畜、游五大优势产业，着力挖掘农业的多种功能，发展农产品加工和乡村旅游业。培育产业集群，形成产业合力，促进农民持续稳定增收</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农村社会和谐稳定，稳步提升现代农业整体发展水平和综合竞争力。</w:t>
      </w:r>
    </w:p>
    <w:p>
      <w:pPr>
        <w:pStyle w:val="4"/>
        <w:keepNext w:val="0"/>
        <w:keepLines w:val="0"/>
        <w:spacing w:before="0" w:after="0"/>
        <w:ind w:firstLine="640" w:firstLineChars="200"/>
        <w:rPr>
          <w:rFonts w:ascii="Times New Roman" w:hAnsi="Times New Roman" w:eastAsia="黑体"/>
          <w:b w:val="0"/>
          <w:color w:val="000000"/>
          <w:szCs w:val="32"/>
        </w:rPr>
      </w:pPr>
      <w:bookmarkStart w:id="66" w:name="_Toc21529"/>
      <w:bookmarkStart w:id="67" w:name="_Toc20076"/>
      <w:bookmarkStart w:id="68" w:name="_Toc11968"/>
      <w:bookmarkStart w:id="69" w:name="_Toc29912"/>
      <w:r>
        <w:rPr>
          <w:rFonts w:ascii="Times New Roman" w:hAnsi="Times New Roman" w:eastAsia="黑体"/>
          <w:b w:val="0"/>
          <w:color w:val="000000"/>
          <w:szCs w:val="32"/>
        </w:rPr>
        <w:t>四、发展目标</w:t>
      </w:r>
      <w:bookmarkEnd w:id="66"/>
      <w:bookmarkEnd w:id="67"/>
      <w:bookmarkEnd w:id="68"/>
      <w:bookmarkEnd w:id="69"/>
    </w:p>
    <w:p>
      <w:pPr>
        <w:pStyle w:val="5"/>
        <w:keepNext w:val="0"/>
        <w:keepLines w:val="0"/>
        <w:spacing w:before="0" w:after="0"/>
        <w:ind w:firstLine="642" w:firstLineChars="200"/>
        <w:rPr>
          <w:rFonts w:eastAsia="楷体_GB2312"/>
          <w:bCs/>
          <w:color w:val="000000"/>
          <w:kern w:val="2"/>
          <w:sz w:val="32"/>
          <w:szCs w:val="32"/>
        </w:rPr>
      </w:pPr>
      <w:bookmarkStart w:id="70" w:name="_Toc9787"/>
      <w:bookmarkStart w:id="71" w:name="_Toc24495"/>
      <w:bookmarkStart w:id="72" w:name="_Toc4634"/>
      <w:r>
        <w:rPr>
          <w:rFonts w:eastAsia="楷体_GB2312"/>
          <w:bCs/>
          <w:color w:val="000000"/>
          <w:kern w:val="2"/>
          <w:sz w:val="32"/>
          <w:szCs w:val="32"/>
        </w:rPr>
        <w:t>（一）总体目标</w:t>
      </w:r>
      <w:bookmarkEnd w:id="70"/>
      <w:bookmarkEnd w:id="71"/>
      <w:bookmarkEnd w:id="72"/>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到2025年，农业农村现代化取得阶段性成果，农产品加工业产值与农业总产值之比达到2.8：1</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力争乡村振兴走在全省前列，</w:t>
      </w:r>
      <w:r>
        <w:rPr>
          <w:rFonts w:hint="eastAsia" w:ascii="Times New Roman" w:hAnsi="Times New Roman" w:eastAsia="仿宋_GB2312"/>
          <w:color w:val="000000"/>
          <w:sz w:val="32"/>
          <w:szCs w:val="32"/>
        </w:rPr>
        <w:t>农民收入力争超过全省平均水平。</w:t>
      </w:r>
      <w:r>
        <w:rPr>
          <w:rFonts w:ascii="Times New Roman" w:hAnsi="Times New Roman" w:eastAsia="仿宋_GB2312"/>
          <w:color w:val="000000"/>
          <w:sz w:val="32"/>
          <w:szCs w:val="32"/>
        </w:rPr>
        <w:t>到2035年，全市农业农村现代化基本实现。</w:t>
      </w:r>
    </w:p>
    <w:p>
      <w:pPr>
        <w:pStyle w:val="5"/>
        <w:keepNext w:val="0"/>
        <w:keepLines w:val="0"/>
        <w:spacing w:before="0" w:after="0"/>
        <w:ind w:firstLine="642" w:firstLineChars="200"/>
        <w:rPr>
          <w:rFonts w:eastAsia="楷体_GB2312"/>
          <w:bCs/>
          <w:color w:val="000000"/>
          <w:kern w:val="2"/>
          <w:sz w:val="32"/>
          <w:szCs w:val="32"/>
        </w:rPr>
      </w:pPr>
      <w:bookmarkStart w:id="73" w:name="_Toc24124"/>
      <w:bookmarkStart w:id="74" w:name="_Toc16413"/>
      <w:bookmarkStart w:id="75" w:name="_Toc17180"/>
      <w:r>
        <w:rPr>
          <w:rFonts w:eastAsia="楷体_GB2312"/>
          <w:bCs/>
          <w:color w:val="000000"/>
          <w:kern w:val="2"/>
          <w:sz w:val="32"/>
          <w:szCs w:val="32"/>
        </w:rPr>
        <w:t>（二）具体目标</w:t>
      </w:r>
      <w:bookmarkEnd w:id="73"/>
      <w:bookmarkEnd w:id="74"/>
      <w:bookmarkEnd w:id="75"/>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重要农产品实现更大保障。</w:t>
      </w:r>
      <w:r>
        <w:rPr>
          <w:rFonts w:ascii="Times New Roman" w:hAnsi="Times New Roman" w:eastAsia="仿宋_GB2312"/>
          <w:color w:val="000000"/>
          <w:sz w:val="32"/>
          <w:szCs w:val="32"/>
        </w:rPr>
        <w:t>粮食生产能力稳定在150万吨，生猪出栏量120万头以上，蔬菜总产量稳定在80万吨。</w:t>
      </w:r>
    </w:p>
    <w:p>
      <w:pPr>
        <w:spacing w:before="0" w:after="0"/>
        <w:ind w:firstLine="643"/>
        <w:rPr>
          <w:rFonts w:ascii="Times New Roman" w:hAnsi="Times New Roman" w:eastAsia="仿宋_GB2312"/>
          <w:color w:val="000000"/>
          <w:sz w:val="32"/>
          <w:szCs w:val="32"/>
        </w:rPr>
      </w:pPr>
      <w:r>
        <w:rPr>
          <w:rFonts w:ascii="Times New Roman" w:hAnsi="Times New Roman" w:eastAsia="仿宋_GB2312"/>
          <w:b/>
          <w:color w:val="000000"/>
          <w:sz w:val="32"/>
          <w:szCs w:val="32"/>
        </w:rPr>
        <w:t>农业产业化实现更大提升。</w:t>
      </w:r>
      <w:r>
        <w:rPr>
          <w:rFonts w:ascii="Times New Roman" w:hAnsi="Times New Roman" w:eastAsia="仿宋_GB2312"/>
          <w:color w:val="000000"/>
          <w:sz w:val="32"/>
          <w:szCs w:val="32"/>
        </w:rPr>
        <w:t>打造产值超50亿元的全产业链优势产业集群2个以上，每个县区至少重点培育1个全产业链优势主导产业，建立20个以上省级长三角绿色农产品生产加工供应示范基地，面向沪苏浙地区的农副产品和农产品加工品年销售额达到60亿元。乡村休闲旅游年营业收入超过</w:t>
      </w:r>
      <w:r>
        <w:rPr>
          <w:rFonts w:hint="eastAsia" w:ascii="Times New Roman" w:hAnsi="Times New Roman" w:eastAsia="仿宋_GB2312"/>
          <w:color w:val="000000"/>
          <w:sz w:val="32"/>
          <w:szCs w:val="32"/>
        </w:rPr>
        <w:t>10</w:t>
      </w:r>
      <w:r>
        <w:rPr>
          <w:rFonts w:ascii="Times New Roman" w:hAnsi="Times New Roman" w:eastAsia="仿宋_GB2312"/>
          <w:color w:val="000000"/>
          <w:sz w:val="32"/>
          <w:szCs w:val="32"/>
        </w:rPr>
        <w:t>亿元。</w:t>
      </w:r>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农业绿色发展实现更大突破。</w:t>
      </w:r>
      <w:r>
        <w:rPr>
          <w:rFonts w:hint="eastAsia" w:ascii="Times New Roman" w:hAnsi="Times New Roman" w:eastAsia="仿宋_GB2312"/>
          <w:color w:val="000000"/>
          <w:sz w:val="32"/>
          <w:szCs w:val="32"/>
        </w:rPr>
        <w:t>主要农作物</w:t>
      </w:r>
      <w:r>
        <w:rPr>
          <w:rFonts w:ascii="Times New Roman" w:hAnsi="Times New Roman" w:eastAsia="仿宋_GB2312"/>
          <w:color w:val="000000"/>
          <w:sz w:val="32"/>
          <w:szCs w:val="32"/>
        </w:rPr>
        <w:t>化肥农药利用率稳定在43%，</w:t>
      </w:r>
      <w:r>
        <w:rPr>
          <w:rFonts w:hint="eastAsia" w:ascii="Times New Roman" w:hAnsi="Times New Roman" w:eastAsia="仿宋_GB2312"/>
          <w:color w:val="000000"/>
          <w:sz w:val="32"/>
          <w:szCs w:val="32"/>
        </w:rPr>
        <w:t>农作物</w:t>
      </w:r>
      <w:r>
        <w:rPr>
          <w:rFonts w:ascii="Times New Roman" w:hAnsi="Times New Roman" w:eastAsia="仿宋_GB2312"/>
          <w:color w:val="000000"/>
          <w:sz w:val="32"/>
          <w:szCs w:val="32"/>
        </w:rPr>
        <w:t>秸秆和畜禽粪污综合利用率分别达95%以上、85%，农膜回收率达85%，县（区）、镇、村农药包装废弃物回收利用体系基本完善。</w:t>
      </w:r>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“种业强市”工程实现更大进展。</w:t>
      </w:r>
      <w:r>
        <w:rPr>
          <w:rFonts w:hint="eastAsia" w:ascii="Times New Roman" w:hAnsi="Times New Roman" w:eastAsia="仿宋_GB2312"/>
          <w:color w:val="000000"/>
          <w:sz w:val="32"/>
          <w:szCs w:val="32"/>
        </w:rPr>
        <w:t>育成具有自主知识产权的突破性品种（配套系）2个</w:t>
      </w:r>
      <w:r>
        <w:rPr>
          <w:rFonts w:ascii="Times New Roman" w:hAnsi="Times New Roman" w:eastAsia="仿宋_GB2312"/>
          <w:color w:val="000000"/>
          <w:sz w:val="32"/>
          <w:szCs w:val="32"/>
        </w:rPr>
        <w:t>。良种繁育基地生产能力巩固提升，标准化良种繁育基地面积稳定在60万亩。</w:t>
      </w:r>
    </w:p>
    <w:p>
      <w:pPr>
        <w:spacing w:before="0" w:after="0"/>
        <w:ind w:firstLine="643"/>
        <w:rPr>
          <w:rFonts w:ascii="Times New Roman" w:hAnsi="Times New Roman" w:eastAsia="仿宋_GB2312"/>
          <w:bCs/>
          <w:color w:val="000000"/>
          <w:kern w:val="0"/>
          <w:sz w:val="32"/>
          <w:szCs w:val="32"/>
        </w:rPr>
      </w:pPr>
      <w:r>
        <w:rPr>
          <w:rFonts w:ascii="Times New Roman" w:hAnsi="Times New Roman" w:eastAsia="仿宋_GB2312"/>
          <w:b/>
          <w:bCs/>
          <w:color w:val="000000"/>
          <w:sz w:val="32"/>
          <w:szCs w:val="32"/>
        </w:rPr>
        <w:t>乡村建设实现更大作为。</w:t>
      </w:r>
      <w:r>
        <w:rPr>
          <w:rFonts w:ascii="Times New Roman" w:hAnsi="Times New Roman" w:eastAsia="仿宋_GB2312"/>
          <w:bCs/>
          <w:color w:val="000000"/>
          <w:sz w:val="32"/>
          <w:szCs w:val="32"/>
        </w:rPr>
        <w:t>实现“多规合一”实用性村庄规划全覆盖，村公共服务、社会治理等实现数字化、智能化。卫生厕所基本普及，农村生活垃圾无害化处理率稳定在98%以上，农村较大面积黑臭水体基本消除，美丽乡村新增100个</w:t>
      </w:r>
      <w:r>
        <w:rPr>
          <w:rFonts w:hint="eastAsia" w:ascii="Times New Roman" w:hAnsi="Times New Roman" w:eastAsia="仿宋_GB2312"/>
          <w:bCs/>
          <w:color w:val="000000"/>
          <w:sz w:val="32"/>
          <w:szCs w:val="32"/>
        </w:rPr>
        <w:t>左右</w:t>
      </w:r>
      <w:r>
        <w:rPr>
          <w:rFonts w:ascii="Times New Roman" w:hAnsi="Times New Roman" w:eastAsia="仿宋_GB2312"/>
          <w:bCs/>
          <w:color w:val="000000"/>
          <w:sz w:val="32"/>
          <w:szCs w:val="32"/>
        </w:rPr>
        <w:t>。</w:t>
      </w:r>
    </w:p>
    <w:p>
      <w:pPr>
        <w:spacing w:before="0" w:after="0"/>
        <w:ind w:firstLine="643"/>
        <w:rPr>
          <w:rFonts w:ascii="Times New Roman" w:hAnsi="Times New Roman" w:eastAsia="仿宋_GB2312"/>
          <w:b/>
          <w:bCs/>
          <w:color w:val="000000"/>
          <w:sz w:val="32"/>
          <w:szCs w:val="32"/>
        </w:rPr>
      </w:pPr>
      <w:r>
        <w:rPr>
          <w:rFonts w:ascii="Times New Roman" w:hAnsi="Times New Roman" w:eastAsia="仿宋_GB2312"/>
          <w:b/>
          <w:bCs/>
          <w:color w:val="000000"/>
          <w:sz w:val="32"/>
          <w:szCs w:val="32"/>
        </w:rPr>
        <w:t>表2.1淮北市“十四五”农业农村现代化发展主要指标</w:t>
      </w:r>
    </w:p>
    <w:p>
      <w:pPr>
        <w:pStyle w:val="2"/>
        <w:spacing w:before="0" w:after="0" w:line="200" w:lineRule="exact"/>
        <w:ind w:firstLine="602"/>
      </w:pPr>
    </w:p>
    <w:tbl>
      <w:tblPr>
        <w:tblStyle w:val="27"/>
        <w:tblW w:w="881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27"/>
        <w:gridCol w:w="3842"/>
        <w:gridCol w:w="1118"/>
        <w:gridCol w:w="1202"/>
        <w:gridCol w:w="975"/>
        <w:gridCol w:w="105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3" w:hRule="atLeast"/>
          <w:jc w:val="center"/>
        </w:trPr>
        <w:tc>
          <w:tcPr>
            <w:tcW w:w="627" w:type="dxa"/>
            <w:tcBorders>
              <w:bottom w:val="single" w:color="000000"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bookmarkStart w:id="76" w:name="_Toc21223"/>
            <w:bookmarkStart w:id="77" w:name="_Toc10588"/>
            <w:bookmarkStart w:id="78" w:name="_Toc15551"/>
            <w:r>
              <w:rPr>
                <w:rFonts w:ascii="宋体" w:hAnsi="宋体" w:eastAsia="宋体"/>
                <w:b/>
                <w:bCs/>
                <w:color w:val="000000"/>
                <w:kern w:val="0"/>
                <w:sz w:val="21"/>
                <w:szCs w:val="21"/>
              </w:rPr>
              <w:t>序号</w:t>
            </w:r>
          </w:p>
        </w:tc>
        <w:tc>
          <w:tcPr>
            <w:tcW w:w="3842" w:type="dxa"/>
            <w:tcBorders>
              <w:bottom w:val="single" w:color="000000" w:sz="4" w:space="0"/>
            </w:tcBorders>
            <w:vAlign w:val="center"/>
          </w:tcPr>
          <w:p>
            <w:pPr>
              <w:spacing w:before="0" w:after="0" w:line="300" w:lineRule="exact"/>
              <w:ind w:firstLine="422"/>
              <w:jc w:val="center"/>
              <w:rPr>
                <w:rFonts w:ascii="宋体" w:hAnsi="宋体" w:eastAsia="宋体"/>
                <w:b/>
                <w:bCs/>
                <w:color w:val="000000"/>
                <w:kern w:val="0"/>
                <w:sz w:val="21"/>
                <w:szCs w:val="21"/>
              </w:rPr>
            </w:pPr>
            <w:r>
              <w:rPr>
                <w:rFonts w:ascii="宋体" w:hAnsi="宋体" w:eastAsia="宋体"/>
                <w:b/>
                <w:bCs/>
                <w:color w:val="000000"/>
                <w:kern w:val="0"/>
                <w:sz w:val="21"/>
                <w:szCs w:val="21"/>
              </w:rPr>
              <w:t>指  标</w:t>
            </w:r>
          </w:p>
        </w:tc>
        <w:tc>
          <w:tcPr>
            <w:tcW w:w="1118" w:type="dxa"/>
            <w:tcBorders>
              <w:bottom w:val="single" w:color="000000"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2020年</w:t>
            </w:r>
          </w:p>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基期值</w:t>
            </w:r>
          </w:p>
        </w:tc>
        <w:tc>
          <w:tcPr>
            <w:tcW w:w="1202" w:type="dxa"/>
            <w:tcBorders>
              <w:bottom w:val="single" w:color="000000"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2025年</w:t>
            </w:r>
          </w:p>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目标值</w:t>
            </w:r>
          </w:p>
        </w:tc>
        <w:tc>
          <w:tcPr>
            <w:tcW w:w="975" w:type="dxa"/>
            <w:tcBorders>
              <w:bottom w:val="single" w:color="000000"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年均增长</w:t>
            </w:r>
          </w:p>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[累计]</w:t>
            </w:r>
          </w:p>
        </w:tc>
        <w:tc>
          <w:tcPr>
            <w:tcW w:w="1054" w:type="dxa"/>
            <w:tcBorders>
              <w:bottom w:val="single" w:color="000000"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指标属性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27"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w:t>
            </w:r>
          </w:p>
        </w:tc>
        <w:tc>
          <w:tcPr>
            <w:tcW w:w="3842" w:type="dxa"/>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粮食综合生产能力（万吨）</w:t>
            </w:r>
          </w:p>
        </w:tc>
        <w:tc>
          <w:tcPr>
            <w:tcW w:w="1118"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149.36</w:t>
            </w:r>
          </w:p>
        </w:tc>
        <w:tc>
          <w:tcPr>
            <w:tcW w:w="1202"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150.00</w:t>
            </w:r>
          </w:p>
        </w:tc>
        <w:tc>
          <w:tcPr>
            <w:tcW w:w="975"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[0.64]</w:t>
            </w:r>
          </w:p>
        </w:tc>
        <w:tc>
          <w:tcPr>
            <w:tcW w:w="1054"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约束</w:t>
            </w:r>
            <w:r>
              <w:rPr>
                <w:rFonts w:ascii="宋体" w:hAnsi="宋体" w:eastAsia="宋体"/>
                <w:bCs/>
                <w:color w:val="000000"/>
                <w:kern w:val="0"/>
                <w:sz w:val="21"/>
                <w:szCs w:val="21"/>
              </w:rPr>
              <w:t>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27"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2</w:t>
            </w:r>
          </w:p>
        </w:tc>
        <w:tc>
          <w:tcPr>
            <w:tcW w:w="3842" w:type="dxa"/>
            <w:vAlign w:val="center"/>
          </w:tcPr>
          <w:p>
            <w:pPr>
              <w:spacing w:before="0" w:after="0" w:line="300" w:lineRule="exact"/>
              <w:ind w:firstLine="0" w:firstLineChars="0"/>
              <w:rPr>
                <w:rFonts w:ascii="宋体" w:hAnsi="宋体" w:eastAsia="宋体"/>
                <w:bCs/>
                <w:color w:val="000000"/>
                <w:kern w:val="0"/>
                <w:sz w:val="21"/>
                <w:szCs w:val="21"/>
              </w:rPr>
            </w:pPr>
            <w:r>
              <w:rPr>
                <w:rFonts w:hint="eastAsia" w:ascii="宋体" w:hAnsi="宋体" w:eastAsia="宋体"/>
                <w:bCs/>
                <w:color w:val="000000"/>
                <w:kern w:val="0"/>
                <w:sz w:val="21"/>
                <w:szCs w:val="21"/>
              </w:rPr>
              <w:t>肉类总产量（万吨）</w:t>
            </w:r>
          </w:p>
        </w:tc>
        <w:tc>
          <w:tcPr>
            <w:tcW w:w="1118"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8.1</w:t>
            </w:r>
          </w:p>
        </w:tc>
        <w:tc>
          <w:tcPr>
            <w:tcW w:w="1202"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8.86</w:t>
            </w:r>
          </w:p>
        </w:tc>
        <w:tc>
          <w:tcPr>
            <w:tcW w:w="975"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1.7%</w:t>
            </w:r>
          </w:p>
        </w:tc>
        <w:tc>
          <w:tcPr>
            <w:tcW w:w="1054"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预期性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27"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3</w:t>
            </w:r>
          </w:p>
        </w:tc>
        <w:tc>
          <w:tcPr>
            <w:tcW w:w="3842" w:type="dxa"/>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高标准农田建设面积（万亩）</w:t>
            </w:r>
          </w:p>
        </w:tc>
        <w:tc>
          <w:tcPr>
            <w:tcW w:w="1118"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156.89</w:t>
            </w:r>
          </w:p>
        </w:tc>
        <w:tc>
          <w:tcPr>
            <w:tcW w:w="1202"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20</w:t>
            </w:r>
            <w:r>
              <w:rPr>
                <w:rFonts w:hint="eastAsia" w:ascii="宋体" w:hAnsi="宋体" w:eastAsia="宋体"/>
                <w:bCs/>
                <w:color w:val="000000"/>
                <w:kern w:val="0"/>
                <w:sz w:val="21"/>
                <w:szCs w:val="21"/>
              </w:rPr>
              <w:t>3</w:t>
            </w:r>
            <w:r>
              <w:rPr>
                <w:rFonts w:ascii="宋体" w:hAnsi="宋体" w:eastAsia="宋体"/>
                <w:bCs/>
                <w:color w:val="000000"/>
                <w:kern w:val="0"/>
                <w:sz w:val="21"/>
                <w:szCs w:val="21"/>
              </w:rPr>
              <w:t>.</w:t>
            </w:r>
            <w:r>
              <w:rPr>
                <w:rFonts w:hint="eastAsia" w:ascii="宋体" w:hAnsi="宋体" w:eastAsia="宋体"/>
                <w:bCs/>
                <w:color w:val="000000"/>
                <w:kern w:val="0"/>
                <w:sz w:val="21"/>
                <w:szCs w:val="21"/>
              </w:rPr>
              <w:t>89</w:t>
            </w:r>
          </w:p>
        </w:tc>
        <w:tc>
          <w:tcPr>
            <w:tcW w:w="975"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[47]</w:t>
            </w:r>
          </w:p>
        </w:tc>
        <w:tc>
          <w:tcPr>
            <w:tcW w:w="1054"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约束性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27"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4</w:t>
            </w:r>
          </w:p>
        </w:tc>
        <w:tc>
          <w:tcPr>
            <w:tcW w:w="3842" w:type="dxa"/>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农业科技进步贡献率（%）</w:t>
            </w:r>
          </w:p>
        </w:tc>
        <w:tc>
          <w:tcPr>
            <w:tcW w:w="1118"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64.00</w:t>
            </w:r>
          </w:p>
        </w:tc>
        <w:tc>
          <w:tcPr>
            <w:tcW w:w="1202"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67.5</w:t>
            </w:r>
          </w:p>
        </w:tc>
        <w:tc>
          <w:tcPr>
            <w:tcW w:w="975"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w:t>
            </w:r>
            <w:r>
              <w:rPr>
                <w:rFonts w:hint="eastAsia" w:ascii="宋体" w:hAnsi="宋体" w:eastAsia="宋体"/>
                <w:bCs/>
                <w:color w:val="000000"/>
                <w:kern w:val="0"/>
                <w:sz w:val="21"/>
                <w:szCs w:val="21"/>
              </w:rPr>
              <w:t>3.5</w:t>
            </w:r>
            <w:r>
              <w:rPr>
                <w:rFonts w:ascii="宋体" w:hAnsi="宋体" w:eastAsia="宋体"/>
                <w:bCs/>
                <w:color w:val="000000"/>
                <w:kern w:val="0"/>
                <w:sz w:val="21"/>
                <w:szCs w:val="21"/>
              </w:rPr>
              <w:t>]</w:t>
            </w:r>
          </w:p>
        </w:tc>
        <w:tc>
          <w:tcPr>
            <w:tcW w:w="1054"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预期性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27"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5</w:t>
            </w:r>
          </w:p>
        </w:tc>
        <w:tc>
          <w:tcPr>
            <w:tcW w:w="3842" w:type="dxa"/>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农作物耕种收综合机械化率（%）</w:t>
            </w:r>
          </w:p>
        </w:tc>
        <w:tc>
          <w:tcPr>
            <w:tcW w:w="1118"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90.54</w:t>
            </w:r>
          </w:p>
        </w:tc>
        <w:tc>
          <w:tcPr>
            <w:tcW w:w="1202"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92</w:t>
            </w:r>
          </w:p>
        </w:tc>
        <w:tc>
          <w:tcPr>
            <w:tcW w:w="975"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w:t>
            </w:r>
            <w:r>
              <w:rPr>
                <w:rFonts w:hint="eastAsia" w:ascii="宋体" w:hAnsi="宋体" w:eastAsia="宋体"/>
                <w:bCs/>
                <w:color w:val="000000"/>
                <w:kern w:val="0"/>
                <w:sz w:val="21"/>
                <w:szCs w:val="21"/>
              </w:rPr>
              <w:t>1.46</w:t>
            </w:r>
            <w:r>
              <w:rPr>
                <w:rFonts w:ascii="宋体" w:hAnsi="宋体" w:eastAsia="宋体"/>
                <w:bCs/>
                <w:color w:val="000000"/>
                <w:kern w:val="0"/>
                <w:sz w:val="21"/>
                <w:szCs w:val="21"/>
              </w:rPr>
              <w:t>]</w:t>
            </w:r>
          </w:p>
        </w:tc>
        <w:tc>
          <w:tcPr>
            <w:tcW w:w="1054"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预期性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27"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6</w:t>
            </w:r>
          </w:p>
        </w:tc>
        <w:tc>
          <w:tcPr>
            <w:tcW w:w="3842" w:type="dxa"/>
            <w:vAlign w:val="center"/>
          </w:tcPr>
          <w:p>
            <w:pPr>
              <w:spacing w:before="0" w:after="0" w:line="300" w:lineRule="exact"/>
              <w:ind w:firstLine="0" w:firstLineChars="0"/>
              <w:rPr>
                <w:rFonts w:ascii="宋体" w:hAnsi="宋体" w:eastAsia="宋体"/>
                <w:bCs/>
                <w:color w:val="000000"/>
                <w:kern w:val="0"/>
                <w:sz w:val="21"/>
                <w:szCs w:val="21"/>
              </w:rPr>
            </w:pPr>
            <w:r>
              <w:rPr>
                <w:rFonts w:hint="eastAsia" w:ascii="宋体" w:hAnsi="宋体" w:eastAsia="宋体"/>
                <w:bCs/>
                <w:color w:val="000000"/>
                <w:kern w:val="0"/>
                <w:sz w:val="21"/>
                <w:szCs w:val="21"/>
              </w:rPr>
              <w:t>主要</w:t>
            </w:r>
            <w:r>
              <w:rPr>
                <w:rFonts w:ascii="宋体" w:hAnsi="宋体" w:eastAsia="宋体"/>
                <w:bCs/>
                <w:color w:val="000000"/>
                <w:kern w:val="0"/>
                <w:sz w:val="21"/>
                <w:szCs w:val="21"/>
              </w:rPr>
              <w:t>农作物秸秆综合利用率（%）</w:t>
            </w:r>
          </w:p>
        </w:tc>
        <w:tc>
          <w:tcPr>
            <w:tcW w:w="1118"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92.00</w:t>
            </w:r>
          </w:p>
        </w:tc>
        <w:tc>
          <w:tcPr>
            <w:tcW w:w="1202"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＞95.00</w:t>
            </w:r>
          </w:p>
        </w:tc>
        <w:tc>
          <w:tcPr>
            <w:tcW w:w="975"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[3]</w:t>
            </w:r>
          </w:p>
        </w:tc>
        <w:tc>
          <w:tcPr>
            <w:tcW w:w="1054"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预期</w:t>
            </w:r>
            <w:r>
              <w:rPr>
                <w:rFonts w:ascii="宋体" w:hAnsi="宋体" w:eastAsia="宋体"/>
                <w:bCs/>
                <w:color w:val="000000"/>
                <w:kern w:val="0"/>
                <w:sz w:val="21"/>
                <w:szCs w:val="21"/>
              </w:rPr>
              <w:t>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27"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7</w:t>
            </w:r>
          </w:p>
        </w:tc>
        <w:tc>
          <w:tcPr>
            <w:tcW w:w="3842" w:type="dxa"/>
            <w:vAlign w:val="center"/>
          </w:tcPr>
          <w:p>
            <w:pPr>
              <w:spacing w:before="0" w:after="0" w:line="300" w:lineRule="exact"/>
              <w:ind w:firstLine="0" w:firstLineChars="0"/>
              <w:rPr>
                <w:rFonts w:ascii="宋体" w:hAnsi="宋体" w:eastAsia="宋体"/>
                <w:bCs/>
                <w:color w:val="000000"/>
                <w:kern w:val="0"/>
                <w:sz w:val="21"/>
                <w:szCs w:val="21"/>
              </w:rPr>
            </w:pPr>
            <w:r>
              <w:rPr>
                <w:rFonts w:hint="eastAsia" w:ascii="宋体" w:hAnsi="宋体" w:eastAsia="宋体"/>
                <w:bCs/>
                <w:color w:val="000000"/>
                <w:kern w:val="0"/>
                <w:sz w:val="21"/>
                <w:szCs w:val="21"/>
              </w:rPr>
              <w:t>畜禽粪污综合利用率</w:t>
            </w:r>
            <w:r>
              <w:rPr>
                <w:rFonts w:ascii="宋体" w:hAnsi="宋体" w:eastAsia="宋体"/>
                <w:bCs/>
                <w:color w:val="000000"/>
                <w:kern w:val="0"/>
                <w:sz w:val="21"/>
                <w:szCs w:val="21"/>
              </w:rPr>
              <w:t>（%）</w:t>
            </w:r>
          </w:p>
        </w:tc>
        <w:tc>
          <w:tcPr>
            <w:tcW w:w="1118"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81.00</w:t>
            </w:r>
          </w:p>
        </w:tc>
        <w:tc>
          <w:tcPr>
            <w:tcW w:w="1202"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85.00</w:t>
            </w:r>
          </w:p>
        </w:tc>
        <w:tc>
          <w:tcPr>
            <w:tcW w:w="975"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[4]</w:t>
            </w:r>
          </w:p>
        </w:tc>
        <w:tc>
          <w:tcPr>
            <w:tcW w:w="1054"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约束性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27"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8</w:t>
            </w:r>
          </w:p>
        </w:tc>
        <w:tc>
          <w:tcPr>
            <w:tcW w:w="3842" w:type="dxa"/>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农产品质量安全例行</w:t>
            </w:r>
            <w:r>
              <w:rPr>
                <w:rFonts w:hint="eastAsia" w:ascii="宋体" w:hAnsi="宋体" w:eastAsia="宋体"/>
                <w:bCs/>
                <w:color w:val="000000"/>
                <w:kern w:val="0"/>
                <w:sz w:val="21"/>
                <w:szCs w:val="21"/>
              </w:rPr>
              <w:t>监测</w:t>
            </w:r>
            <w:r>
              <w:rPr>
                <w:rFonts w:ascii="宋体" w:hAnsi="宋体" w:eastAsia="宋体"/>
                <w:bCs/>
                <w:color w:val="000000"/>
                <w:kern w:val="0"/>
                <w:sz w:val="21"/>
                <w:szCs w:val="21"/>
              </w:rPr>
              <w:t>合格率（%）</w:t>
            </w:r>
          </w:p>
        </w:tc>
        <w:tc>
          <w:tcPr>
            <w:tcW w:w="1118"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99.00</w:t>
            </w:r>
          </w:p>
        </w:tc>
        <w:tc>
          <w:tcPr>
            <w:tcW w:w="1202"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99.00</w:t>
            </w:r>
          </w:p>
        </w:tc>
        <w:tc>
          <w:tcPr>
            <w:tcW w:w="975"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w:t>
            </w:r>
          </w:p>
        </w:tc>
        <w:tc>
          <w:tcPr>
            <w:tcW w:w="1054"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预期性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27"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9</w:t>
            </w:r>
          </w:p>
        </w:tc>
        <w:tc>
          <w:tcPr>
            <w:tcW w:w="3842" w:type="dxa"/>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农产品加工业与农业总产值比</w:t>
            </w:r>
          </w:p>
        </w:tc>
        <w:tc>
          <w:tcPr>
            <w:tcW w:w="1118"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2.40</w:t>
            </w:r>
          </w:p>
        </w:tc>
        <w:tc>
          <w:tcPr>
            <w:tcW w:w="1202"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＞2.80</w:t>
            </w:r>
          </w:p>
        </w:tc>
        <w:tc>
          <w:tcPr>
            <w:tcW w:w="975"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[0.40]</w:t>
            </w:r>
          </w:p>
        </w:tc>
        <w:tc>
          <w:tcPr>
            <w:tcW w:w="1054"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预期性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27"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10</w:t>
            </w:r>
          </w:p>
        </w:tc>
        <w:tc>
          <w:tcPr>
            <w:tcW w:w="3842" w:type="dxa"/>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乡</w:t>
            </w:r>
            <w:r>
              <w:rPr>
                <w:rFonts w:hint="eastAsia" w:ascii="宋体" w:hAnsi="宋体" w:eastAsia="宋体"/>
                <w:bCs/>
                <w:color w:val="000000"/>
                <w:kern w:val="0"/>
                <w:sz w:val="21"/>
                <w:szCs w:val="21"/>
              </w:rPr>
              <w:t>村休闲</w:t>
            </w:r>
            <w:r>
              <w:rPr>
                <w:rFonts w:ascii="宋体" w:hAnsi="宋体" w:eastAsia="宋体"/>
                <w:bCs/>
                <w:color w:val="000000"/>
                <w:kern w:val="0"/>
                <w:sz w:val="21"/>
                <w:szCs w:val="21"/>
              </w:rPr>
              <w:t>旅游年营业收入（亿元）</w:t>
            </w:r>
          </w:p>
        </w:tc>
        <w:tc>
          <w:tcPr>
            <w:tcW w:w="1118"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4.00</w:t>
            </w:r>
          </w:p>
        </w:tc>
        <w:tc>
          <w:tcPr>
            <w:tcW w:w="1202"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10</w:t>
            </w:r>
          </w:p>
        </w:tc>
        <w:tc>
          <w:tcPr>
            <w:tcW w:w="975"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20</w:t>
            </w:r>
            <w:r>
              <w:rPr>
                <w:rFonts w:ascii="宋体" w:hAnsi="宋体" w:eastAsia="宋体"/>
                <w:bCs/>
                <w:color w:val="000000"/>
                <w:kern w:val="0"/>
                <w:sz w:val="21"/>
                <w:szCs w:val="21"/>
              </w:rPr>
              <w:t>%</w:t>
            </w:r>
          </w:p>
        </w:tc>
        <w:tc>
          <w:tcPr>
            <w:tcW w:w="1054"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预期性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27"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11</w:t>
            </w:r>
          </w:p>
        </w:tc>
        <w:tc>
          <w:tcPr>
            <w:tcW w:w="3842" w:type="dxa"/>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农村产品网络销售额（亿元）</w:t>
            </w:r>
          </w:p>
        </w:tc>
        <w:tc>
          <w:tcPr>
            <w:tcW w:w="1118"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7.00</w:t>
            </w:r>
          </w:p>
        </w:tc>
        <w:tc>
          <w:tcPr>
            <w:tcW w:w="1202"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14.00</w:t>
            </w:r>
          </w:p>
        </w:tc>
        <w:tc>
          <w:tcPr>
            <w:tcW w:w="975"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15%</w:t>
            </w:r>
          </w:p>
        </w:tc>
        <w:tc>
          <w:tcPr>
            <w:tcW w:w="1054"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预期性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27"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12</w:t>
            </w:r>
          </w:p>
        </w:tc>
        <w:tc>
          <w:tcPr>
            <w:tcW w:w="3842" w:type="dxa"/>
            <w:vAlign w:val="center"/>
          </w:tcPr>
          <w:p>
            <w:pPr>
              <w:spacing w:before="0" w:after="0" w:line="300" w:lineRule="exact"/>
              <w:ind w:firstLine="0" w:firstLineChars="0"/>
              <w:rPr>
                <w:rFonts w:ascii="宋体" w:hAnsi="宋体" w:eastAsia="宋体"/>
                <w:bCs/>
                <w:color w:val="000000"/>
                <w:kern w:val="0"/>
                <w:sz w:val="21"/>
                <w:szCs w:val="21"/>
              </w:rPr>
            </w:pPr>
            <w:r>
              <w:rPr>
                <w:rFonts w:hint="eastAsia" w:ascii="宋体" w:hAnsi="宋体" w:eastAsia="宋体"/>
                <w:bCs/>
                <w:color w:val="000000"/>
                <w:kern w:val="0"/>
                <w:sz w:val="21"/>
                <w:szCs w:val="21"/>
              </w:rPr>
              <w:t>农业劳动生产率（万元/人）</w:t>
            </w:r>
          </w:p>
        </w:tc>
        <w:tc>
          <w:tcPr>
            <w:tcW w:w="1118"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1.8</w:t>
            </w:r>
          </w:p>
        </w:tc>
        <w:tc>
          <w:tcPr>
            <w:tcW w:w="1202"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4.8</w:t>
            </w:r>
          </w:p>
        </w:tc>
        <w:tc>
          <w:tcPr>
            <w:tcW w:w="975"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21.7%</w:t>
            </w:r>
          </w:p>
        </w:tc>
        <w:tc>
          <w:tcPr>
            <w:tcW w:w="1054"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预期性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27"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13</w:t>
            </w:r>
          </w:p>
        </w:tc>
        <w:tc>
          <w:tcPr>
            <w:tcW w:w="3842" w:type="dxa"/>
            <w:vAlign w:val="center"/>
          </w:tcPr>
          <w:p>
            <w:pPr>
              <w:spacing w:before="0" w:after="0" w:line="300" w:lineRule="exact"/>
              <w:ind w:firstLine="0" w:firstLineChars="0"/>
              <w:rPr>
                <w:rFonts w:ascii="宋体" w:hAnsi="宋体" w:eastAsia="宋体"/>
                <w:bCs/>
                <w:color w:val="000000"/>
                <w:kern w:val="0"/>
                <w:sz w:val="21"/>
                <w:szCs w:val="21"/>
              </w:rPr>
            </w:pPr>
            <w:r>
              <w:rPr>
                <w:rFonts w:hint="eastAsia" w:ascii="宋体" w:hAnsi="宋体" w:eastAsia="宋体"/>
                <w:bCs/>
                <w:color w:val="000000"/>
                <w:kern w:val="0"/>
                <w:sz w:val="21"/>
                <w:szCs w:val="21"/>
              </w:rPr>
              <w:t>耕地亩均产出率（元/亩）</w:t>
            </w:r>
          </w:p>
        </w:tc>
        <w:tc>
          <w:tcPr>
            <w:tcW w:w="1118"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5913</w:t>
            </w:r>
          </w:p>
        </w:tc>
        <w:tc>
          <w:tcPr>
            <w:tcW w:w="1202"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 xml:space="preserve"> 10760</w:t>
            </w:r>
          </w:p>
        </w:tc>
        <w:tc>
          <w:tcPr>
            <w:tcW w:w="975"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12.7%</w:t>
            </w:r>
          </w:p>
        </w:tc>
        <w:tc>
          <w:tcPr>
            <w:tcW w:w="1054"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预期性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27"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14</w:t>
            </w:r>
          </w:p>
        </w:tc>
        <w:tc>
          <w:tcPr>
            <w:tcW w:w="3842" w:type="dxa"/>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对生活垃圾进行处理的村占比（%）</w:t>
            </w:r>
          </w:p>
        </w:tc>
        <w:tc>
          <w:tcPr>
            <w:tcW w:w="1118"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100.00</w:t>
            </w:r>
          </w:p>
        </w:tc>
        <w:tc>
          <w:tcPr>
            <w:tcW w:w="1202"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100.00</w:t>
            </w:r>
          </w:p>
        </w:tc>
        <w:tc>
          <w:tcPr>
            <w:tcW w:w="975" w:type="dxa"/>
            <w:vAlign w:val="center"/>
          </w:tcPr>
          <w:p>
            <w:pPr>
              <w:spacing w:before="0" w:after="0" w:line="300" w:lineRule="exact"/>
              <w:ind w:firstLine="420"/>
              <w:rPr>
                <w:rFonts w:ascii="宋体" w:hAnsi="宋体" w:eastAsia="宋体"/>
                <w:bCs/>
                <w:color w:val="000000"/>
                <w:kern w:val="0"/>
                <w:sz w:val="21"/>
                <w:szCs w:val="21"/>
              </w:rPr>
            </w:pPr>
            <w:r>
              <w:rPr>
                <w:rFonts w:ascii="宋体" w:hAnsi="宋体" w:eastAsia="宋体"/>
                <w:bCs/>
                <w:color w:val="000000"/>
                <w:kern w:val="0"/>
                <w:sz w:val="21"/>
                <w:szCs w:val="21"/>
              </w:rPr>
              <w:t>-</w:t>
            </w:r>
          </w:p>
        </w:tc>
        <w:tc>
          <w:tcPr>
            <w:tcW w:w="1054"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预期性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27"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15</w:t>
            </w:r>
          </w:p>
        </w:tc>
        <w:tc>
          <w:tcPr>
            <w:tcW w:w="3842" w:type="dxa"/>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农村自来水普及率（%）</w:t>
            </w:r>
          </w:p>
        </w:tc>
        <w:tc>
          <w:tcPr>
            <w:tcW w:w="1118"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90.00</w:t>
            </w:r>
          </w:p>
        </w:tc>
        <w:tc>
          <w:tcPr>
            <w:tcW w:w="1202"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＞90.00</w:t>
            </w:r>
          </w:p>
        </w:tc>
        <w:tc>
          <w:tcPr>
            <w:tcW w:w="975" w:type="dxa"/>
            <w:vAlign w:val="center"/>
          </w:tcPr>
          <w:p>
            <w:pPr>
              <w:spacing w:before="0" w:after="0" w:line="300" w:lineRule="exact"/>
              <w:ind w:firstLine="420"/>
              <w:rPr>
                <w:rFonts w:ascii="宋体" w:hAnsi="宋体" w:eastAsia="宋体"/>
                <w:bCs/>
                <w:color w:val="000000"/>
                <w:kern w:val="0"/>
                <w:sz w:val="21"/>
                <w:szCs w:val="21"/>
              </w:rPr>
            </w:pPr>
            <w:r>
              <w:rPr>
                <w:rFonts w:ascii="宋体" w:hAnsi="宋体" w:eastAsia="宋体"/>
                <w:bCs/>
                <w:color w:val="000000"/>
                <w:kern w:val="0"/>
                <w:sz w:val="21"/>
                <w:szCs w:val="21"/>
              </w:rPr>
              <w:t>-</w:t>
            </w:r>
          </w:p>
        </w:tc>
        <w:tc>
          <w:tcPr>
            <w:tcW w:w="1054"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预期性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27"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16</w:t>
            </w:r>
          </w:p>
        </w:tc>
        <w:tc>
          <w:tcPr>
            <w:tcW w:w="3842" w:type="dxa"/>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农村卫生厕所普及率（%）</w:t>
            </w:r>
          </w:p>
        </w:tc>
        <w:tc>
          <w:tcPr>
            <w:tcW w:w="1118"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85.00</w:t>
            </w:r>
          </w:p>
        </w:tc>
        <w:tc>
          <w:tcPr>
            <w:tcW w:w="1202"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基本普及</w:t>
            </w:r>
          </w:p>
        </w:tc>
        <w:tc>
          <w:tcPr>
            <w:tcW w:w="975"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w:t>
            </w:r>
          </w:p>
        </w:tc>
        <w:tc>
          <w:tcPr>
            <w:tcW w:w="1054"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预期性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27"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17</w:t>
            </w:r>
          </w:p>
        </w:tc>
        <w:tc>
          <w:tcPr>
            <w:tcW w:w="3842" w:type="dxa"/>
            <w:vAlign w:val="center"/>
          </w:tcPr>
          <w:p>
            <w:pPr>
              <w:spacing w:before="0" w:after="0" w:line="300" w:lineRule="exact"/>
              <w:ind w:firstLine="0" w:firstLineChars="0"/>
              <w:rPr>
                <w:rFonts w:ascii="宋体" w:hAnsi="宋体" w:eastAsia="宋体"/>
                <w:bCs/>
                <w:color w:val="000000"/>
                <w:kern w:val="0"/>
                <w:sz w:val="21"/>
                <w:szCs w:val="21"/>
              </w:rPr>
            </w:pPr>
            <w:r>
              <w:rPr>
                <w:rFonts w:hint="eastAsia" w:ascii="宋体" w:hAnsi="宋体" w:eastAsia="宋体"/>
                <w:bCs/>
                <w:color w:val="000000"/>
                <w:kern w:val="0"/>
                <w:sz w:val="21"/>
                <w:szCs w:val="21"/>
              </w:rPr>
              <w:t>美丽乡村中心村建设个数（个）</w:t>
            </w:r>
          </w:p>
        </w:tc>
        <w:tc>
          <w:tcPr>
            <w:tcW w:w="1118"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202</w:t>
            </w:r>
          </w:p>
        </w:tc>
        <w:tc>
          <w:tcPr>
            <w:tcW w:w="1202"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302</w:t>
            </w:r>
          </w:p>
        </w:tc>
        <w:tc>
          <w:tcPr>
            <w:tcW w:w="975"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w:t>
            </w:r>
            <w:r>
              <w:rPr>
                <w:rFonts w:hint="eastAsia" w:ascii="宋体" w:hAnsi="宋体" w:eastAsia="宋体"/>
                <w:bCs/>
                <w:color w:val="000000"/>
                <w:kern w:val="0"/>
                <w:sz w:val="21"/>
                <w:szCs w:val="21"/>
              </w:rPr>
              <w:t>100</w:t>
            </w:r>
            <w:r>
              <w:rPr>
                <w:rFonts w:ascii="宋体" w:hAnsi="宋体" w:eastAsia="宋体"/>
                <w:bCs/>
                <w:color w:val="000000"/>
                <w:kern w:val="0"/>
                <w:sz w:val="21"/>
                <w:szCs w:val="21"/>
              </w:rPr>
              <w:t>]</w:t>
            </w:r>
          </w:p>
        </w:tc>
        <w:tc>
          <w:tcPr>
            <w:tcW w:w="1054"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预期性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27"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18</w:t>
            </w:r>
          </w:p>
        </w:tc>
        <w:tc>
          <w:tcPr>
            <w:tcW w:w="3842" w:type="dxa"/>
            <w:vAlign w:val="center"/>
          </w:tcPr>
          <w:p>
            <w:pPr>
              <w:spacing w:before="0" w:after="0" w:line="300" w:lineRule="exact"/>
              <w:ind w:firstLine="0" w:firstLineChars="0"/>
              <w:rPr>
                <w:rFonts w:ascii="宋体" w:hAnsi="宋体" w:eastAsia="宋体"/>
                <w:bCs/>
                <w:color w:val="000000"/>
                <w:kern w:val="0"/>
                <w:sz w:val="21"/>
                <w:szCs w:val="21"/>
              </w:rPr>
            </w:pPr>
            <w:r>
              <w:rPr>
                <w:rFonts w:hint="eastAsia" w:ascii="宋体" w:hAnsi="宋体" w:eastAsia="宋体"/>
                <w:bCs/>
                <w:color w:val="000000"/>
                <w:kern w:val="0"/>
                <w:sz w:val="21"/>
                <w:szCs w:val="21"/>
              </w:rPr>
              <w:t>经营性收入50万元以上的强村占比（%）</w:t>
            </w:r>
          </w:p>
        </w:tc>
        <w:tc>
          <w:tcPr>
            <w:tcW w:w="1118"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18</w:t>
            </w:r>
          </w:p>
        </w:tc>
        <w:tc>
          <w:tcPr>
            <w:tcW w:w="1202"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30</w:t>
            </w:r>
          </w:p>
        </w:tc>
        <w:tc>
          <w:tcPr>
            <w:tcW w:w="975"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w:t>
            </w:r>
            <w:r>
              <w:rPr>
                <w:rFonts w:hint="eastAsia" w:ascii="宋体" w:hAnsi="宋体" w:eastAsia="宋体"/>
                <w:bCs/>
                <w:color w:val="000000"/>
                <w:kern w:val="0"/>
                <w:sz w:val="21"/>
                <w:szCs w:val="21"/>
              </w:rPr>
              <w:t>12</w:t>
            </w:r>
            <w:r>
              <w:rPr>
                <w:rFonts w:ascii="宋体" w:hAnsi="宋体" w:eastAsia="宋体"/>
                <w:bCs/>
                <w:color w:val="000000"/>
                <w:kern w:val="0"/>
                <w:sz w:val="21"/>
                <w:szCs w:val="21"/>
              </w:rPr>
              <w:t>]</w:t>
            </w:r>
          </w:p>
        </w:tc>
        <w:tc>
          <w:tcPr>
            <w:tcW w:w="1054"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预期性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27"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19</w:t>
            </w:r>
          </w:p>
        </w:tc>
        <w:tc>
          <w:tcPr>
            <w:tcW w:w="3842" w:type="dxa"/>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农村常住居民人均可支配收入（元）</w:t>
            </w:r>
          </w:p>
        </w:tc>
        <w:tc>
          <w:tcPr>
            <w:tcW w:w="1118"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15218.00</w:t>
            </w:r>
          </w:p>
        </w:tc>
        <w:tc>
          <w:tcPr>
            <w:tcW w:w="1202"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不低于</w:t>
            </w:r>
            <w:r>
              <w:rPr>
                <w:rFonts w:ascii="宋体" w:hAnsi="宋体" w:eastAsia="宋体"/>
                <w:bCs/>
                <w:color w:val="000000"/>
                <w:kern w:val="0"/>
                <w:sz w:val="21"/>
                <w:szCs w:val="21"/>
              </w:rPr>
              <w:t>全省平均水平</w:t>
            </w:r>
          </w:p>
        </w:tc>
        <w:tc>
          <w:tcPr>
            <w:tcW w:w="975"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w:t>
            </w:r>
          </w:p>
        </w:tc>
        <w:tc>
          <w:tcPr>
            <w:tcW w:w="1054"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预期性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27" w:type="dxa"/>
            <w:vAlign w:val="center"/>
          </w:tcPr>
          <w:p>
            <w:pPr>
              <w:spacing w:before="0" w:after="0" w:line="300" w:lineRule="exact"/>
              <w:ind w:firstLine="0" w:firstLineChars="0"/>
              <w:jc w:val="center"/>
              <w:rPr>
                <w:rFonts w:ascii="宋体" w:hAnsi="宋体" w:eastAsia="宋体"/>
                <w:bCs/>
                <w:color w:val="000000"/>
                <w:kern w:val="0"/>
                <w:sz w:val="21"/>
                <w:szCs w:val="21"/>
              </w:rPr>
            </w:pPr>
            <w:bookmarkStart w:id="79" w:name="_Toc11278"/>
            <w:bookmarkStart w:id="80" w:name="_Toc7663"/>
            <w:r>
              <w:rPr>
                <w:rFonts w:hint="eastAsia" w:ascii="宋体" w:hAnsi="宋体" w:eastAsia="宋体"/>
                <w:bCs/>
                <w:color w:val="000000"/>
                <w:kern w:val="0"/>
                <w:sz w:val="21"/>
                <w:szCs w:val="21"/>
              </w:rPr>
              <w:t>20</w:t>
            </w:r>
          </w:p>
        </w:tc>
        <w:tc>
          <w:tcPr>
            <w:tcW w:w="3842" w:type="dxa"/>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农村居民基本医疗保险参保率（%）</w:t>
            </w:r>
          </w:p>
        </w:tc>
        <w:tc>
          <w:tcPr>
            <w:tcW w:w="1118"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93.00</w:t>
            </w:r>
          </w:p>
        </w:tc>
        <w:tc>
          <w:tcPr>
            <w:tcW w:w="1202"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&gt;95.00</w:t>
            </w:r>
          </w:p>
        </w:tc>
        <w:tc>
          <w:tcPr>
            <w:tcW w:w="975"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[2]</w:t>
            </w:r>
          </w:p>
        </w:tc>
        <w:tc>
          <w:tcPr>
            <w:tcW w:w="1054" w:type="dxa"/>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预期性</w:t>
            </w:r>
          </w:p>
        </w:tc>
      </w:tr>
    </w:tbl>
    <w:p>
      <w:pPr>
        <w:pStyle w:val="3"/>
        <w:keepNext w:val="0"/>
        <w:keepLines w:val="0"/>
        <w:spacing w:before="0" w:after="0" w:line="580" w:lineRule="exact"/>
        <w:ind w:firstLine="480" w:firstLineChars="200"/>
        <w:jc w:val="both"/>
        <w:rPr>
          <w:rFonts w:ascii="Times New Roman" w:hAnsi="Times New Roman" w:eastAsia="仿宋_GB2312"/>
          <w:b w:val="0"/>
          <w:bCs/>
          <w:kern w:val="0"/>
          <w:sz w:val="24"/>
          <w:szCs w:val="24"/>
        </w:rPr>
      </w:pPr>
      <w:r>
        <w:rPr>
          <w:rFonts w:hint="eastAsia" w:ascii="Times New Roman" w:hAnsi="Times New Roman" w:eastAsia="仿宋_GB2312"/>
          <w:b w:val="0"/>
          <w:bCs/>
          <w:kern w:val="0"/>
          <w:sz w:val="24"/>
          <w:szCs w:val="24"/>
        </w:rPr>
        <w:t>注：[]代表5年累计变化数</w:t>
      </w:r>
    </w:p>
    <w:p>
      <w:pPr>
        <w:pStyle w:val="3"/>
        <w:keepNext w:val="0"/>
        <w:keepLines w:val="0"/>
        <w:spacing w:before="0" w:after="0" w:line="580" w:lineRule="exact"/>
        <w:rPr>
          <w:rFonts w:ascii="Times New Roman" w:hAnsi="Times New Roman" w:eastAsia="黑体"/>
          <w:b w:val="0"/>
          <w:color w:val="FF0000"/>
          <w:sz w:val="32"/>
          <w:szCs w:val="32"/>
        </w:rPr>
        <w:sectPr>
          <w:pgSz w:w="11906" w:h="16838"/>
          <w:pgMar w:top="1985" w:right="1474" w:bottom="1871" w:left="1588" w:header="851" w:footer="1474" w:gutter="0"/>
          <w:cols w:space="720" w:num="1"/>
          <w:docGrid w:type="lines" w:linePitch="408" w:charSpace="0"/>
        </w:sectPr>
      </w:pPr>
    </w:p>
    <w:p>
      <w:pPr>
        <w:pStyle w:val="3"/>
        <w:keepNext w:val="0"/>
        <w:keepLines w:val="0"/>
        <w:spacing w:before="0" w:after="0" w:line="580" w:lineRule="exact"/>
        <w:rPr>
          <w:rFonts w:ascii="Times New Roman" w:hAnsi="Times New Roman" w:eastAsia="仿宋_GB2312"/>
          <w:color w:val="000000"/>
          <w:sz w:val="32"/>
          <w:szCs w:val="32"/>
        </w:rPr>
      </w:pPr>
      <w:r>
        <w:rPr>
          <w:rFonts w:ascii="Times New Roman" w:hAnsi="Times New Roman" w:eastAsia="黑体"/>
          <w:b w:val="0"/>
          <w:color w:val="000000"/>
          <w:sz w:val="32"/>
          <w:szCs w:val="32"/>
        </w:rPr>
        <w:t>第三章</w:t>
      </w:r>
      <w:bookmarkEnd w:id="76"/>
      <w:r>
        <w:rPr>
          <w:rFonts w:ascii="Times New Roman" w:hAnsi="Times New Roman" w:eastAsia="黑体"/>
          <w:b w:val="0"/>
          <w:color w:val="000000"/>
          <w:sz w:val="32"/>
          <w:szCs w:val="32"/>
        </w:rPr>
        <w:t xml:space="preserve">  总体发展布局</w:t>
      </w:r>
      <w:bookmarkEnd w:id="77"/>
      <w:bookmarkEnd w:id="78"/>
      <w:bookmarkEnd w:id="79"/>
      <w:bookmarkEnd w:id="80"/>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统筹考虑淮北市各区域资源禀赋，按照区域比较优势、片区集中集约、规划衔接的要求，围绕特色优势主导产业全产业链融合和高质量发展，构建现代农业农村发展体系。</w:t>
      </w:r>
    </w:p>
    <w:p>
      <w:pPr>
        <w:pStyle w:val="4"/>
        <w:keepNext w:val="0"/>
        <w:keepLines w:val="0"/>
        <w:spacing w:before="0" w:after="0"/>
        <w:ind w:firstLine="640" w:firstLineChars="200"/>
        <w:rPr>
          <w:rFonts w:ascii="Times New Roman" w:hAnsi="Times New Roman" w:eastAsia="黑体"/>
          <w:b w:val="0"/>
          <w:bCs/>
          <w:color w:val="000000"/>
          <w:kern w:val="2"/>
          <w:szCs w:val="32"/>
        </w:rPr>
      </w:pPr>
      <w:bookmarkStart w:id="81" w:name="_Toc26479"/>
      <w:bookmarkStart w:id="82" w:name="_Toc1829"/>
      <w:bookmarkStart w:id="83" w:name="_Toc11546"/>
      <w:bookmarkStart w:id="84" w:name="_Toc4632"/>
      <w:r>
        <w:rPr>
          <w:rFonts w:ascii="Times New Roman" w:hAnsi="Times New Roman" w:eastAsia="黑体"/>
          <w:b w:val="0"/>
          <w:bCs/>
          <w:color w:val="000000"/>
          <w:kern w:val="2"/>
          <w:szCs w:val="32"/>
        </w:rPr>
        <w:t>一、</w:t>
      </w:r>
      <w:bookmarkEnd w:id="81"/>
      <w:bookmarkEnd w:id="82"/>
      <w:r>
        <w:rPr>
          <w:rFonts w:ascii="Times New Roman" w:hAnsi="Times New Roman" w:eastAsia="黑体"/>
          <w:b w:val="0"/>
          <w:bCs/>
          <w:color w:val="000000"/>
          <w:kern w:val="2"/>
          <w:szCs w:val="32"/>
        </w:rPr>
        <w:t>构建现代农业产业体系</w:t>
      </w:r>
      <w:bookmarkEnd w:id="83"/>
      <w:bookmarkEnd w:id="84"/>
    </w:p>
    <w:p>
      <w:pPr>
        <w:spacing w:before="0" w:after="0"/>
        <w:ind w:firstLine="643"/>
        <w:rPr>
          <w:rFonts w:ascii="Times New Roman" w:hAnsi="Times New Roman" w:eastAsia="仿宋_GB2312"/>
          <w:color w:val="000000"/>
          <w:sz w:val="32"/>
          <w:szCs w:val="32"/>
        </w:rPr>
      </w:pPr>
      <w:bookmarkStart w:id="85" w:name="_Toc18242"/>
      <w:r>
        <w:rPr>
          <w:rFonts w:ascii="Times New Roman" w:hAnsi="Times New Roman" w:eastAsia="楷体_GB2312"/>
          <w:b/>
          <w:bCs/>
          <w:color w:val="000000"/>
          <w:sz w:val="32"/>
          <w:szCs w:val="32"/>
        </w:rPr>
        <w:t>（一）立足国家制种大县优势，大力发展现代种业。</w:t>
      </w:r>
      <w:bookmarkEnd w:id="85"/>
      <w:r>
        <w:rPr>
          <w:rFonts w:ascii="Times New Roman" w:hAnsi="Times New Roman" w:eastAsia="仿宋_GB2312"/>
          <w:color w:val="000000"/>
          <w:sz w:val="32"/>
          <w:szCs w:val="32"/>
        </w:rPr>
        <w:t>以五铺农场为科研基地，开展小麦、</w:t>
      </w:r>
      <w:r>
        <w:rPr>
          <w:rFonts w:hint="eastAsia" w:ascii="Times New Roman" w:hAnsi="Times New Roman" w:eastAsia="仿宋_GB2312"/>
          <w:color w:val="000000"/>
          <w:sz w:val="32"/>
          <w:szCs w:val="32"/>
        </w:rPr>
        <w:t>优质</w:t>
      </w:r>
      <w:r>
        <w:rPr>
          <w:rFonts w:ascii="Times New Roman" w:hAnsi="Times New Roman" w:eastAsia="仿宋_GB2312"/>
          <w:color w:val="000000"/>
          <w:sz w:val="32"/>
          <w:szCs w:val="32"/>
        </w:rPr>
        <w:t>大豆、玉米等主要粮食作物及麻鸡、生猪等畜禽良种重大科研联合攻关。建立现代种业发展专项资金，大力支持种质资源保护与利用、龙头企业培育、育种创新、良种繁育与推广，打造“育繁推一体化”的大种业。</w:t>
      </w:r>
      <w:bookmarkStart w:id="86" w:name="_Toc21522"/>
    </w:p>
    <w:p>
      <w:pPr>
        <w:spacing w:before="0" w:after="0"/>
        <w:ind w:firstLine="643"/>
        <w:rPr>
          <w:rFonts w:ascii="Times New Roman" w:hAnsi="Times New Roman" w:eastAsia="仿宋_GB2312"/>
          <w:color w:val="000000"/>
          <w:sz w:val="32"/>
          <w:szCs w:val="32"/>
        </w:rPr>
      </w:pPr>
      <w:r>
        <w:rPr>
          <w:rFonts w:ascii="Times New Roman" w:hAnsi="Times New Roman" w:eastAsia="楷体_GB2312"/>
          <w:b/>
          <w:bCs/>
          <w:color w:val="000000"/>
          <w:sz w:val="32"/>
          <w:szCs w:val="32"/>
        </w:rPr>
        <w:t>（二）立足农村产业发展基础，提升重点产业发展能力。</w:t>
      </w:r>
      <w:bookmarkEnd w:id="86"/>
      <w:r>
        <w:rPr>
          <w:rFonts w:ascii="Times New Roman" w:hAnsi="Times New Roman" w:eastAsia="仿宋_GB2312"/>
          <w:color w:val="000000"/>
          <w:sz w:val="32"/>
          <w:szCs w:val="32"/>
        </w:rPr>
        <w:t>深入实施长三角绿色农产品生产加工供应基地建设“158”行动计划，推进农产品初加工、精深加工和综合利用加工“三加共进”。调整优化种植业结构，推进畜牧业转型升级，促进渔业持续健康发展，建设“一村一品”示范村镇、农业产业强镇。</w:t>
      </w:r>
    </w:p>
    <w:p>
      <w:pPr>
        <w:spacing w:before="0" w:after="0"/>
        <w:ind w:firstLine="643"/>
        <w:rPr>
          <w:rFonts w:ascii="Times New Roman" w:hAnsi="Times New Roman" w:eastAsia="仿宋_GB2312"/>
          <w:color w:val="000000"/>
          <w:sz w:val="32"/>
          <w:szCs w:val="32"/>
        </w:rPr>
      </w:pPr>
      <w:bookmarkStart w:id="87" w:name="_Toc1270"/>
      <w:r>
        <w:rPr>
          <w:rFonts w:ascii="Times New Roman" w:hAnsi="Times New Roman" w:eastAsia="楷体_GB2312"/>
          <w:b/>
          <w:bCs/>
          <w:color w:val="000000"/>
          <w:sz w:val="32"/>
          <w:szCs w:val="32"/>
        </w:rPr>
        <w:t>（三）立足农村产业体系，加快发展乡村新型服务业。</w:t>
      </w:r>
      <w:bookmarkEnd w:id="87"/>
      <w:r>
        <w:rPr>
          <w:rFonts w:ascii="Times New Roman" w:hAnsi="Times New Roman" w:eastAsia="仿宋_GB2312"/>
          <w:color w:val="000000"/>
          <w:sz w:val="32"/>
          <w:szCs w:val="32"/>
        </w:rPr>
        <w:t>适应农业生产规模化、标准化、机械化的趋势，加快发展农技推广、土地托管、代耕代种、烘干收储等农业生产性服务，提高服务水平，引导各类服务主体把服务网点延伸到乡村，丰富农村生活性服务业内容，大力发展农村电子商务。</w:t>
      </w:r>
    </w:p>
    <w:p>
      <w:pPr>
        <w:pStyle w:val="4"/>
        <w:keepNext w:val="0"/>
        <w:keepLines w:val="0"/>
        <w:spacing w:before="0" w:after="0"/>
        <w:ind w:firstLine="640" w:firstLineChars="200"/>
        <w:rPr>
          <w:rFonts w:ascii="Times New Roman" w:hAnsi="Times New Roman" w:eastAsia="黑体"/>
          <w:b w:val="0"/>
          <w:bCs/>
          <w:color w:val="000000"/>
          <w:kern w:val="2"/>
          <w:szCs w:val="32"/>
        </w:rPr>
      </w:pPr>
      <w:bookmarkStart w:id="88" w:name="_Toc6079"/>
      <w:bookmarkStart w:id="89" w:name="_Toc11687"/>
      <w:bookmarkStart w:id="90" w:name="_Toc9510"/>
      <w:r>
        <w:rPr>
          <w:rFonts w:ascii="Times New Roman" w:hAnsi="Times New Roman" w:eastAsia="黑体"/>
          <w:b w:val="0"/>
          <w:bCs/>
          <w:color w:val="000000"/>
          <w:kern w:val="2"/>
          <w:szCs w:val="32"/>
        </w:rPr>
        <w:t>二、</w:t>
      </w:r>
      <w:bookmarkEnd w:id="88"/>
      <w:r>
        <w:rPr>
          <w:rFonts w:ascii="Times New Roman" w:hAnsi="Times New Roman" w:eastAsia="黑体"/>
          <w:b w:val="0"/>
          <w:bCs/>
          <w:color w:val="000000"/>
          <w:kern w:val="2"/>
          <w:szCs w:val="32"/>
        </w:rPr>
        <w:t>优化农业空间布局</w:t>
      </w:r>
      <w:bookmarkEnd w:id="89"/>
      <w:bookmarkEnd w:id="90"/>
    </w:p>
    <w:p>
      <w:pPr>
        <w:spacing w:before="0" w:after="0"/>
        <w:ind w:firstLine="643"/>
        <w:rPr>
          <w:rFonts w:ascii="Times New Roman" w:hAnsi="Times New Roman" w:eastAsia="仿宋_GB2312"/>
          <w:color w:val="000000"/>
          <w:sz w:val="32"/>
          <w:szCs w:val="32"/>
        </w:rPr>
      </w:pPr>
      <w:bookmarkStart w:id="91" w:name="_Toc11449"/>
      <w:r>
        <w:rPr>
          <w:rFonts w:ascii="Times New Roman" w:hAnsi="Times New Roman" w:eastAsia="楷体_GB2312"/>
          <w:b/>
          <w:bCs/>
          <w:color w:val="000000"/>
          <w:sz w:val="32"/>
          <w:szCs w:val="32"/>
        </w:rPr>
        <w:t>（一）宿永路两侧良种繁育带。</w:t>
      </w:r>
      <w:r>
        <w:rPr>
          <w:rFonts w:ascii="Times New Roman" w:hAnsi="Times New Roman" w:eastAsia="仿宋_GB2312"/>
          <w:color w:val="000000"/>
          <w:sz w:val="32"/>
          <w:szCs w:val="32"/>
        </w:rPr>
        <w:t>在宿永路两侧，充分利用地力资源，建设规模化、标准化、机械化、集约化、信息化的“五化”育种基地。依托企业和科研院所，大力开展新品种试验示范推广及优质种苗培育供应等，形成规模稳定，制种高产稳产的良种繁育带。</w:t>
      </w:r>
    </w:p>
    <w:p>
      <w:pPr>
        <w:spacing w:before="0" w:after="0"/>
        <w:ind w:firstLine="643"/>
        <w:rPr>
          <w:rFonts w:ascii="Times New Roman" w:hAnsi="Times New Roman" w:eastAsia="仿宋_GB2312"/>
          <w:color w:val="000000"/>
          <w:sz w:val="32"/>
          <w:szCs w:val="32"/>
        </w:rPr>
      </w:pPr>
      <w:r>
        <w:rPr>
          <w:rFonts w:ascii="Times New Roman" w:hAnsi="Times New Roman" w:eastAsia="楷体_GB2312"/>
          <w:b/>
          <w:bCs/>
          <w:color w:val="000000"/>
          <w:sz w:val="32"/>
          <w:szCs w:val="32"/>
        </w:rPr>
        <w:t>（二）宿永路以南粮畜功能区。</w:t>
      </w:r>
      <w:r>
        <w:rPr>
          <w:rFonts w:ascii="Times New Roman" w:hAnsi="Times New Roman" w:eastAsia="仿宋_GB2312"/>
          <w:color w:val="000000"/>
          <w:sz w:val="32"/>
          <w:szCs w:val="32"/>
        </w:rPr>
        <w:t>在宿永路以南区域，稳定小麦</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发展</w:t>
      </w:r>
      <w:r>
        <w:rPr>
          <w:rFonts w:hint="eastAsia" w:ascii="Times New Roman" w:hAnsi="Times New Roman" w:eastAsia="仿宋_GB2312"/>
          <w:color w:val="000000"/>
          <w:sz w:val="32"/>
          <w:szCs w:val="32"/>
        </w:rPr>
        <w:t>优质</w:t>
      </w:r>
      <w:r>
        <w:rPr>
          <w:rFonts w:ascii="Times New Roman" w:hAnsi="Times New Roman" w:eastAsia="仿宋_GB2312"/>
          <w:color w:val="000000"/>
          <w:sz w:val="32"/>
          <w:szCs w:val="32"/>
        </w:rPr>
        <w:t>大豆</w:t>
      </w:r>
      <w:r>
        <w:rPr>
          <w:rFonts w:hint="eastAsia" w:ascii="Times New Roman" w:hAnsi="Times New Roman" w:eastAsia="仿宋_GB2312"/>
          <w:color w:val="000000"/>
          <w:sz w:val="32"/>
          <w:szCs w:val="32"/>
        </w:rPr>
        <w:t>及大豆玉米带状种植，</w:t>
      </w:r>
      <w:r>
        <w:rPr>
          <w:rFonts w:ascii="Times New Roman" w:hAnsi="Times New Roman" w:eastAsia="仿宋_GB2312"/>
          <w:color w:val="000000"/>
          <w:sz w:val="32"/>
          <w:szCs w:val="32"/>
        </w:rPr>
        <w:t>适度扩大杂粮、薯类，着力建设4大品牌粮食（良种）生产基地。进一步实施绿色畜牧业发展行动，开展水产绿色健康养殖，加大种养循环，形成主要的粮畜生产功能区。</w:t>
      </w:r>
    </w:p>
    <w:p>
      <w:pPr>
        <w:spacing w:before="0" w:after="0"/>
        <w:ind w:firstLine="643"/>
        <w:rPr>
          <w:rFonts w:ascii="Times New Roman" w:hAnsi="Times New Roman" w:eastAsia="仿宋_GB2312"/>
          <w:color w:val="000000"/>
          <w:sz w:val="32"/>
          <w:szCs w:val="32"/>
        </w:rPr>
      </w:pPr>
      <w:bookmarkStart w:id="92" w:name="_Toc15120"/>
      <w:r>
        <w:rPr>
          <w:rFonts w:ascii="Times New Roman" w:hAnsi="Times New Roman" w:eastAsia="楷体_GB2312"/>
          <w:b/>
          <w:bCs/>
          <w:color w:val="000000"/>
          <w:sz w:val="32"/>
          <w:szCs w:val="32"/>
        </w:rPr>
        <w:t>（三）东部沿山优质</w:t>
      </w:r>
      <w:r>
        <w:rPr>
          <w:rFonts w:hint="eastAsia" w:ascii="Times New Roman" w:hAnsi="Times New Roman" w:eastAsia="楷体_GB2312"/>
          <w:b/>
          <w:bCs/>
          <w:color w:val="000000"/>
          <w:sz w:val="32"/>
          <w:szCs w:val="32"/>
        </w:rPr>
        <w:t>水果产业</w:t>
      </w:r>
      <w:r>
        <w:rPr>
          <w:rFonts w:ascii="Times New Roman" w:hAnsi="Times New Roman" w:eastAsia="楷体_GB2312"/>
          <w:b/>
          <w:bCs/>
          <w:color w:val="000000"/>
          <w:sz w:val="32"/>
          <w:szCs w:val="32"/>
        </w:rPr>
        <w:t>带</w:t>
      </w:r>
      <w:bookmarkEnd w:id="92"/>
      <w:r>
        <w:rPr>
          <w:rFonts w:ascii="Times New Roman" w:hAnsi="Times New Roman" w:eastAsia="楷体_GB2312"/>
          <w:b/>
          <w:bCs/>
          <w:color w:val="000000"/>
          <w:sz w:val="32"/>
          <w:szCs w:val="32"/>
        </w:rPr>
        <w:t>。</w:t>
      </w:r>
      <w:r>
        <w:rPr>
          <w:rFonts w:ascii="Times New Roman" w:hAnsi="Times New Roman" w:eastAsia="仿宋_GB2312"/>
          <w:color w:val="000000"/>
          <w:sz w:val="32"/>
          <w:szCs w:val="32"/>
        </w:rPr>
        <w:t>在东部沿山地区，充分利用山地资源优势建设生态精品基地，重点发展石榴、葡萄、笆斗杏、灵枣、苹果等地方特色水果，与休闲观光旅游相结合，形成东部沿山优质</w:t>
      </w:r>
      <w:r>
        <w:rPr>
          <w:rFonts w:hint="eastAsia" w:ascii="Times New Roman" w:hAnsi="Times New Roman" w:eastAsia="仿宋_GB2312"/>
          <w:color w:val="000000"/>
          <w:sz w:val="32"/>
          <w:szCs w:val="32"/>
        </w:rPr>
        <w:t>水果产业</w:t>
      </w:r>
      <w:r>
        <w:rPr>
          <w:rFonts w:ascii="Times New Roman" w:hAnsi="Times New Roman" w:eastAsia="仿宋_GB2312"/>
          <w:color w:val="000000"/>
          <w:sz w:val="32"/>
          <w:szCs w:val="32"/>
        </w:rPr>
        <w:t>带。</w:t>
      </w:r>
    </w:p>
    <w:p>
      <w:pPr>
        <w:spacing w:before="0" w:after="0"/>
        <w:ind w:firstLine="643"/>
        <w:rPr>
          <w:rFonts w:ascii="Times New Roman" w:hAnsi="Times New Roman" w:eastAsia="仿宋_GB2312"/>
          <w:color w:val="000000"/>
          <w:sz w:val="32"/>
          <w:szCs w:val="32"/>
        </w:rPr>
      </w:pPr>
      <w:r>
        <w:rPr>
          <w:rFonts w:ascii="Times New Roman" w:hAnsi="Times New Roman" w:eastAsia="楷体_GB2312"/>
          <w:b/>
          <w:bCs/>
          <w:color w:val="000000"/>
          <w:sz w:val="32"/>
          <w:szCs w:val="32"/>
        </w:rPr>
        <w:t>（四）环市区城郊农业圈。</w:t>
      </w:r>
      <w:bookmarkEnd w:id="91"/>
      <w:r>
        <w:rPr>
          <w:rFonts w:ascii="Times New Roman" w:hAnsi="Times New Roman" w:eastAsia="仿宋_GB2312"/>
          <w:color w:val="000000"/>
          <w:sz w:val="32"/>
          <w:szCs w:val="32"/>
        </w:rPr>
        <w:t>在市区周边，利用地理区位发展以服务城区为基本功能的城郊农业。强化农业科技园、现代农业综合示范园区以及田园综合体的建设，充分将物联网技术运用到传统农业中，实现数字化、智能化、集约化、生态化生产，搭建农业电子商务平台，拓宽“淮优”农产品销售渠道。进一步优化产业园区、农业科技园区环境，增设游玩设备，发展农业休闲旅游，带动农民增收。</w:t>
      </w:r>
      <w:bookmarkStart w:id="93" w:name="_Toc3260"/>
    </w:p>
    <w:bookmarkEnd w:id="93"/>
    <w:p>
      <w:pPr>
        <w:pStyle w:val="4"/>
        <w:keepNext w:val="0"/>
        <w:keepLines w:val="0"/>
        <w:spacing w:before="0" w:after="0"/>
        <w:ind w:firstLine="640" w:firstLineChars="200"/>
        <w:rPr>
          <w:rFonts w:ascii="Times New Roman" w:hAnsi="Times New Roman" w:eastAsia="黑体"/>
          <w:b w:val="0"/>
          <w:bCs/>
          <w:color w:val="000000"/>
          <w:kern w:val="2"/>
          <w:szCs w:val="32"/>
        </w:rPr>
      </w:pPr>
      <w:bookmarkStart w:id="94" w:name="_Toc32103"/>
      <w:bookmarkStart w:id="95" w:name="_Toc11787"/>
      <w:r>
        <w:rPr>
          <w:rFonts w:ascii="Times New Roman" w:hAnsi="Times New Roman" w:eastAsia="黑体"/>
          <w:b w:val="0"/>
          <w:bCs/>
          <w:color w:val="000000"/>
          <w:kern w:val="2"/>
          <w:szCs w:val="32"/>
        </w:rPr>
        <w:t>三、强化乡村建设布局</w:t>
      </w:r>
      <w:bookmarkEnd w:id="94"/>
      <w:bookmarkEnd w:id="95"/>
      <w:bookmarkStart w:id="96" w:name="_Toc23585"/>
    </w:p>
    <w:p>
      <w:pPr>
        <w:spacing w:before="0" w:after="0"/>
        <w:ind w:firstLine="643"/>
        <w:rPr>
          <w:rFonts w:ascii="Times New Roman" w:hAnsi="Times New Roman" w:eastAsia="仿宋_GB2312"/>
          <w:color w:val="000000"/>
          <w:sz w:val="32"/>
          <w:szCs w:val="32"/>
        </w:rPr>
      </w:pPr>
      <w:r>
        <w:rPr>
          <w:rFonts w:ascii="Times New Roman" w:hAnsi="Times New Roman" w:eastAsia="楷体_GB2312"/>
          <w:b/>
          <w:bCs/>
          <w:color w:val="000000"/>
          <w:sz w:val="32"/>
          <w:szCs w:val="32"/>
        </w:rPr>
        <w:t>（一）乡村体系</w:t>
      </w:r>
      <w:bookmarkEnd w:id="96"/>
      <w:r>
        <w:rPr>
          <w:rFonts w:ascii="Times New Roman" w:hAnsi="Times New Roman" w:eastAsia="楷体_GB2312"/>
          <w:b/>
          <w:bCs/>
          <w:color w:val="000000"/>
          <w:sz w:val="32"/>
          <w:szCs w:val="32"/>
        </w:rPr>
        <w:t>。</w:t>
      </w:r>
      <w:r>
        <w:rPr>
          <w:rFonts w:ascii="Times New Roman" w:hAnsi="Times New Roman" w:eastAsia="仿宋_GB2312"/>
          <w:color w:val="000000"/>
          <w:sz w:val="32"/>
          <w:szCs w:val="32"/>
        </w:rPr>
        <w:t>加快县域内城乡融合发展，以城带镇、以镇促村，构建重点镇、一般乡镇、中心村、自然村四个等级的乡村居住体系。</w:t>
      </w:r>
    </w:p>
    <w:p>
      <w:pPr>
        <w:spacing w:before="0" w:after="0"/>
        <w:ind w:firstLine="643"/>
        <w:rPr>
          <w:rFonts w:ascii="Times New Roman" w:hAnsi="Times New Roman" w:eastAsia="仿宋_GB2312"/>
          <w:color w:val="000000"/>
          <w:sz w:val="32"/>
          <w:szCs w:val="32"/>
        </w:rPr>
      </w:pPr>
      <w:bookmarkStart w:id="97" w:name="_Toc21611"/>
      <w:r>
        <w:rPr>
          <w:rFonts w:ascii="Times New Roman" w:hAnsi="Times New Roman" w:eastAsia="楷体_GB2312"/>
          <w:b/>
          <w:bCs/>
          <w:color w:val="000000"/>
          <w:sz w:val="32"/>
          <w:szCs w:val="32"/>
        </w:rPr>
        <w:t>（二）空间分区</w:t>
      </w:r>
      <w:bookmarkEnd w:id="97"/>
      <w:r>
        <w:rPr>
          <w:rFonts w:ascii="Times New Roman" w:hAnsi="Times New Roman" w:eastAsia="楷体_GB2312"/>
          <w:b/>
          <w:bCs/>
          <w:color w:val="000000"/>
          <w:sz w:val="32"/>
          <w:szCs w:val="32"/>
        </w:rPr>
        <w:t>。</w:t>
      </w:r>
      <w:r>
        <w:rPr>
          <w:rFonts w:ascii="Times New Roman" w:hAnsi="Times New Roman" w:eastAsia="仿宋_GB2312"/>
          <w:color w:val="000000"/>
          <w:sz w:val="32"/>
          <w:szCs w:val="32"/>
        </w:rPr>
        <w:t>以农村人居环境整治和现代农业发展为重点，按照中心村平均服务常住人口3000人规模确定配套设施，原则上中心村集聚人口规模不少于1000人，通过美丽乡村建设打造更具田园风光的平原地区乡村风貌。</w:t>
      </w:r>
    </w:p>
    <w:p>
      <w:pPr>
        <w:spacing w:before="0" w:after="0"/>
        <w:ind w:firstLine="643"/>
        <w:rPr>
          <w:rFonts w:ascii="Times New Roman" w:hAnsi="Times New Roman" w:eastAsia="仿宋_GB2312"/>
          <w:color w:val="000000"/>
          <w:sz w:val="32"/>
          <w:szCs w:val="32"/>
        </w:rPr>
      </w:pPr>
      <w:bookmarkStart w:id="98" w:name="_Toc17950"/>
      <w:r>
        <w:rPr>
          <w:rFonts w:ascii="Times New Roman" w:hAnsi="Times New Roman" w:eastAsia="楷体_GB2312"/>
          <w:b/>
          <w:bCs/>
          <w:color w:val="000000"/>
          <w:sz w:val="32"/>
          <w:szCs w:val="32"/>
        </w:rPr>
        <w:t>（三）分类推进</w:t>
      </w:r>
      <w:bookmarkEnd w:id="98"/>
      <w:r>
        <w:rPr>
          <w:rFonts w:ascii="Times New Roman" w:hAnsi="Times New Roman" w:eastAsia="楷体_GB2312"/>
          <w:b/>
          <w:bCs/>
          <w:color w:val="000000"/>
          <w:sz w:val="32"/>
          <w:szCs w:val="32"/>
        </w:rPr>
        <w:t>。</w:t>
      </w:r>
      <w:r>
        <w:rPr>
          <w:rFonts w:ascii="Times New Roman" w:hAnsi="Times New Roman" w:eastAsia="仿宋_GB2312"/>
          <w:color w:val="000000"/>
          <w:sz w:val="32"/>
          <w:szCs w:val="32"/>
        </w:rPr>
        <w:t>相山区、烈山区为乡村振兴全域推进类，全域高起点高标准推进美丽乡村建设。濉溪县、杜集区为乡村振兴串点成带类，沿县域主要发展廊道和特色旅游线路上的集聚提升类村庄实现美丽乡村建设全覆盖。</w:t>
      </w:r>
    </w:p>
    <w:p>
      <w:pPr>
        <w:pStyle w:val="3"/>
        <w:keepNext w:val="0"/>
        <w:keepLines w:val="0"/>
        <w:spacing w:before="0" w:after="0" w:line="560" w:lineRule="exact"/>
        <w:rPr>
          <w:rFonts w:ascii="Times New Roman" w:hAnsi="Times New Roman" w:eastAsia="黑体"/>
          <w:b w:val="0"/>
          <w:color w:val="000000"/>
          <w:sz w:val="32"/>
          <w:szCs w:val="32"/>
        </w:rPr>
      </w:pPr>
      <w:bookmarkStart w:id="99" w:name="_Toc23343"/>
      <w:bookmarkStart w:id="100" w:name="_Toc17555"/>
      <w:bookmarkStart w:id="101" w:name="_Toc13563"/>
    </w:p>
    <w:p>
      <w:pPr>
        <w:pStyle w:val="3"/>
        <w:keepNext w:val="0"/>
        <w:keepLines w:val="0"/>
        <w:spacing w:before="0" w:after="0" w:line="560" w:lineRule="exact"/>
        <w:rPr>
          <w:rFonts w:ascii="Times New Roman" w:hAnsi="Times New Roman" w:eastAsia="黑体"/>
          <w:b w:val="0"/>
          <w:color w:val="000000"/>
          <w:sz w:val="32"/>
          <w:szCs w:val="32"/>
        </w:rPr>
      </w:pPr>
      <w:r>
        <w:rPr>
          <w:rFonts w:ascii="Times New Roman" w:hAnsi="Times New Roman" w:eastAsia="黑体"/>
          <w:b w:val="0"/>
          <w:color w:val="000000"/>
          <w:sz w:val="32"/>
          <w:szCs w:val="32"/>
        </w:rPr>
        <w:t>第四章  重点任务</w:t>
      </w:r>
      <w:bookmarkEnd w:id="99"/>
      <w:bookmarkEnd w:id="100"/>
      <w:bookmarkEnd w:id="101"/>
    </w:p>
    <w:p>
      <w:pPr>
        <w:pStyle w:val="4"/>
        <w:keepNext w:val="0"/>
        <w:keepLines w:val="0"/>
        <w:spacing w:before="0" w:after="0"/>
        <w:ind w:firstLine="640" w:firstLineChars="200"/>
        <w:rPr>
          <w:rFonts w:ascii="Times New Roman" w:hAnsi="Times New Roman" w:eastAsia="黑体"/>
          <w:b w:val="0"/>
          <w:color w:val="000000"/>
          <w:szCs w:val="32"/>
        </w:rPr>
      </w:pPr>
      <w:bookmarkStart w:id="102" w:name="_Toc27518"/>
      <w:bookmarkStart w:id="103" w:name="_Toc12984"/>
      <w:bookmarkStart w:id="104" w:name="_Toc12885"/>
      <w:r>
        <w:rPr>
          <w:rFonts w:ascii="Times New Roman" w:hAnsi="Times New Roman" w:eastAsia="黑体"/>
          <w:b w:val="0"/>
          <w:color w:val="000000"/>
          <w:szCs w:val="32"/>
        </w:rPr>
        <w:t>一、全面推进乡村振兴</w:t>
      </w:r>
      <w:bookmarkEnd w:id="102"/>
      <w:bookmarkEnd w:id="103"/>
      <w:bookmarkEnd w:id="104"/>
    </w:p>
    <w:p>
      <w:pPr>
        <w:spacing w:before="0" w:after="0"/>
        <w:ind w:firstLine="640"/>
        <w:rPr>
          <w:rFonts w:ascii="Times New Roman" w:hAnsi="Times New Roman" w:eastAsia="仿宋_GB2312"/>
          <w:color w:val="000000"/>
          <w:sz w:val="32"/>
          <w:szCs w:val="32"/>
        </w:rPr>
      </w:pPr>
      <w:bookmarkStart w:id="105" w:name="_Toc26067"/>
      <w:bookmarkStart w:id="106" w:name="_Toc10365"/>
      <w:bookmarkStart w:id="107" w:name="_Toc11880"/>
      <w:r>
        <w:rPr>
          <w:rFonts w:ascii="Times New Roman" w:hAnsi="Times New Roman" w:eastAsia="仿宋_GB2312"/>
          <w:color w:val="000000"/>
          <w:sz w:val="32"/>
          <w:szCs w:val="32"/>
        </w:rPr>
        <w:t>分类梯次推进乡村振兴。对标长三角先发地区，根据不同村庄的发展现状、区位条件、资源禀赋等，坚持因地制宜、精准施策，科学谋划，按时序梯次推进各项重点任务。到2025年，乡村产业质量效益和竞争力进一步提高，农村基础设施和基本公共服务水平进一步提升，生态环境持续改善，美丽宜居乡村建设扎实推进，乡风文明建设取得显著进展，农村基层组织建设不断加强。巩固拓展脱贫攻坚成果同乡村振兴有效衔接。按照兜底线、织密网、建机制的要求，健全防止返贫动态监测和精准帮扶机制，全面建成覆盖全民、城乡统筹、权责清晰、保障适度、可持续的多层次社会保障体系，切实抓好巩固提升</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按照“接续保留一批、调整完善一批、转换退出一批”的思路，推动脱贫攻坚特惠政策转变为乡村振兴普惠政策。到20</w:t>
      </w:r>
      <w:r>
        <w:rPr>
          <w:rFonts w:hint="eastAsia" w:ascii="Times New Roman" w:hAnsi="Times New Roman" w:eastAsia="仿宋_GB2312"/>
          <w:color w:val="000000"/>
          <w:sz w:val="32"/>
          <w:szCs w:val="32"/>
        </w:rPr>
        <w:t>2</w:t>
      </w:r>
      <w:r>
        <w:rPr>
          <w:rFonts w:ascii="Times New Roman" w:hAnsi="Times New Roman" w:eastAsia="仿宋_GB2312"/>
          <w:color w:val="000000"/>
          <w:sz w:val="32"/>
          <w:szCs w:val="32"/>
        </w:rPr>
        <w:t>5年，脱贫攻坚成果巩固拓展，农村低收入人口分类帮扶长效机制逐步完善。</w:t>
      </w:r>
    </w:p>
    <w:p>
      <w:pPr>
        <w:pStyle w:val="4"/>
        <w:keepNext w:val="0"/>
        <w:keepLines w:val="0"/>
        <w:spacing w:before="0" w:after="0"/>
        <w:ind w:firstLine="640" w:firstLineChars="200"/>
        <w:rPr>
          <w:rFonts w:ascii="Times New Roman" w:hAnsi="Times New Roman" w:eastAsia="黑体"/>
          <w:b w:val="0"/>
          <w:color w:val="000000"/>
          <w:szCs w:val="32"/>
        </w:rPr>
      </w:pPr>
      <w:r>
        <w:rPr>
          <w:rFonts w:ascii="Times New Roman" w:hAnsi="Times New Roman" w:eastAsia="黑体"/>
          <w:b w:val="0"/>
          <w:color w:val="000000"/>
          <w:szCs w:val="32"/>
        </w:rPr>
        <w:t>二、</w:t>
      </w:r>
      <w:bookmarkEnd w:id="105"/>
      <w:bookmarkEnd w:id="106"/>
      <w:bookmarkEnd w:id="107"/>
      <w:r>
        <w:rPr>
          <w:rFonts w:ascii="Times New Roman" w:hAnsi="Times New Roman" w:eastAsia="黑体"/>
          <w:b w:val="0"/>
          <w:color w:val="000000"/>
          <w:szCs w:val="32"/>
        </w:rPr>
        <w:t>强化保障重要农产品供给</w:t>
      </w:r>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提升供给保障能力。深入实施藏粮于地、藏粮于技战略，严守耕地红线，全面落实永久基本农田特殊保护制度，深入实施耕地质量保护和提升行动，高标准建设171.8万亩粮食生产功能区和80万亩重要农产品生产保护区，到2025年</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建成高标准农田</w:t>
      </w:r>
      <w:r>
        <w:rPr>
          <w:rFonts w:hint="eastAsia" w:ascii="Times New Roman" w:hAnsi="Times New Roman" w:eastAsia="仿宋_GB2312"/>
          <w:color w:val="000000"/>
          <w:sz w:val="32"/>
          <w:szCs w:val="32"/>
        </w:rPr>
        <w:t>203.89</w:t>
      </w:r>
      <w:r>
        <w:rPr>
          <w:rFonts w:ascii="Times New Roman" w:hAnsi="Times New Roman" w:eastAsia="仿宋_GB2312"/>
          <w:color w:val="000000"/>
          <w:sz w:val="32"/>
          <w:szCs w:val="32"/>
        </w:rPr>
        <w:t>万亩，粮食播种面积稳定在412.76万亩，种植业结构持续优化。强化菜篮子市长负责制。大力发展设施蔬菜，新建一批蔬菜生产基地。推行蔬菜规模化种植、标准化生产、商品化处理、品牌化销售、产业化经营，实现蔬菜生产由保供向产业转化。做大畜禽产业，实施奶业振兴行动，打造长三角地区重要生猪、家禽、牛奶供应基地。开展水产绿色健康养殖，提高优质特色养殖比重。到2025年，生猪出栏量120万头以上，肉蛋奶总产量21.8万吨以上，水产品总产量2.6万吨以上。规模养殖比重达到85%以上，畜禽养殖标准化示范场100家以上。</w:t>
      </w:r>
    </w:p>
    <w:p>
      <w:pPr>
        <w:pStyle w:val="4"/>
        <w:keepNext w:val="0"/>
        <w:keepLines w:val="0"/>
        <w:spacing w:before="0" w:after="0"/>
        <w:ind w:firstLine="640" w:firstLineChars="200"/>
        <w:rPr>
          <w:rFonts w:ascii="Times New Roman" w:hAnsi="Times New Roman" w:eastAsia="黑体"/>
          <w:b w:val="0"/>
          <w:color w:val="000000"/>
          <w:szCs w:val="32"/>
        </w:rPr>
      </w:pPr>
      <w:bookmarkStart w:id="108" w:name="_Toc57579516"/>
      <w:bookmarkStart w:id="109" w:name="_Toc6486"/>
      <w:bookmarkStart w:id="110" w:name="_Toc23997"/>
      <w:bookmarkStart w:id="111" w:name="_Toc9473"/>
      <w:r>
        <w:rPr>
          <w:rFonts w:ascii="Times New Roman" w:hAnsi="Times New Roman" w:eastAsia="黑体"/>
          <w:b w:val="0"/>
          <w:color w:val="000000"/>
          <w:szCs w:val="32"/>
        </w:rPr>
        <w:t>三、</w:t>
      </w:r>
      <w:bookmarkEnd w:id="108"/>
      <w:r>
        <w:rPr>
          <w:rFonts w:ascii="Times New Roman" w:hAnsi="Times New Roman" w:eastAsia="黑体"/>
          <w:b w:val="0"/>
          <w:color w:val="000000"/>
          <w:szCs w:val="32"/>
        </w:rPr>
        <w:t>稳步提升</w:t>
      </w:r>
      <w:bookmarkEnd w:id="109"/>
      <w:r>
        <w:rPr>
          <w:rFonts w:ascii="Times New Roman" w:hAnsi="Times New Roman" w:eastAsia="黑体"/>
          <w:b w:val="0"/>
          <w:color w:val="000000"/>
          <w:szCs w:val="32"/>
        </w:rPr>
        <w:t>农业产业化水平</w:t>
      </w:r>
      <w:bookmarkEnd w:id="110"/>
      <w:bookmarkEnd w:id="111"/>
    </w:p>
    <w:p>
      <w:pPr>
        <w:spacing w:before="0" w:after="0"/>
        <w:ind w:firstLine="640"/>
        <w:rPr>
          <w:rFonts w:ascii="Times New Roman" w:hAnsi="Times New Roman" w:eastAsia="仿宋_GB2312"/>
          <w:color w:val="000000"/>
          <w:sz w:val="32"/>
          <w:szCs w:val="32"/>
        </w:rPr>
      </w:pPr>
      <w:bookmarkStart w:id="112" w:name="_Toc31409"/>
      <w:bookmarkStart w:id="113" w:name="_Toc18228"/>
      <w:bookmarkStart w:id="114" w:name="_Toc29228"/>
      <w:r>
        <w:rPr>
          <w:rFonts w:ascii="Times New Roman" w:hAnsi="Times New Roman" w:eastAsia="仿宋_GB2312"/>
          <w:color w:val="000000"/>
          <w:sz w:val="32"/>
          <w:szCs w:val="32"/>
        </w:rPr>
        <w:t>围绕粮油、畜禽、水产、果蔬四大产业，扎实开展“一县一业（特）”全产业链创建，深入实施农产品加工业“五个一批”工程，着力构建面粉和饲料等粮食加工、家禽和生猪等畜禽屠宰加工两大产业集群。到2025年，每个县区至少重点培育一个优势主导</w:t>
      </w:r>
      <w:r>
        <w:rPr>
          <w:rFonts w:hint="eastAsia" w:ascii="Times New Roman" w:hAnsi="Times New Roman" w:eastAsia="仿宋_GB2312"/>
          <w:color w:val="000000"/>
          <w:sz w:val="32"/>
          <w:szCs w:val="32"/>
        </w:rPr>
        <w:t>产业</w:t>
      </w:r>
      <w:r>
        <w:rPr>
          <w:rFonts w:ascii="Times New Roman" w:hAnsi="Times New Roman" w:eastAsia="仿宋_GB2312"/>
          <w:color w:val="000000"/>
          <w:sz w:val="32"/>
          <w:szCs w:val="32"/>
        </w:rPr>
        <w:t>，全市建立省级长三角绿色农产品加工供应示范基地20个以上。充分发挥百善、凤凰山、高岳、榴园等现有省级现代农业产业园示范带动作用，积极创建国家级、省级现代农业产业园</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到2025年</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农产品加工总产值超过1040亿元，农产品加工产值和农业总产值比达到全省平均水平。</w:t>
      </w:r>
      <w:r>
        <w:rPr>
          <w:rFonts w:hint="eastAsia" w:ascii="Times New Roman" w:hAnsi="Times New Roman" w:eastAsia="仿宋_GB2312"/>
          <w:color w:val="000000"/>
          <w:sz w:val="32"/>
          <w:szCs w:val="32"/>
        </w:rPr>
        <w:t>力争</w:t>
      </w:r>
      <w:r>
        <w:rPr>
          <w:rFonts w:ascii="Times New Roman" w:hAnsi="Times New Roman" w:eastAsia="仿宋_GB2312"/>
          <w:color w:val="000000"/>
          <w:sz w:val="32"/>
          <w:szCs w:val="32"/>
        </w:rPr>
        <w:t>新增省级现代农业产业园1-2家，国家级现代农业产业园1家，重点培育百亿元农业产业化龙头企业1家。大力发展新产业新业态，支持新型农业经营主体开展数字化应用，推进种植业、畜牧业、农产品加工业等生产过程数字化转型升级。实施休闲农业和乡村旅游精品工程，重点打造一批彰显产业特色、凸显人文底蕴、引领区域创新发展的三产融合特色小镇。到2025年</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创建省级休闲农业和乡村旅游示范园区6个。</w:t>
      </w:r>
    </w:p>
    <w:p>
      <w:pPr>
        <w:pStyle w:val="4"/>
        <w:keepNext w:val="0"/>
        <w:keepLines w:val="0"/>
        <w:spacing w:before="0" w:after="0"/>
        <w:ind w:firstLine="640" w:firstLineChars="200"/>
        <w:rPr>
          <w:rFonts w:ascii="Times New Roman" w:hAnsi="Times New Roman" w:eastAsia="黑体"/>
          <w:b w:val="0"/>
          <w:color w:val="000000"/>
          <w:szCs w:val="32"/>
        </w:rPr>
      </w:pPr>
      <w:r>
        <w:rPr>
          <w:rFonts w:ascii="Times New Roman" w:hAnsi="Times New Roman" w:eastAsia="黑体"/>
          <w:b w:val="0"/>
          <w:color w:val="000000"/>
          <w:szCs w:val="32"/>
        </w:rPr>
        <w:t>四、</w:t>
      </w:r>
      <w:bookmarkEnd w:id="112"/>
      <w:bookmarkEnd w:id="113"/>
      <w:r>
        <w:rPr>
          <w:rFonts w:ascii="Times New Roman" w:hAnsi="Times New Roman" w:eastAsia="黑体"/>
          <w:b w:val="0"/>
          <w:color w:val="000000"/>
          <w:szCs w:val="32"/>
        </w:rPr>
        <w:t>推进</w:t>
      </w:r>
      <w:r>
        <w:rPr>
          <w:rFonts w:hint="eastAsia" w:ascii="Times New Roman" w:hAnsi="Times New Roman" w:eastAsia="黑体"/>
          <w:b w:val="0"/>
          <w:color w:val="000000"/>
          <w:szCs w:val="32"/>
        </w:rPr>
        <w:t>科技强农机械强农</w:t>
      </w:r>
    </w:p>
    <w:p>
      <w:pPr>
        <w:spacing w:before="0" w:after="0"/>
        <w:ind w:firstLine="640"/>
        <w:rPr>
          <w:rFonts w:ascii="Times New Roman" w:hAnsi="Times New Roman" w:eastAsia="仿宋_GB2312"/>
          <w:color w:val="000000"/>
          <w:sz w:val="32"/>
          <w:szCs w:val="32"/>
        </w:rPr>
      </w:pPr>
      <w:bookmarkStart w:id="115" w:name="_Toc17758"/>
      <w:bookmarkStart w:id="116" w:name="_Toc10716"/>
      <w:r>
        <w:rPr>
          <w:rFonts w:ascii="Times New Roman" w:hAnsi="Times New Roman" w:eastAsia="仿宋_GB2312"/>
          <w:color w:val="000000"/>
          <w:sz w:val="32"/>
          <w:szCs w:val="32"/>
        </w:rPr>
        <w:t>大力推广新品种、新技术、新模式、新装备，</w:t>
      </w:r>
      <w:r>
        <w:rPr>
          <w:rFonts w:hint="eastAsia" w:ascii="Times New Roman" w:hAnsi="Times New Roman" w:eastAsia="仿宋_GB2312"/>
          <w:color w:val="000000"/>
          <w:sz w:val="32"/>
          <w:szCs w:val="32"/>
        </w:rPr>
        <w:t>建立农产学研定期对接和会商机制，</w:t>
      </w:r>
      <w:r>
        <w:rPr>
          <w:rFonts w:ascii="Times New Roman" w:hAnsi="Times New Roman" w:eastAsia="仿宋_GB2312"/>
          <w:color w:val="000000"/>
          <w:sz w:val="32"/>
          <w:szCs w:val="32"/>
        </w:rPr>
        <w:t>推进淮北市农业科学院、中药配方颗粒重点实验室建设，支持大自然种猪场与安徽农业大学合作成立华系生猪研究院</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实施种业强市建设行动，支持濉溪</w:t>
      </w:r>
      <w:r>
        <w:rPr>
          <w:rFonts w:hint="eastAsia" w:ascii="Times New Roman" w:hAnsi="Times New Roman" w:eastAsia="仿宋_GB2312"/>
          <w:color w:val="000000"/>
          <w:sz w:val="32"/>
          <w:szCs w:val="32"/>
        </w:rPr>
        <w:t>县</w:t>
      </w:r>
      <w:r>
        <w:rPr>
          <w:rFonts w:ascii="Times New Roman" w:hAnsi="Times New Roman" w:eastAsia="仿宋_GB2312"/>
          <w:color w:val="000000"/>
          <w:sz w:val="32"/>
          <w:szCs w:val="32"/>
        </w:rPr>
        <w:t>打造“种业强县”</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巩固提升濉溪县国家级小麦、省级大豆区域性良种繁育基地生产能力，标准化良种繁育面积稳定在60万亩。依托标王农牧、翔凤禽业等种禽企业，建成年产3亿只以上的良种禽苗孵化基地。到2025年，建设和完善省级农业种质资源保护库（场、区、圃）4个，育成具有自主知识产权的突破性品种（配套系）2个。实施</w:t>
      </w:r>
      <w:r>
        <w:rPr>
          <w:rFonts w:hint="eastAsia" w:ascii="Times New Roman" w:hAnsi="Times New Roman" w:eastAsia="仿宋_GB2312"/>
          <w:color w:val="000000"/>
          <w:sz w:val="32"/>
          <w:szCs w:val="32"/>
        </w:rPr>
        <w:t>数字赋“农”行动，</w:t>
      </w:r>
      <w:r>
        <w:rPr>
          <w:rFonts w:ascii="Times New Roman" w:hAnsi="Times New Roman" w:eastAsia="仿宋_GB2312"/>
          <w:color w:val="000000"/>
          <w:sz w:val="32"/>
          <w:szCs w:val="32"/>
        </w:rPr>
        <w:t>推动电子商务与乡村产业加速融合，建设农业农村大数据综合信息服务平台，</w:t>
      </w:r>
      <w:r>
        <w:rPr>
          <w:rFonts w:hint="eastAsia" w:ascii="Times New Roman" w:hAnsi="Times New Roman" w:eastAsia="仿宋_GB2312"/>
          <w:color w:val="000000"/>
          <w:sz w:val="32"/>
          <w:szCs w:val="32"/>
        </w:rPr>
        <w:t>推进高岳、铁佛等数字乡村试点</w:t>
      </w:r>
      <w:r>
        <w:rPr>
          <w:rFonts w:ascii="Times New Roman" w:hAnsi="Times New Roman" w:eastAsia="仿宋_GB2312"/>
          <w:sz w:val="32"/>
          <w:szCs w:val="32"/>
        </w:rPr>
        <w:t>镇建设</w:t>
      </w:r>
      <w:r>
        <w:rPr>
          <w:rFonts w:ascii="Times New Roman" w:hAnsi="Times New Roman" w:eastAsia="仿宋_GB2312"/>
          <w:color w:val="000000"/>
          <w:sz w:val="32"/>
          <w:szCs w:val="32"/>
        </w:rPr>
        <w:t>。</w:t>
      </w:r>
      <w:r>
        <w:rPr>
          <w:rFonts w:hint="eastAsia" w:ascii="Times New Roman" w:hAnsi="Times New Roman" w:eastAsia="仿宋_GB2312"/>
          <w:color w:val="000000"/>
          <w:sz w:val="32"/>
          <w:szCs w:val="32"/>
        </w:rPr>
        <w:t>到</w:t>
      </w:r>
      <w:r>
        <w:rPr>
          <w:rFonts w:ascii="Times New Roman" w:hAnsi="Times New Roman" w:eastAsia="仿宋_GB2312"/>
          <w:color w:val="000000"/>
          <w:sz w:val="32"/>
          <w:szCs w:val="32"/>
        </w:rPr>
        <w:t>2025年</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建成以蔬菜、水果、畜禽标准园为重点的数字农业工厂 8个、数字农业应用场景8个，</w:t>
      </w:r>
      <w:r>
        <w:rPr>
          <w:rFonts w:hint="eastAsia" w:ascii="Times New Roman" w:hAnsi="Times New Roman" w:eastAsia="仿宋_GB2312"/>
          <w:color w:val="000000"/>
          <w:sz w:val="32"/>
          <w:szCs w:val="32"/>
        </w:rPr>
        <w:t>农村产品网络销售额实现突破性增长。</w:t>
      </w:r>
      <w:r>
        <w:rPr>
          <w:rFonts w:ascii="Times New Roman" w:hAnsi="Times New Roman" w:eastAsia="仿宋_GB2312"/>
          <w:color w:val="000000"/>
          <w:sz w:val="32"/>
          <w:szCs w:val="32"/>
        </w:rPr>
        <w:t>深化“科技特派员+”制度，加强县（区）、镇（</w:t>
      </w:r>
      <w:r>
        <w:rPr>
          <w:rFonts w:hint="eastAsia" w:ascii="Times New Roman" w:hAnsi="Times New Roman" w:eastAsia="仿宋_GB2312"/>
          <w:color w:val="000000"/>
          <w:sz w:val="32"/>
          <w:szCs w:val="32"/>
        </w:rPr>
        <w:t>街道</w:t>
      </w:r>
      <w:r>
        <w:rPr>
          <w:rFonts w:ascii="Times New Roman" w:hAnsi="Times New Roman" w:eastAsia="仿宋_GB2312"/>
          <w:color w:val="000000"/>
          <w:sz w:val="32"/>
          <w:szCs w:val="32"/>
        </w:rPr>
        <w:t>）农技队伍建设，保障农业科技服务人员增值服务合理取酬</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到</w:t>
      </w:r>
      <w:r>
        <w:rPr>
          <w:rFonts w:hint="eastAsia" w:ascii="Times New Roman" w:hAnsi="Times New Roman" w:eastAsia="仿宋_GB2312"/>
          <w:color w:val="000000"/>
          <w:sz w:val="32"/>
          <w:szCs w:val="32"/>
        </w:rPr>
        <w:t>2025年，</w:t>
      </w:r>
      <w:r>
        <w:rPr>
          <w:rFonts w:ascii="Times New Roman" w:hAnsi="Times New Roman" w:eastAsia="仿宋_GB2312"/>
          <w:color w:val="000000"/>
          <w:sz w:val="32"/>
          <w:szCs w:val="32"/>
        </w:rPr>
        <w:t>科技特派员发展到300名以上，实现行政村服务全覆盖。</w:t>
      </w:r>
      <w:r>
        <w:rPr>
          <w:rFonts w:hint="eastAsia" w:ascii="Times New Roman" w:hAnsi="Times New Roman" w:eastAsia="仿宋_GB2312"/>
          <w:color w:val="000000"/>
          <w:sz w:val="32"/>
          <w:szCs w:val="32"/>
        </w:rPr>
        <w:t>以濉溪县为重点，提升安徽维美德农业科技、淮北华丰机械等农机企业，</w:t>
      </w:r>
      <w:r>
        <w:rPr>
          <w:rFonts w:ascii="Times New Roman" w:hAnsi="Times New Roman" w:eastAsia="仿宋_GB2312"/>
          <w:color w:val="000000"/>
          <w:sz w:val="32"/>
          <w:szCs w:val="32"/>
        </w:rPr>
        <w:t>壮大</w:t>
      </w:r>
      <w:r>
        <w:rPr>
          <w:rFonts w:hint="eastAsia" w:ascii="Times New Roman" w:hAnsi="Times New Roman" w:eastAsia="仿宋_GB2312"/>
          <w:color w:val="000000"/>
          <w:sz w:val="32"/>
          <w:szCs w:val="32"/>
        </w:rPr>
        <w:t>淮北</w:t>
      </w:r>
      <w:r>
        <w:rPr>
          <w:rFonts w:ascii="Times New Roman" w:hAnsi="Times New Roman" w:eastAsia="仿宋_GB2312"/>
          <w:color w:val="000000"/>
          <w:sz w:val="32"/>
          <w:szCs w:val="32"/>
        </w:rPr>
        <w:t>市农机装备产业</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巩固主要农作物生产全程机械化示范点，加快经济作物和畜牧、渔业生产农机装备应用，到</w:t>
      </w:r>
      <w:r>
        <w:rPr>
          <w:rFonts w:hint="eastAsia" w:ascii="Times New Roman" w:hAnsi="Times New Roman" w:eastAsia="仿宋_GB2312"/>
          <w:color w:val="000000"/>
          <w:sz w:val="32"/>
          <w:szCs w:val="32"/>
        </w:rPr>
        <w:t>2025年，</w:t>
      </w:r>
      <w:r>
        <w:rPr>
          <w:rFonts w:ascii="Times New Roman" w:hAnsi="Times New Roman" w:eastAsia="仿宋_GB2312"/>
          <w:color w:val="000000"/>
          <w:sz w:val="32"/>
          <w:szCs w:val="32"/>
        </w:rPr>
        <w:t>濉溪县每个镇建1个粮食烘干中心，打造小麦、玉米、大豆</w:t>
      </w:r>
      <w:r>
        <w:rPr>
          <w:rFonts w:hint="eastAsia" w:ascii="Times New Roman" w:hAnsi="Times New Roman" w:eastAsia="仿宋_GB2312"/>
          <w:color w:val="000000"/>
          <w:sz w:val="32"/>
          <w:szCs w:val="32"/>
        </w:rPr>
        <w:t>等</w:t>
      </w:r>
      <w:r>
        <w:rPr>
          <w:rFonts w:ascii="Times New Roman" w:hAnsi="Times New Roman" w:eastAsia="仿宋_GB2312"/>
          <w:color w:val="000000"/>
          <w:sz w:val="32"/>
          <w:szCs w:val="32"/>
        </w:rPr>
        <w:t>高标准综合示范基地4个，</w:t>
      </w:r>
      <w:r>
        <w:rPr>
          <w:rFonts w:hint="eastAsia" w:ascii="Times New Roman" w:hAnsi="Times New Roman" w:eastAsia="仿宋_GB2312"/>
          <w:color w:val="000000"/>
          <w:sz w:val="32"/>
          <w:szCs w:val="32"/>
        </w:rPr>
        <w:t>大型复式智能高效机械占比达30%。</w:t>
      </w:r>
    </w:p>
    <w:p>
      <w:pPr>
        <w:pStyle w:val="4"/>
        <w:keepNext w:val="0"/>
        <w:keepLines w:val="0"/>
        <w:spacing w:before="0" w:after="0"/>
        <w:ind w:firstLine="640" w:firstLineChars="200"/>
        <w:rPr>
          <w:rFonts w:ascii="Times New Roman" w:hAnsi="Times New Roman" w:eastAsia="黑体"/>
          <w:b w:val="0"/>
          <w:color w:val="000000"/>
          <w:szCs w:val="32"/>
        </w:rPr>
      </w:pPr>
      <w:r>
        <w:rPr>
          <w:rFonts w:ascii="Times New Roman" w:hAnsi="Times New Roman" w:eastAsia="黑体"/>
          <w:b w:val="0"/>
          <w:color w:val="000000"/>
          <w:szCs w:val="32"/>
        </w:rPr>
        <w:t>五、</w:t>
      </w:r>
      <w:bookmarkEnd w:id="115"/>
      <w:bookmarkEnd w:id="116"/>
      <w:r>
        <w:rPr>
          <w:rFonts w:ascii="Times New Roman" w:hAnsi="Times New Roman" w:eastAsia="黑体"/>
          <w:b w:val="0"/>
          <w:color w:val="000000"/>
          <w:szCs w:val="32"/>
        </w:rPr>
        <w:t>坚持践行农业绿色发展</w:t>
      </w:r>
    </w:p>
    <w:p>
      <w:pPr>
        <w:spacing w:before="0" w:after="0"/>
        <w:ind w:firstLine="640"/>
        <w:rPr>
          <w:rFonts w:ascii="Times New Roman" w:hAnsi="Times New Roman" w:eastAsia="黑体"/>
          <w:b/>
          <w:color w:val="000000"/>
          <w:szCs w:val="32"/>
        </w:rPr>
      </w:pPr>
      <w:bookmarkStart w:id="117" w:name="_Toc20643"/>
      <w:bookmarkStart w:id="118" w:name="_Toc5588"/>
      <w:r>
        <w:rPr>
          <w:rFonts w:ascii="Times New Roman" w:hAnsi="Times New Roman" w:eastAsia="仿宋_GB2312"/>
          <w:color w:val="000000"/>
          <w:sz w:val="32"/>
          <w:szCs w:val="32"/>
        </w:rPr>
        <w:t>加强农产品质量安全</w:t>
      </w:r>
      <w:r>
        <w:rPr>
          <w:rFonts w:hint="eastAsia" w:ascii="Times New Roman" w:hAnsi="Times New Roman" w:eastAsia="仿宋_GB2312"/>
          <w:color w:val="000000"/>
          <w:sz w:val="32"/>
          <w:szCs w:val="32"/>
        </w:rPr>
        <w:t>网格化</w:t>
      </w:r>
      <w:r>
        <w:rPr>
          <w:rFonts w:ascii="Times New Roman" w:hAnsi="Times New Roman" w:eastAsia="仿宋_GB2312"/>
          <w:color w:val="000000"/>
          <w:sz w:val="32"/>
          <w:szCs w:val="32"/>
        </w:rPr>
        <w:t>监管，</w:t>
      </w:r>
      <w:r>
        <w:rPr>
          <w:rFonts w:hint="eastAsia" w:ascii="Times New Roman" w:hAnsi="Times New Roman" w:eastAsia="仿宋_GB2312"/>
          <w:color w:val="000000"/>
          <w:sz w:val="32"/>
          <w:szCs w:val="32"/>
        </w:rPr>
        <w:t>大力推进承诺达标</w:t>
      </w:r>
      <w:r>
        <w:rPr>
          <w:rFonts w:ascii="Times New Roman" w:hAnsi="Times New Roman" w:eastAsia="仿宋_GB2312"/>
          <w:color w:val="000000"/>
          <w:sz w:val="32"/>
          <w:szCs w:val="32"/>
        </w:rPr>
        <w:t>合格证</w:t>
      </w:r>
      <w:r>
        <w:rPr>
          <w:rFonts w:hint="eastAsia" w:ascii="Times New Roman" w:hAnsi="Times New Roman" w:eastAsia="仿宋_GB2312"/>
          <w:color w:val="000000"/>
          <w:sz w:val="32"/>
          <w:szCs w:val="32"/>
        </w:rPr>
        <w:t>推广使用。</w:t>
      </w:r>
      <w:r>
        <w:rPr>
          <w:rFonts w:ascii="Times New Roman" w:hAnsi="Times New Roman" w:eastAsia="仿宋_GB2312"/>
          <w:color w:val="000000"/>
          <w:sz w:val="32"/>
          <w:szCs w:val="32"/>
        </w:rPr>
        <w:t>大力推广农作物病虫害绿色防控产品和技术，推进农业资源利用集约化、投入品减量化、废弃物资源化、产业模式生态化</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打造农业绿色低碳循环发展样板。加强化肥农药销售管理，推广测土配方施肥、病虫害绿色防控技术，</w:t>
      </w:r>
      <w:r>
        <w:rPr>
          <w:rFonts w:hint="eastAsia" w:ascii="Times New Roman" w:hAnsi="Times New Roman" w:eastAsia="仿宋_GB2312"/>
          <w:color w:val="000000"/>
          <w:sz w:val="32"/>
          <w:szCs w:val="32"/>
        </w:rPr>
        <w:t>主要农作物</w:t>
      </w:r>
      <w:r>
        <w:rPr>
          <w:rFonts w:ascii="Times New Roman" w:hAnsi="Times New Roman" w:eastAsia="仿宋_GB2312"/>
          <w:color w:val="000000"/>
          <w:sz w:val="32"/>
          <w:szCs w:val="32"/>
        </w:rPr>
        <w:t>化肥农药利用率稳定在43%。推进农作制度创新，推广应用间种、套种、轮作等方式，继续推进濉溪县耕地轮作制度试点，示范推广水肥一体化、膜下滴灌等技术，农田灌溉水有效利用系数达0.69。强化土壤污染管控修复，加强秸秆和畜禽粪污资源化综合利用，推进农膜、农药包装废弃物回收利用行动，推广全生物可降解农膜，持续完善市、县（区）、镇三级农药包装废弃物回收网络</w:t>
      </w:r>
      <w:r>
        <w:rPr>
          <w:rFonts w:hint="eastAsia" w:ascii="Times New Roman" w:hAnsi="Times New Roman" w:eastAsia="仿宋_GB2312"/>
          <w:color w:val="000000"/>
          <w:sz w:val="32"/>
          <w:szCs w:val="32"/>
        </w:rPr>
        <w:t>。到</w:t>
      </w:r>
      <w:r>
        <w:rPr>
          <w:rFonts w:ascii="Times New Roman" w:hAnsi="Times New Roman" w:eastAsia="仿宋_GB2312"/>
          <w:color w:val="000000"/>
          <w:sz w:val="32"/>
          <w:szCs w:val="32"/>
        </w:rPr>
        <w:t>2025年</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全市农膜回收率</w:t>
      </w:r>
      <w:r>
        <w:rPr>
          <w:rFonts w:hint="eastAsia" w:ascii="Times New Roman" w:hAnsi="Times New Roman" w:eastAsia="仿宋_GB2312"/>
          <w:color w:val="000000"/>
          <w:sz w:val="32"/>
          <w:szCs w:val="32"/>
        </w:rPr>
        <w:t>达</w:t>
      </w:r>
      <w:r>
        <w:rPr>
          <w:rFonts w:ascii="Times New Roman" w:hAnsi="Times New Roman" w:eastAsia="仿宋_GB2312"/>
          <w:color w:val="000000"/>
          <w:sz w:val="32"/>
          <w:szCs w:val="32"/>
        </w:rPr>
        <w:t>85%，秸秆和畜禽粪污综合利用率分别达95%以上、85%。开展国土绿化提升行动，到</w:t>
      </w:r>
      <w:r>
        <w:rPr>
          <w:rFonts w:hint="eastAsia" w:ascii="Times New Roman" w:hAnsi="Times New Roman" w:eastAsia="仿宋_GB2312"/>
          <w:color w:val="000000"/>
          <w:sz w:val="32"/>
          <w:szCs w:val="32"/>
        </w:rPr>
        <w:t>2025年，</w:t>
      </w:r>
      <w:r>
        <w:rPr>
          <w:rFonts w:ascii="Times New Roman" w:hAnsi="Times New Roman" w:eastAsia="仿宋_GB2312"/>
          <w:color w:val="000000"/>
          <w:sz w:val="32"/>
          <w:szCs w:val="32"/>
        </w:rPr>
        <w:t>完成造林0.8万亩，创建省级森林城镇1个、省级森林村庄17个。</w:t>
      </w:r>
    </w:p>
    <w:p>
      <w:pPr>
        <w:pStyle w:val="4"/>
        <w:keepNext w:val="0"/>
        <w:keepLines w:val="0"/>
        <w:spacing w:before="0" w:after="0"/>
        <w:ind w:firstLine="640" w:firstLineChars="200"/>
        <w:rPr>
          <w:rFonts w:ascii="Times New Roman" w:hAnsi="Times New Roman" w:eastAsia="黑体"/>
          <w:b w:val="0"/>
          <w:color w:val="000000"/>
          <w:szCs w:val="32"/>
        </w:rPr>
      </w:pPr>
      <w:r>
        <w:rPr>
          <w:rFonts w:ascii="Times New Roman" w:hAnsi="Times New Roman" w:eastAsia="黑体"/>
          <w:b w:val="0"/>
          <w:color w:val="000000"/>
          <w:szCs w:val="32"/>
        </w:rPr>
        <w:t>六、优化升级“淮优”品牌</w:t>
      </w:r>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发挥村级集体经济、龙头企业、家庭农场主体作用，以“淮优”农产品生产为核心，推进生产基地规模化、标准化建设，实施农产品仓储保鲜冷链设施建设工程，提高农产品精深加工和综合利用能力，做大做强产业基础。到2025年，“淮优”主体稳定在100家。加强“淮优”农产品品牌的塑造和宣传，建立以“淮优”农产品产业协会为主的区域公用品牌营销机构，以新媒体为主，传统媒体为辅，全力宣传、打造“淮优”品牌。建立“淮优”农产品展示、展销中心，举办“淮优”农产品展示、展销会，利用乡村旅游、休闲农业、观光旅游等方式，促进品牌农产品的传播和销售，提升“淮优”农产品美誉度、知名度和市场占有率。加大“淮优”农产品质量检测力度和“三品一标”认证力度，建立公用品牌授权使用机制及品牌危机预警、风险规避和紧急事件应对机制。到2025年，培育有影响力的区域公用品牌 4个、企业品牌 4个、产品品牌10个，完成绿色食品、有机农产品、地理标志农产品 160个以上。</w:t>
      </w:r>
      <w:r>
        <w:rPr>
          <w:rFonts w:hint="eastAsia" w:ascii="Times New Roman" w:hAnsi="Times New Roman" w:eastAsia="仿宋_GB2312"/>
          <w:color w:val="000000"/>
          <w:sz w:val="32"/>
          <w:szCs w:val="32"/>
        </w:rPr>
        <w:t xml:space="preserve"> </w:t>
      </w:r>
      <w:r>
        <w:rPr>
          <w:rFonts w:ascii="Times New Roman" w:hAnsi="Times New Roman" w:eastAsia="仿宋_GB2312"/>
          <w:color w:val="000000"/>
          <w:sz w:val="32"/>
          <w:szCs w:val="32"/>
        </w:rPr>
        <w:t xml:space="preserve"> </w:t>
      </w:r>
    </w:p>
    <w:p>
      <w:pPr>
        <w:pStyle w:val="4"/>
        <w:keepNext w:val="0"/>
        <w:keepLines w:val="0"/>
        <w:spacing w:before="0" w:after="0"/>
        <w:ind w:firstLine="640" w:firstLineChars="200"/>
        <w:rPr>
          <w:rFonts w:ascii="Times New Roman" w:hAnsi="Times New Roman" w:eastAsia="黑体"/>
          <w:b w:val="0"/>
          <w:color w:val="000000"/>
          <w:szCs w:val="32"/>
        </w:rPr>
      </w:pPr>
      <w:r>
        <w:rPr>
          <w:rFonts w:ascii="Times New Roman" w:hAnsi="Times New Roman" w:eastAsia="黑体"/>
          <w:b w:val="0"/>
          <w:color w:val="000000"/>
          <w:szCs w:val="32"/>
        </w:rPr>
        <w:t>七、健全完善农业社会化服务体系</w:t>
      </w:r>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完善农业生产社会化服务网络，积极培育农村集体经济组织、农民合作社、龙头企业、各类专业服务公司等农业社会化服务主体。深化供销合作社综合改革，实施供销合作社培育壮大工程，开展生产、供销、信用“三位一体”综合合作试点。到2025年，新增社会化服务组织200家。积极推进现代化粮食物流基础设施和大型综合粮食物流园区建设，改造建设一批区域骨干粮油应急配送中心。深入实施城乡冷链物流建设行动，推动田头小型仓储保鲜冷链设施、产地低温直销配送中心、骨干冷链物流基地建设，建成覆盖全市的冷链物流基础设施网络。支持农产品电商平台和乡村电商服务站点建设，培育形成线上线下融合发展的新型现代流通网络。创新农业产业化基金使用方式，支持基金直接入股社会资本，建立基金投资回报容忍机制和担保机制。大力实施农业产业链生态担保，鼓励银行业金融机构建立服务乡村振兴的内设机构。发挥农业保险稳农作用，稳步推进粮食作物完全成本保险和收入保险试点，提高小农户投保率，适度引入农业保险竞争机制。</w:t>
      </w:r>
    </w:p>
    <w:p>
      <w:pPr>
        <w:pStyle w:val="4"/>
        <w:keepNext w:val="0"/>
        <w:keepLines w:val="0"/>
        <w:spacing w:before="0" w:after="0"/>
        <w:ind w:firstLine="640" w:firstLineChars="200"/>
        <w:rPr>
          <w:rFonts w:ascii="Times New Roman" w:hAnsi="Times New Roman" w:eastAsia="黑体"/>
          <w:b w:val="0"/>
          <w:color w:val="000000"/>
          <w:szCs w:val="32"/>
        </w:rPr>
      </w:pPr>
      <w:r>
        <w:rPr>
          <w:rFonts w:ascii="Times New Roman" w:hAnsi="Times New Roman" w:eastAsia="黑体"/>
          <w:b w:val="0"/>
          <w:color w:val="000000"/>
          <w:szCs w:val="32"/>
        </w:rPr>
        <w:t>八、纵深推进农村改革</w:t>
      </w:r>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完善农村承包地“三权分置”制度，推动市县农村承包地确权登记颁证系统互联互通试点，推广濉溪县五沟镇“一户一田”实践经验。深化杜集区盘活农村闲置住宅和闲置宅基地省级示范试点，保障进城落户农民土地承包权、宅基地使用权、集体收益分配权，开展自愿有偿转让试点。继续深化农村集体产权制度改革，建立健全村级集体经济发展制度机制。深入推进扶持壮大村级集体经济“百村示范”工程，实施村级集体经济项目提质增效三年计划。进一步推进农村“三变”改革，探索农业项目财政补助资金及财政补助形成的资产股权化、集体资源资产股份化改革。完善“保底收益+分红”等收益分配方式，尽可能让农民参与进来。同时继续深化水利、供销合作社等改革，不断增强农村发展内生动力。</w:t>
      </w:r>
    </w:p>
    <w:p>
      <w:pPr>
        <w:pStyle w:val="4"/>
        <w:keepNext w:val="0"/>
        <w:keepLines w:val="0"/>
        <w:spacing w:before="0" w:after="0"/>
        <w:ind w:firstLine="640" w:firstLineChars="200"/>
        <w:rPr>
          <w:rFonts w:ascii="Times New Roman" w:hAnsi="Times New Roman" w:eastAsia="黑体"/>
          <w:b w:val="0"/>
          <w:color w:val="000000"/>
          <w:szCs w:val="32"/>
        </w:rPr>
      </w:pPr>
      <w:r>
        <w:rPr>
          <w:rFonts w:ascii="Times New Roman" w:hAnsi="Times New Roman" w:eastAsia="黑体"/>
          <w:b w:val="0"/>
          <w:color w:val="000000"/>
          <w:szCs w:val="32"/>
        </w:rPr>
        <w:t>九、持续</w:t>
      </w:r>
      <w:r>
        <w:rPr>
          <w:rFonts w:hint="eastAsia" w:ascii="Times New Roman" w:hAnsi="Times New Roman" w:eastAsia="黑体"/>
          <w:b w:val="0"/>
          <w:color w:val="000000"/>
          <w:szCs w:val="32"/>
        </w:rPr>
        <w:t>促进农民收入增长</w:t>
      </w:r>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加大农业支持补贴力度，实现对粮食实际生产者精准补贴。</w:t>
      </w:r>
      <w:r>
        <w:rPr>
          <w:rFonts w:hint="eastAsia" w:ascii="Times New Roman" w:hAnsi="Times New Roman" w:eastAsia="仿宋_GB2312"/>
          <w:color w:val="000000"/>
          <w:sz w:val="32"/>
          <w:szCs w:val="32"/>
        </w:rPr>
        <w:t>加快推进以人为核心的新型城镇化，引导农村富余劳动力有序转移，</w:t>
      </w:r>
      <w:r>
        <w:rPr>
          <w:rFonts w:ascii="Times New Roman" w:hAnsi="Times New Roman" w:eastAsia="仿宋_GB2312"/>
          <w:color w:val="000000"/>
          <w:sz w:val="32"/>
          <w:szCs w:val="32"/>
        </w:rPr>
        <w:t>每年农民工技能培训9500人次以上，推动农民工质量就业。发挥公益性岗位保障性就业作用，全市乡村公益性岗位稳定在</w:t>
      </w:r>
      <w:r>
        <w:rPr>
          <w:rFonts w:hint="eastAsia" w:ascii="Times New Roman" w:hAnsi="Times New Roman" w:eastAsia="仿宋_GB2312"/>
          <w:color w:val="000000"/>
          <w:sz w:val="32"/>
          <w:szCs w:val="32"/>
        </w:rPr>
        <w:t>4000</w:t>
      </w:r>
      <w:r>
        <w:rPr>
          <w:rFonts w:ascii="Times New Roman" w:hAnsi="Times New Roman" w:eastAsia="仿宋_GB2312"/>
          <w:color w:val="000000"/>
          <w:sz w:val="32"/>
          <w:szCs w:val="32"/>
        </w:rPr>
        <w:t>个左右。加快土地流转，探索成立村社合一的乡村振兴公司，大力发展村级集体经济，不断提高农民财产收益</w:t>
      </w:r>
      <w:r>
        <w:rPr>
          <w:rFonts w:hint="eastAsia" w:ascii="Times New Roman" w:hAnsi="Times New Roman" w:eastAsia="仿宋_GB2312"/>
          <w:color w:val="000000"/>
          <w:sz w:val="32"/>
          <w:szCs w:val="32"/>
        </w:rPr>
        <w:t>。到2025年</w:t>
      </w:r>
      <w:r>
        <w:rPr>
          <w:rFonts w:ascii="Times New Roman" w:hAnsi="Times New Roman" w:eastAsia="仿宋_GB2312"/>
          <w:color w:val="000000"/>
          <w:sz w:val="32"/>
          <w:szCs w:val="32"/>
        </w:rPr>
        <w:t>土地流转率达 65%，300亩左右集中连片适度规模经营占比达50%，50万元以上的集体经济强村达30%。</w:t>
      </w:r>
      <w:r>
        <w:rPr>
          <w:rFonts w:hint="eastAsia" w:ascii="Times New Roman" w:hAnsi="Times New Roman" w:eastAsia="仿宋_GB2312"/>
          <w:color w:val="000000"/>
          <w:sz w:val="32"/>
          <w:szCs w:val="32"/>
        </w:rPr>
        <w:t>培育高素质农民队伍，整合利用各类教育培训资源，培养造就一支懂技术、有文化、善经营的高素质农民队伍。到2025年，培训高素质农民5000人，</w:t>
      </w:r>
      <w:r>
        <w:rPr>
          <w:rFonts w:ascii="Times New Roman" w:hAnsi="Times New Roman" w:eastAsia="仿宋_GB2312"/>
          <w:color w:val="000000"/>
          <w:sz w:val="32"/>
          <w:szCs w:val="32"/>
        </w:rPr>
        <w:t>家庭农场达7400个，农民合作社稳定在1500个，农业社会化服务组织达1525个。争创省级及以上农民专业合作社示范社60家、省级示范家庭农场120家。</w:t>
      </w:r>
    </w:p>
    <w:p>
      <w:pPr>
        <w:pStyle w:val="4"/>
        <w:keepNext w:val="0"/>
        <w:keepLines w:val="0"/>
        <w:spacing w:before="0" w:after="0"/>
        <w:ind w:firstLine="640" w:firstLineChars="200"/>
        <w:rPr>
          <w:rFonts w:ascii="Times New Roman" w:hAnsi="Times New Roman" w:eastAsia="黑体"/>
          <w:b w:val="0"/>
          <w:color w:val="000000"/>
          <w:szCs w:val="32"/>
        </w:rPr>
      </w:pPr>
      <w:r>
        <w:rPr>
          <w:rFonts w:ascii="Times New Roman" w:hAnsi="Times New Roman" w:eastAsia="黑体"/>
          <w:b w:val="0"/>
          <w:color w:val="000000"/>
          <w:szCs w:val="32"/>
        </w:rPr>
        <w:t>十、大力实施乡村建设</w:t>
      </w:r>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明确村庄布局分类，继续实施农村危房改造。加强村庄风貌引导，保护传统民居和历史文化名村名镇</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加大农村地区文化遗产遗迹保护力度</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积极有序推进“多规合一”实用性村庄规划编制，到202</w:t>
      </w:r>
      <w:r>
        <w:rPr>
          <w:rFonts w:hint="eastAsia" w:ascii="Times New Roman" w:hAnsi="Times New Roman" w:eastAsia="仿宋_GB2312"/>
          <w:color w:val="000000"/>
          <w:sz w:val="32"/>
          <w:szCs w:val="32"/>
        </w:rPr>
        <w:t>3</w:t>
      </w:r>
      <w:r>
        <w:rPr>
          <w:rFonts w:ascii="Times New Roman" w:hAnsi="Times New Roman" w:eastAsia="仿宋_GB2312"/>
          <w:color w:val="000000"/>
          <w:sz w:val="32"/>
          <w:szCs w:val="32"/>
        </w:rPr>
        <w:t>年</w:t>
      </w:r>
      <w:r>
        <w:rPr>
          <w:rFonts w:hint="eastAsia" w:ascii="Times New Roman" w:hAnsi="Times New Roman" w:eastAsia="仿宋_GB2312"/>
          <w:color w:val="000000"/>
          <w:sz w:val="32"/>
          <w:szCs w:val="32"/>
        </w:rPr>
        <w:t>实现村庄规划应编尽编</w:t>
      </w:r>
      <w:r>
        <w:rPr>
          <w:rFonts w:ascii="Times New Roman" w:hAnsi="Times New Roman" w:eastAsia="仿宋_GB2312"/>
          <w:color w:val="000000"/>
          <w:sz w:val="32"/>
          <w:szCs w:val="32"/>
        </w:rPr>
        <w:t>。加快补齐农村基础设施短板，推进公共基础设施往村覆盖、往户延伸，全面改善农村水、电、路、气、房、网等设施条件。深化农村公共基础设施管护体制改革，健全农村人居环境设施管护机制，建立城乡公共资源均衡配置机制，强化农村基本公共服务供给县乡村统筹，推进信息进村入户，加快乡村公共服务、社会治理等数字化智能化建设。启动实施农村人居环境整治提升五年行动。持续推进农村厕所革命，因地制宜建设污水处理设施，健全农村生活垃圾收运处置体系，推动相山区、烈山区深入开展农村生活垃圾分类和资源化利用国家级、省级示范县建设</w:t>
      </w:r>
      <w:r>
        <w:rPr>
          <w:rFonts w:hint="eastAsia" w:ascii="Times New Roman" w:hAnsi="Times New Roman" w:eastAsia="仿宋_GB2312"/>
          <w:color w:val="000000"/>
          <w:sz w:val="32"/>
          <w:szCs w:val="32"/>
        </w:rPr>
        <w:t>。到</w:t>
      </w:r>
      <w:r>
        <w:rPr>
          <w:rFonts w:ascii="Times New Roman" w:hAnsi="Times New Roman" w:eastAsia="仿宋_GB2312"/>
          <w:color w:val="000000"/>
          <w:sz w:val="32"/>
          <w:szCs w:val="32"/>
        </w:rPr>
        <w:t>2025年</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农村卫生厕所基本普及，农村生活污水治理率达到国家和省要求，农村生活垃圾无害化处理率稳定在98%以上。</w:t>
      </w:r>
      <w:bookmarkEnd w:id="114"/>
      <w:bookmarkEnd w:id="117"/>
      <w:bookmarkEnd w:id="118"/>
      <w:bookmarkStart w:id="119" w:name="_Toc32021"/>
      <w:bookmarkStart w:id="120" w:name="_Toc7767"/>
      <w:bookmarkStart w:id="121" w:name="_Toc13050"/>
    </w:p>
    <w:p>
      <w:pPr>
        <w:pStyle w:val="2"/>
        <w:spacing w:before="0" w:after="0"/>
        <w:ind w:firstLine="602"/>
      </w:pPr>
    </w:p>
    <w:p>
      <w:pPr>
        <w:pStyle w:val="4"/>
        <w:keepNext w:val="0"/>
        <w:keepLines w:val="0"/>
        <w:spacing w:before="0" w:after="0"/>
        <w:jc w:val="center"/>
        <w:rPr>
          <w:rFonts w:ascii="Times New Roman" w:hAnsi="Times New Roman" w:eastAsia="黑体"/>
          <w:b w:val="0"/>
          <w:color w:val="000000"/>
          <w:szCs w:val="32"/>
        </w:rPr>
      </w:pPr>
      <w:r>
        <w:rPr>
          <w:rFonts w:ascii="Times New Roman" w:hAnsi="Times New Roman" w:eastAsia="黑体"/>
          <w:b w:val="0"/>
          <w:color w:val="000000"/>
          <w:szCs w:val="32"/>
        </w:rPr>
        <w:t>第五章  重点产业发展布局</w:t>
      </w:r>
      <w:bookmarkEnd w:id="11"/>
      <w:bookmarkEnd w:id="119"/>
      <w:bookmarkEnd w:id="120"/>
      <w:bookmarkEnd w:id="121"/>
      <w:bookmarkStart w:id="122" w:name="_Toc11321"/>
      <w:bookmarkStart w:id="123" w:name="_Toc20764"/>
      <w:bookmarkStart w:id="124" w:name="_Toc22031"/>
      <w:bookmarkStart w:id="125" w:name="_Toc5671"/>
    </w:p>
    <w:p>
      <w:pPr>
        <w:pStyle w:val="4"/>
        <w:keepNext w:val="0"/>
        <w:keepLines w:val="0"/>
        <w:spacing w:before="0" w:after="0"/>
        <w:ind w:firstLine="640" w:firstLineChars="200"/>
        <w:rPr>
          <w:rFonts w:ascii="Times New Roman" w:hAnsi="Times New Roman" w:eastAsia="黑体"/>
          <w:b w:val="0"/>
          <w:color w:val="000000"/>
          <w:szCs w:val="32"/>
        </w:rPr>
      </w:pPr>
      <w:r>
        <w:rPr>
          <w:rFonts w:ascii="Times New Roman" w:hAnsi="Times New Roman" w:eastAsia="黑体"/>
          <w:b w:val="0"/>
          <w:color w:val="000000"/>
          <w:szCs w:val="32"/>
        </w:rPr>
        <w:t>一、粮</w:t>
      </w:r>
      <w:r>
        <w:rPr>
          <w:rFonts w:hint="eastAsia" w:ascii="Times New Roman" w:hAnsi="Times New Roman" w:eastAsia="黑体"/>
          <w:b w:val="0"/>
          <w:color w:val="000000"/>
          <w:szCs w:val="32"/>
        </w:rPr>
        <w:t>油</w:t>
      </w:r>
      <w:r>
        <w:rPr>
          <w:rFonts w:ascii="Times New Roman" w:hAnsi="Times New Roman" w:eastAsia="黑体"/>
          <w:b w:val="0"/>
          <w:color w:val="000000"/>
          <w:szCs w:val="32"/>
        </w:rPr>
        <w:t>产业</w:t>
      </w:r>
      <w:bookmarkEnd w:id="122"/>
      <w:bookmarkEnd w:id="123"/>
      <w:bookmarkEnd w:id="124"/>
      <w:bookmarkEnd w:id="125"/>
    </w:p>
    <w:p>
      <w:pPr>
        <w:pStyle w:val="5"/>
        <w:keepNext w:val="0"/>
        <w:keepLines w:val="0"/>
        <w:spacing w:before="0" w:after="0"/>
        <w:ind w:firstLine="642" w:firstLineChars="200"/>
        <w:rPr>
          <w:rFonts w:eastAsia="楷体_GB2312"/>
          <w:color w:val="000000"/>
          <w:sz w:val="32"/>
          <w:szCs w:val="32"/>
        </w:rPr>
      </w:pPr>
      <w:bookmarkStart w:id="126" w:name="_Toc20819"/>
      <w:bookmarkStart w:id="127" w:name="_Toc19316"/>
      <w:bookmarkStart w:id="128" w:name="_Toc9334"/>
      <w:bookmarkStart w:id="129" w:name="_Toc23523"/>
      <w:r>
        <w:rPr>
          <w:rFonts w:eastAsia="楷体_GB2312"/>
          <w:color w:val="000000"/>
          <w:sz w:val="32"/>
          <w:szCs w:val="32"/>
        </w:rPr>
        <w:t>（一）发展思路</w:t>
      </w:r>
      <w:bookmarkEnd w:id="126"/>
      <w:bookmarkEnd w:id="127"/>
      <w:bookmarkEnd w:id="128"/>
      <w:bookmarkEnd w:id="129"/>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以保障粮食安全为基础，加快实施高标准农田改造提升工程，高标准建设粮食生产功能区</w:t>
      </w:r>
      <w:r>
        <w:rPr>
          <w:rFonts w:hint="eastAsia" w:ascii="Times New Roman" w:hAnsi="Times New Roman" w:eastAsia="仿宋_GB2312"/>
          <w:color w:val="000000"/>
          <w:sz w:val="32"/>
          <w:szCs w:val="32"/>
        </w:rPr>
        <w:t>和</w:t>
      </w:r>
      <w:r>
        <w:rPr>
          <w:rFonts w:ascii="Times New Roman" w:hAnsi="Times New Roman" w:eastAsia="仿宋_GB2312"/>
          <w:color w:val="000000"/>
          <w:sz w:val="32"/>
          <w:szCs w:val="32"/>
        </w:rPr>
        <w:t>重要农产品生产保护区</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特色农产品优势区。</w:t>
      </w:r>
      <w:r>
        <w:rPr>
          <w:rFonts w:hint="eastAsia" w:ascii="Times New Roman" w:hAnsi="Times New Roman" w:eastAsia="仿宋_GB2312"/>
          <w:color w:val="000000"/>
          <w:sz w:val="32"/>
          <w:szCs w:val="32"/>
        </w:rPr>
        <w:t>扩大大豆生产及大豆玉米带状种植，稳定小麦种植面积，扩大甘薯、杂粮等特色作物种植，全面推进小麦、玉米、大豆、优质花生等主要粮油作物生产全程、高质、高效机械化。</w:t>
      </w:r>
      <w:r>
        <w:rPr>
          <w:rFonts w:ascii="Times New Roman" w:hAnsi="Times New Roman" w:eastAsia="仿宋_GB2312"/>
          <w:color w:val="000000"/>
          <w:sz w:val="32"/>
          <w:szCs w:val="32"/>
        </w:rPr>
        <w:t xml:space="preserve">提升粮食烘干仓储及小麦、玉米、大豆等精深加工能力，大力培育一批国家级“育繁推一体化”种子龙头企业。 </w:t>
      </w:r>
    </w:p>
    <w:p>
      <w:pPr>
        <w:pStyle w:val="5"/>
        <w:keepNext w:val="0"/>
        <w:keepLines w:val="0"/>
        <w:spacing w:before="0" w:after="0"/>
        <w:ind w:firstLine="642" w:firstLineChars="200"/>
        <w:rPr>
          <w:rFonts w:eastAsia="楷体_GB2312"/>
          <w:color w:val="000000"/>
          <w:sz w:val="32"/>
          <w:szCs w:val="32"/>
        </w:rPr>
      </w:pPr>
      <w:bookmarkStart w:id="130" w:name="_Toc947"/>
      <w:bookmarkStart w:id="131" w:name="_Toc17142"/>
      <w:bookmarkStart w:id="132" w:name="_Toc30743"/>
      <w:bookmarkStart w:id="133" w:name="_Toc2243"/>
      <w:r>
        <w:rPr>
          <w:rFonts w:eastAsia="楷体_GB2312"/>
          <w:color w:val="000000"/>
          <w:sz w:val="32"/>
          <w:szCs w:val="32"/>
        </w:rPr>
        <w:t>（二）发展目标</w:t>
      </w:r>
      <w:bookmarkEnd w:id="130"/>
      <w:bookmarkEnd w:id="131"/>
      <w:bookmarkEnd w:id="132"/>
      <w:bookmarkEnd w:id="133"/>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到2025年，全市累计建成高标准农田20</w:t>
      </w:r>
      <w:r>
        <w:rPr>
          <w:rFonts w:hint="eastAsia" w:ascii="Times New Roman" w:hAnsi="Times New Roman" w:eastAsia="仿宋_GB2312"/>
          <w:color w:val="000000"/>
          <w:sz w:val="32"/>
          <w:szCs w:val="32"/>
        </w:rPr>
        <w:t>3.89</w:t>
      </w:r>
      <w:r>
        <w:rPr>
          <w:rFonts w:ascii="Times New Roman" w:hAnsi="Times New Roman" w:eastAsia="仿宋_GB2312"/>
          <w:color w:val="000000"/>
          <w:sz w:val="32"/>
          <w:szCs w:val="32"/>
        </w:rPr>
        <w:t>万亩，粮食生产面积稳定在412.76万亩。以品牌专用化改造和提升粮食产业，着力建设好4大品牌粮食（良种）生产基地</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发展优质专用粮食 270万亩。建设优质专用小麦基地135万亩，标准化良种繁育基地稳定在60万亩。</w:t>
      </w:r>
      <w:bookmarkStart w:id="134" w:name="_Toc28306"/>
      <w:bookmarkStart w:id="135" w:name="_Toc3102"/>
      <w:r>
        <w:rPr>
          <w:rFonts w:ascii="Times New Roman" w:hAnsi="Times New Roman" w:eastAsia="仿宋_GB2312"/>
          <w:color w:val="000000"/>
          <w:sz w:val="32"/>
          <w:szCs w:val="32"/>
        </w:rPr>
        <w:t>巩固主要农作物生产全程机械化示范点，打造小麦、玉米、大豆</w:t>
      </w:r>
      <w:r>
        <w:rPr>
          <w:rFonts w:hint="eastAsia" w:ascii="Times New Roman" w:hAnsi="Times New Roman" w:eastAsia="仿宋_GB2312"/>
          <w:color w:val="000000"/>
          <w:sz w:val="32"/>
          <w:szCs w:val="32"/>
        </w:rPr>
        <w:t>等</w:t>
      </w:r>
      <w:r>
        <w:rPr>
          <w:rFonts w:ascii="Times New Roman" w:hAnsi="Times New Roman" w:eastAsia="仿宋_GB2312"/>
          <w:color w:val="000000"/>
          <w:sz w:val="32"/>
          <w:szCs w:val="32"/>
        </w:rPr>
        <w:t>高标准综合示范基地4个。</w:t>
      </w:r>
    </w:p>
    <w:p>
      <w:pPr>
        <w:pStyle w:val="5"/>
        <w:keepNext w:val="0"/>
        <w:keepLines w:val="0"/>
        <w:spacing w:before="0" w:after="0"/>
        <w:ind w:firstLine="642" w:firstLineChars="200"/>
        <w:rPr>
          <w:rFonts w:eastAsia="楷体_GB2312"/>
          <w:color w:val="000000"/>
          <w:sz w:val="32"/>
          <w:szCs w:val="32"/>
        </w:rPr>
      </w:pPr>
      <w:bookmarkStart w:id="136" w:name="_Toc18751"/>
      <w:bookmarkStart w:id="137" w:name="_Toc7615"/>
      <w:r>
        <w:rPr>
          <w:rFonts w:eastAsia="楷体_GB2312"/>
          <w:color w:val="000000"/>
          <w:sz w:val="32"/>
          <w:szCs w:val="32"/>
        </w:rPr>
        <w:t>（三）区域布局</w:t>
      </w:r>
      <w:bookmarkEnd w:id="134"/>
      <w:bookmarkEnd w:id="135"/>
      <w:bookmarkEnd w:id="136"/>
      <w:bookmarkEnd w:id="137"/>
      <w:bookmarkStart w:id="138" w:name="_Toc5991"/>
    </w:p>
    <w:p>
      <w:pPr>
        <w:spacing w:before="0" w:after="0"/>
        <w:ind w:firstLine="640"/>
        <w:rPr>
          <w:rFonts w:ascii="Times New Roman" w:hAnsi="Times New Roman" w:eastAsia="仿宋_GB2312"/>
          <w:color w:val="000000"/>
          <w:sz w:val="32"/>
          <w:szCs w:val="32"/>
        </w:rPr>
      </w:pPr>
      <w:r>
        <w:rPr>
          <w:rFonts w:hint="eastAsia" w:ascii="Times New Roman" w:hAnsi="Times New Roman" w:eastAsia="仿宋_GB2312"/>
          <w:color w:val="000000"/>
          <w:sz w:val="32"/>
          <w:szCs w:val="32"/>
        </w:rPr>
        <w:t>以双堆集、五沟、铁佛等镇打造强筋、中强筋优质小麦生产基地；以</w:t>
      </w:r>
      <w:r>
        <w:rPr>
          <w:rFonts w:ascii="Times New Roman" w:hAnsi="Times New Roman" w:eastAsia="仿宋_GB2312"/>
          <w:color w:val="000000"/>
          <w:sz w:val="32"/>
          <w:szCs w:val="32"/>
        </w:rPr>
        <w:t>濉溪县、烈山区</w:t>
      </w:r>
      <w:r>
        <w:rPr>
          <w:rFonts w:hint="eastAsia" w:ascii="Times New Roman" w:hAnsi="Times New Roman" w:eastAsia="仿宋_GB2312"/>
          <w:color w:val="000000"/>
          <w:sz w:val="32"/>
          <w:szCs w:val="32"/>
        </w:rPr>
        <w:t>古饶镇</w:t>
      </w:r>
      <w:r>
        <w:rPr>
          <w:rFonts w:ascii="Times New Roman" w:hAnsi="Times New Roman" w:eastAsia="仿宋_GB2312"/>
          <w:color w:val="000000"/>
          <w:sz w:val="32"/>
          <w:szCs w:val="32"/>
        </w:rPr>
        <w:t>为重点，打造优质专用小麦</w:t>
      </w:r>
      <w:r>
        <w:rPr>
          <w:rFonts w:hint="eastAsia" w:ascii="Times New Roman" w:hAnsi="Times New Roman" w:eastAsia="仿宋_GB2312"/>
          <w:color w:val="000000"/>
          <w:sz w:val="32"/>
          <w:szCs w:val="32"/>
        </w:rPr>
        <w:t>培育</w:t>
      </w:r>
      <w:r>
        <w:rPr>
          <w:rFonts w:ascii="Times New Roman" w:hAnsi="Times New Roman" w:eastAsia="仿宋_GB2312"/>
          <w:color w:val="000000"/>
          <w:sz w:val="32"/>
          <w:szCs w:val="32"/>
        </w:rPr>
        <w:t>基地；以濉溪县泗永路沿线为主带，东起四铺镇，西至铁佛镇，南起韩村、临涣两镇的浍河以北，北至沱河以南建设小麦种子“良繁带”制种基地；在双堆集、五沟、孙疃、南坪等镇打造优质玉米生产基地；</w:t>
      </w:r>
      <w:r>
        <w:rPr>
          <w:rFonts w:hint="eastAsia" w:ascii="Times New Roman" w:hAnsi="Times New Roman" w:eastAsia="仿宋_GB2312"/>
          <w:color w:val="000000"/>
          <w:sz w:val="32"/>
          <w:szCs w:val="32"/>
        </w:rPr>
        <w:t>在</w:t>
      </w:r>
      <w:r>
        <w:rPr>
          <w:rFonts w:ascii="Times New Roman" w:hAnsi="Times New Roman" w:eastAsia="仿宋_GB2312"/>
          <w:color w:val="000000"/>
          <w:sz w:val="32"/>
          <w:szCs w:val="32"/>
        </w:rPr>
        <w:t>临涣、铁佛、四铺</w:t>
      </w:r>
      <w:r>
        <w:rPr>
          <w:rFonts w:hint="eastAsia" w:ascii="Times New Roman" w:hAnsi="Times New Roman" w:eastAsia="仿宋_GB2312"/>
          <w:color w:val="000000"/>
          <w:sz w:val="32"/>
          <w:szCs w:val="32"/>
        </w:rPr>
        <w:t>等</w:t>
      </w:r>
      <w:r>
        <w:rPr>
          <w:rFonts w:ascii="Times New Roman" w:hAnsi="Times New Roman" w:eastAsia="仿宋_GB2312"/>
          <w:color w:val="000000"/>
          <w:sz w:val="32"/>
          <w:szCs w:val="32"/>
        </w:rPr>
        <w:t>镇打造优质大豆生产基地。</w:t>
      </w:r>
      <w:bookmarkEnd w:id="138"/>
    </w:p>
    <w:p>
      <w:pPr>
        <w:pStyle w:val="5"/>
        <w:keepNext w:val="0"/>
        <w:keepLines w:val="0"/>
        <w:spacing w:before="0" w:after="0"/>
        <w:ind w:firstLine="642" w:firstLineChars="200"/>
        <w:rPr>
          <w:rFonts w:eastAsia="楷体_GB2312"/>
          <w:color w:val="000000"/>
          <w:sz w:val="32"/>
          <w:szCs w:val="32"/>
        </w:rPr>
      </w:pPr>
      <w:bookmarkStart w:id="139" w:name="_Toc26573"/>
      <w:bookmarkStart w:id="140" w:name="_Toc8181"/>
      <w:bookmarkStart w:id="141" w:name="_Toc27317"/>
      <w:bookmarkStart w:id="142" w:name="_Toc8962"/>
      <w:r>
        <w:rPr>
          <w:rFonts w:eastAsia="楷体_GB2312"/>
          <w:color w:val="000000"/>
          <w:sz w:val="32"/>
          <w:szCs w:val="32"/>
        </w:rPr>
        <w:t>（四）重点</w:t>
      </w:r>
      <w:bookmarkEnd w:id="139"/>
      <w:bookmarkEnd w:id="140"/>
      <w:r>
        <w:rPr>
          <w:rFonts w:eastAsia="楷体_GB2312"/>
          <w:color w:val="000000"/>
          <w:sz w:val="32"/>
          <w:szCs w:val="32"/>
        </w:rPr>
        <w:t>工作</w:t>
      </w:r>
      <w:bookmarkEnd w:id="141"/>
      <w:bookmarkEnd w:id="142"/>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1.</w:t>
      </w:r>
      <w:r>
        <w:rPr>
          <w:rFonts w:hint="eastAsia" w:ascii="Times New Roman" w:hAnsi="Times New Roman" w:eastAsia="仿宋_GB2312"/>
          <w:b/>
          <w:bCs/>
          <w:color w:val="000000"/>
          <w:sz w:val="32"/>
          <w:szCs w:val="32"/>
        </w:rPr>
        <w:t xml:space="preserve"> </w:t>
      </w:r>
      <w:r>
        <w:rPr>
          <w:rFonts w:ascii="Times New Roman" w:hAnsi="Times New Roman" w:eastAsia="仿宋_GB2312"/>
          <w:b/>
          <w:bCs/>
          <w:color w:val="000000"/>
          <w:sz w:val="32"/>
          <w:szCs w:val="32"/>
        </w:rPr>
        <w:t>加快现代种业发展，强化现代种业企业培育。</w:t>
      </w:r>
      <w:r>
        <w:rPr>
          <w:rFonts w:ascii="Times New Roman" w:hAnsi="Times New Roman" w:eastAsia="仿宋_GB2312"/>
          <w:color w:val="000000"/>
          <w:sz w:val="32"/>
          <w:szCs w:val="32"/>
        </w:rPr>
        <w:t>抓好种业科技创新能力建设，着力培育一批“育繁推一体化”种子龙头企业。建设高标准种业生产基地，保护好种质资源，加大种业扶持力度。</w:t>
      </w:r>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2.</w:t>
      </w:r>
      <w:r>
        <w:rPr>
          <w:rFonts w:hint="eastAsia" w:ascii="Times New Roman" w:hAnsi="Times New Roman" w:eastAsia="仿宋_GB2312"/>
          <w:b/>
          <w:bCs/>
          <w:color w:val="000000"/>
          <w:sz w:val="32"/>
          <w:szCs w:val="32"/>
        </w:rPr>
        <w:t xml:space="preserve"> </w:t>
      </w:r>
      <w:r>
        <w:rPr>
          <w:rFonts w:ascii="Times New Roman" w:hAnsi="Times New Roman" w:eastAsia="仿宋_GB2312"/>
          <w:b/>
          <w:bCs/>
          <w:color w:val="000000"/>
          <w:sz w:val="32"/>
          <w:szCs w:val="32"/>
        </w:rPr>
        <w:t>开展粮食绿色增产模式攻关行动，突出发展专用品牌粮食。</w:t>
      </w:r>
      <w:r>
        <w:rPr>
          <w:rFonts w:ascii="Times New Roman" w:hAnsi="Times New Roman" w:eastAsia="仿宋_GB2312"/>
          <w:color w:val="000000"/>
          <w:sz w:val="32"/>
          <w:szCs w:val="32"/>
        </w:rPr>
        <w:t>依托以鲁王、鲁南、皖雪、兴海等骨干龙头企业，打造粮油加工产业集群，建成全省重要的面粉加工基地；依托正虹、正大源、骆驼等骨干龙头企业，打造全省重要的饲料加工基地；培育大型粮食加工骨干龙头企业，打造知名品牌。</w:t>
      </w:r>
      <w:bookmarkStart w:id="143" w:name="_Toc27719"/>
      <w:bookmarkStart w:id="144" w:name="_Toc1985"/>
    </w:p>
    <w:p>
      <w:pPr>
        <w:pStyle w:val="4"/>
        <w:keepNext w:val="0"/>
        <w:keepLines w:val="0"/>
        <w:spacing w:before="0" w:after="0"/>
        <w:ind w:firstLine="640" w:firstLineChars="200"/>
        <w:rPr>
          <w:rFonts w:ascii="Times New Roman" w:hAnsi="Times New Roman" w:eastAsia="黑体"/>
          <w:b w:val="0"/>
          <w:color w:val="000000"/>
          <w:szCs w:val="32"/>
        </w:rPr>
      </w:pPr>
      <w:bookmarkStart w:id="145" w:name="_Toc7250"/>
      <w:bookmarkStart w:id="146" w:name="_Toc9263"/>
      <w:r>
        <w:rPr>
          <w:rFonts w:ascii="Times New Roman" w:hAnsi="Times New Roman" w:eastAsia="黑体"/>
          <w:b w:val="0"/>
          <w:color w:val="000000"/>
          <w:szCs w:val="32"/>
        </w:rPr>
        <w:t>二、</w:t>
      </w:r>
      <w:bookmarkEnd w:id="143"/>
      <w:bookmarkEnd w:id="144"/>
      <w:bookmarkEnd w:id="145"/>
      <w:bookmarkEnd w:id="146"/>
      <w:bookmarkStart w:id="147" w:name="_Toc15300"/>
      <w:r>
        <w:rPr>
          <w:rFonts w:hint="eastAsia" w:ascii="Times New Roman" w:hAnsi="Times New Roman" w:eastAsia="黑体"/>
          <w:b w:val="0"/>
          <w:color w:val="000000"/>
          <w:szCs w:val="32"/>
        </w:rPr>
        <w:t>水果产业</w:t>
      </w:r>
    </w:p>
    <w:p>
      <w:pPr>
        <w:pStyle w:val="5"/>
        <w:keepNext w:val="0"/>
        <w:keepLines w:val="0"/>
        <w:spacing w:before="0" w:after="0"/>
        <w:ind w:firstLine="642" w:firstLineChars="200"/>
        <w:rPr>
          <w:rFonts w:eastAsia="楷体_GB2312"/>
          <w:color w:val="000000"/>
          <w:sz w:val="32"/>
          <w:szCs w:val="32"/>
        </w:rPr>
      </w:pPr>
      <w:bookmarkStart w:id="148" w:name="_Toc27820"/>
      <w:bookmarkStart w:id="149" w:name="_Toc2535"/>
      <w:bookmarkStart w:id="150" w:name="_Toc3130"/>
      <w:r>
        <w:rPr>
          <w:rFonts w:eastAsia="楷体_GB2312"/>
          <w:color w:val="000000"/>
          <w:sz w:val="32"/>
          <w:szCs w:val="32"/>
        </w:rPr>
        <w:t>（一）发展思路</w:t>
      </w:r>
      <w:bookmarkEnd w:id="147"/>
      <w:bookmarkEnd w:id="148"/>
      <w:bookmarkEnd w:id="149"/>
      <w:bookmarkEnd w:id="150"/>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坚持以生态保护为基准，以助农增收为目标，适度扩大种植面积，建立产业基地。培育和改良树种、品种，重点发展葡萄、石榴、灵枣、和村苹果、黄梨、笆斗杏等，打造“一业一品”发展模式。并通过采摘观光园的建设，打造生态观光经济带。</w:t>
      </w:r>
    </w:p>
    <w:p>
      <w:pPr>
        <w:pStyle w:val="5"/>
        <w:keepNext w:val="0"/>
        <w:keepLines w:val="0"/>
        <w:spacing w:before="0" w:after="0"/>
        <w:ind w:firstLine="642" w:firstLineChars="200"/>
        <w:rPr>
          <w:rFonts w:eastAsia="楷体_GB2312"/>
          <w:color w:val="000000"/>
          <w:sz w:val="32"/>
          <w:szCs w:val="32"/>
        </w:rPr>
      </w:pPr>
      <w:bookmarkStart w:id="151" w:name="_Toc23809"/>
      <w:bookmarkStart w:id="152" w:name="_Toc30230"/>
      <w:bookmarkStart w:id="153" w:name="_Toc5757"/>
      <w:bookmarkStart w:id="154" w:name="_Toc28224"/>
      <w:r>
        <w:rPr>
          <w:rFonts w:eastAsia="楷体_GB2312"/>
          <w:color w:val="000000"/>
          <w:sz w:val="32"/>
          <w:szCs w:val="32"/>
        </w:rPr>
        <w:t>（二）发展目标</w:t>
      </w:r>
      <w:bookmarkEnd w:id="151"/>
      <w:bookmarkEnd w:id="152"/>
      <w:bookmarkEnd w:id="153"/>
      <w:bookmarkEnd w:id="154"/>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适度扩大</w:t>
      </w:r>
      <w:r>
        <w:rPr>
          <w:rFonts w:hint="eastAsia" w:ascii="Times New Roman" w:hAnsi="Times New Roman" w:eastAsia="仿宋_GB2312"/>
          <w:color w:val="000000"/>
          <w:sz w:val="32"/>
          <w:szCs w:val="32"/>
        </w:rPr>
        <w:t>水果产业</w:t>
      </w:r>
      <w:r>
        <w:rPr>
          <w:rFonts w:ascii="Times New Roman" w:hAnsi="Times New Roman" w:eastAsia="仿宋_GB2312"/>
          <w:color w:val="000000"/>
          <w:sz w:val="32"/>
          <w:szCs w:val="32"/>
        </w:rPr>
        <w:t>种植面积，到2025年</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种植面积16万亩，水果年产量24万吨。加大仓储建设力度，打造省级以上的冷链物流基地。初步形成布局区域化、种植品种优质化、生产标准化、经营产业化的</w:t>
      </w:r>
      <w:r>
        <w:rPr>
          <w:rFonts w:hint="eastAsia" w:ascii="Times New Roman" w:hAnsi="Times New Roman" w:eastAsia="仿宋_GB2312"/>
          <w:color w:val="000000"/>
          <w:sz w:val="32"/>
          <w:szCs w:val="32"/>
        </w:rPr>
        <w:t>水果</w:t>
      </w:r>
      <w:r>
        <w:rPr>
          <w:rFonts w:ascii="Times New Roman" w:hAnsi="Times New Roman" w:eastAsia="仿宋_GB2312"/>
          <w:color w:val="000000"/>
          <w:sz w:val="32"/>
          <w:szCs w:val="32"/>
        </w:rPr>
        <w:t>产业发展格局。</w:t>
      </w:r>
    </w:p>
    <w:p>
      <w:pPr>
        <w:pStyle w:val="5"/>
        <w:keepNext w:val="0"/>
        <w:keepLines w:val="0"/>
        <w:spacing w:before="0" w:after="0"/>
        <w:ind w:firstLine="642" w:firstLineChars="200"/>
        <w:rPr>
          <w:rFonts w:eastAsia="楷体_GB2312"/>
          <w:color w:val="000000"/>
          <w:sz w:val="32"/>
          <w:szCs w:val="32"/>
        </w:rPr>
      </w:pPr>
      <w:bookmarkStart w:id="155" w:name="_Toc3301"/>
      <w:bookmarkStart w:id="156" w:name="_Toc10521"/>
      <w:bookmarkStart w:id="157" w:name="_Toc1151"/>
      <w:bookmarkStart w:id="158" w:name="_Toc25726"/>
      <w:r>
        <w:rPr>
          <w:rFonts w:eastAsia="楷体_GB2312"/>
          <w:color w:val="000000"/>
          <w:sz w:val="32"/>
          <w:szCs w:val="32"/>
        </w:rPr>
        <w:t>（三）区域布局</w:t>
      </w:r>
      <w:bookmarkEnd w:id="155"/>
      <w:bookmarkEnd w:id="156"/>
      <w:bookmarkEnd w:id="157"/>
      <w:bookmarkEnd w:id="158"/>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以段园至东部沿山地区，打造10万亩特色优质水果种植园建设，形成示范推广及乡村旅游于一体的观光经济带；沿沱河两岸建设沱河</w:t>
      </w:r>
      <w:r>
        <w:rPr>
          <w:rFonts w:hint="eastAsia" w:ascii="Times New Roman" w:hAnsi="Times New Roman" w:eastAsia="仿宋_GB2312"/>
          <w:color w:val="000000"/>
          <w:sz w:val="32"/>
          <w:szCs w:val="32"/>
        </w:rPr>
        <w:t>水果</w:t>
      </w:r>
      <w:r>
        <w:rPr>
          <w:rFonts w:ascii="Times New Roman" w:hAnsi="Times New Roman" w:eastAsia="仿宋_GB2312"/>
          <w:color w:val="000000"/>
          <w:sz w:val="32"/>
          <w:szCs w:val="32"/>
        </w:rPr>
        <w:t>发展带</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通过种植特色水果，增加经济收入的</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提升景观效果；结合红色旅游线路逐步形成“一镇一品”或“一村一品”的</w:t>
      </w:r>
      <w:r>
        <w:rPr>
          <w:rFonts w:hint="eastAsia" w:ascii="Times New Roman" w:hAnsi="Times New Roman" w:eastAsia="仿宋_GB2312"/>
          <w:color w:val="000000"/>
          <w:sz w:val="32"/>
          <w:szCs w:val="32"/>
        </w:rPr>
        <w:t>水</w:t>
      </w:r>
      <w:r>
        <w:rPr>
          <w:rFonts w:ascii="Times New Roman" w:hAnsi="Times New Roman" w:eastAsia="仿宋_GB2312"/>
          <w:color w:val="000000"/>
          <w:sz w:val="32"/>
          <w:szCs w:val="32"/>
        </w:rPr>
        <w:t xml:space="preserve">果产业观光带。 </w:t>
      </w:r>
    </w:p>
    <w:p>
      <w:pPr>
        <w:pStyle w:val="5"/>
        <w:keepNext w:val="0"/>
        <w:keepLines w:val="0"/>
        <w:spacing w:before="0" w:after="0"/>
        <w:ind w:firstLine="642" w:firstLineChars="200"/>
        <w:rPr>
          <w:rFonts w:eastAsia="楷体_GB2312"/>
          <w:color w:val="000000"/>
          <w:sz w:val="32"/>
          <w:szCs w:val="32"/>
        </w:rPr>
      </w:pPr>
      <w:bookmarkStart w:id="159" w:name="_Toc980"/>
      <w:bookmarkStart w:id="160" w:name="_Toc25431"/>
      <w:bookmarkStart w:id="161" w:name="_Toc24329"/>
      <w:bookmarkStart w:id="162" w:name="_Toc8064"/>
      <w:r>
        <w:rPr>
          <w:rFonts w:eastAsia="楷体_GB2312"/>
          <w:color w:val="000000"/>
          <w:sz w:val="32"/>
          <w:szCs w:val="32"/>
        </w:rPr>
        <w:t>（四）重点</w:t>
      </w:r>
      <w:bookmarkEnd w:id="159"/>
      <w:bookmarkEnd w:id="160"/>
      <w:r>
        <w:rPr>
          <w:rFonts w:eastAsia="楷体_GB2312"/>
          <w:color w:val="000000"/>
          <w:sz w:val="32"/>
          <w:szCs w:val="32"/>
        </w:rPr>
        <w:t>工作</w:t>
      </w:r>
      <w:bookmarkEnd w:id="161"/>
      <w:bookmarkEnd w:id="162"/>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1.</w:t>
      </w:r>
      <w:r>
        <w:rPr>
          <w:rFonts w:hint="eastAsia" w:ascii="Times New Roman" w:hAnsi="Times New Roman" w:eastAsia="仿宋_GB2312"/>
          <w:b/>
          <w:bCs/>
          <w:color w:val="000000"/>
          <w:sz w:val="32"/>
          <w:szCs w:val="32"/>
        </w:rPr>
        <w:t xml:space="preserve"> </w:t>
      </w:r>
      <w:r>
        <w:rPr>
          <w:rFonts w:ascii="Times New Roman" w:hAnsi="Times New Roman" w:eastAsia="仿宋_GB2312"/>
          <w:b/>
          <w:bCs/>
          <w:color w:val="000000"/>
          <w:sz w:val="32"/>
          <w:szCs w:val="32"/>
        </w:rPr>
        <w:t>精心打造</w:t>
      </w:r>
      <w:r>
        <w:rPr>
          <w:rFonts w:hint="eastAsia" w:ascii="Times New Roman" w:hAnsi="Times New Roman" w:eastAsia="仿宋_GB2312"/>
          <w:b/>
          <w:bCs/>
          <w:color w:val="000000"/>
          <w:sz w:val="32"/>
          <w:szCs w:val="32"/>
        </w:rPr>
        <w:t>水果产业基地</w:t>
      </w:r>
      <w:r>
        <w:rPr>
          <w:rFonts w:ascii="Times New Roman" w:hAnsi="Times New Roman" w:eastAsia="仿宋_GB2312"/>
          <w:b/>
          <w:bCs/>
          <w:color w:val="000000"/>
          <w:sz w:val="32"/>
          <w:szCs w:val="32"/>
        </w:rPr>
        <w:t>。</w:t>
      </w:r>
      <w:r>
        <w:rPr>
          <w:rFonts w:ascii="Times New Roman" w:hAnsi="Times New Roman" w:eastAsia="仿宋_GB2312"/>
          <w:color w:val="000000"/>
          <w:sz w:val="32"/>
          <w:szCs w:val="32"/>
        </w:rPr>
        <w:t>适度扩大东部</w:t>
      </w:r>
      <w:r>
        <w:rPr>
          <w:rFonts w:hint="eastAsia" w:ascii="Times New Roman" w:hAnsi="Times New Roman" w:eastAsia="仿宋_GB2312"/>
          <w:color w:val="000000"/>
          <w:sz w:val="32"/>
          <w:szCs w:val="32"/>
        </w:rPr>
        <w:t>水果</w:t>
      </w:r>
      <w:r>
        <w:rPr>
          <w:rFonts w:ascii="Times New Roman" w:hAnsi="Times New Roman" w:eastAsia="仿宋_GB2312"/>
          <w:color w:val="000000"/>
          <w:sz w:val="32"/>
          <w:szCs w:val="32"/>
        </w:rPr>
        <w:t>观光经济带，建设和村“农旅小镇”、升级改造段园葡萄、烈山石榴，在双堆集、南坪</w:t>
      </w:r>
      <w:r>
        <w:rPr>
          <w:rFonts w:hint="eastAsia" w:ascii="Times New Roman" w:hAnsi="Times New Roman" w:eastAsia="仿宋_GB2312"/>
          <w:color w:val="000000"/>
          <w:sz w:val="32"/>
          <w:szCs w:val="32"/>
        </w:rPr>
        <w:t>等镇</w:t>
      </w:r>
      <w:r>
        <w:rPr>
          <w:rFonts w:ascii="Times New Roman" w:hAnsi="Times New Roman" w:eastAsia="仿宋_GB2312"/>
          <w:color w:val="000000"/>
          <w:sz w:val="32"/>
          <w:szCs w:val="32"/>
        </w:rPr>
        <w:t>建设优质葡萄和水蜜桃生产基地。积极谋划四季果园休闲观光带建设，充分发挥乡村资源、生态和文化优势，发展旅游体验一体、休闲度假一体、健康养老一体等新型服务业态。</w:t>
      </w:r>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2.</w:t>
      </w:r>
      <w:r>
        <w:rPr>
          <w:rFonts w:hint="eastAsia" w:ascii="Times New Roman" w:hAnsi="Times New Roman" w:eastAsia="仿宋_GB2312"/>
          <w:b/>
          <w:bCs/>
          <w:color w:val="000000"/>
          <w:sz w:val="32"/>
          <w:szCs w:val="32"/>
        </w:rPr>
        <w:t xml:space="preserve"> </w:t>
      </w:r>
      <w:r>
        <w:rPr>
          <w:rFonts w:ascii="Times New Roman" w:hAnsi="Times New Roman" w:eastAsia="仿宋_GB2312"/>
          <w:b/>
          <w:bCs/>
          <w:color w:val="000000"/>
          <w:sz w:val="32"/>
          <w:szCs w:val="32"/>
        </w:rPr>
        <w:t>建设贮藏保鲜基地。</w:t>
      </w:r>
      <w:r>
        <w:rPr>
          <w:rFonts w:ascii="Times New Roman" w:hAnsi="Times New Roman" w:eastAsia="仿宋_GB2312"/>
          <w:color w:val="000000"/>
          <w:sz w:val="32"/>
          <w:szCs w:val="32"/>
        </w:rPr>
        <w:t>着力实施石榴新品种培育、和村苹果品种改良，加大黄营枣业发展，引进新品种、新技术，延长枣的销售采摘时间。</w:t>
      </w:r>
      <w:bookmarkStart w:id="163" w:name="_Hlk68677132"/>
      <w:r>
        <w:rPr>
          <w:rFonts w:ascii="Times New Roman" w:hAnsi="Times New Roman" w:eastAsia="仿宋_GB2312"/>
          <w:color w:val="000000"/>
          <w:sz w:val="32"/>
          <w:szCs w:val="32"/>
        </w:rPr>
        <w:t>加强水果贮藏保鲜能力，建造大型冷库5-10个。</w:t>
      </w:r>
      <w:bookmarkEnd w:id="163"/>
      <w:r>
        <w:rPr>
          <w:rFonts w:ascii="Times New Roman" w:hAnsi="Times New Roman" w:eastAsia="仿宋_GB2312"/>
          <w:color w:val="000000"/>
          <w:sz w:val="32"/>
          <w:szCs w:val="32"/>
        </w:rPr>
        <w:t xml:space="preserve">鼓励农民自行建设小型贮藏保鲜库，延长果品销售时间，错季销售，提高果品销售价格。 </w:t>
      </w:r>
      <w:bookmarkStart w:id="164" w:name="_Toc1761"/>
      <w:bookmarkStart w:id="165" w:name="_Toc24522"/>
    </w:p>
    <w:p>
      <w:pPr>
        <w:pStyle w:val="4"/>
        <w:keepNext w:val="0"/>
        <w:keepLines w:val="0"/>
        <w:spacing w:before="0" w:after="0"/>
        <w:ind w:firstLine="640" w:firstLineChars="200"/>
        <w:rPr>
          <w:rFonts w:ascii="Times New Roman" w:hAnsi="Times New Roman" w:eastAsia="黑体"/>
          <w:b w:val="0"/>
          <w:color w:val="000000"/>
          <w:szCs w:val="32"/>
        </w:rPr>
      </w:pPr>
      <w:bookmarkStart w:id="166" w:name="_Toc23071"/>
      <w:bookmarkStart w:id="167" w:name="_Toc32060"/>
      <w:r>
        <w:rPr>
          <w:rFonts w:ascii="Times New Roman" w:hAnsi="Times New Roman" w:eastAsia="黑体"/>
          <w:b w:val="0"/>
          <w:color w:val="000000"/>
          <w:szCs w:val="32"/>
        </w:rPr>
        <w:t>三、蔬菜</w:t>
      </w:r>
      <w:bookmarkEnd w:id="164"/>
      <w:r>
        <w:rPr>
          <w:rFonts w:ascii="Times New Roman" w:hAnsi="Times New Roman" w:eastAsia="黑体"/>
          <w:b w:val="0"/>
          <w:color w:val="000000"/>
          <w:szCs w:val="32"/>
        </w:rPr>
        <w:t>产业</w:t>
      </w:r>
      <w:bookmarkEnd w:id="165"/>
      <w:bookmarkEnd w:id="166"/>
      <w:bookmarkEnd w:id="167"/>
    </w:p>
    <w:p>
      <w:pPr>
        <w:pStyle w:val="5"/>
        <w:keepNext w:val="0"/>
        <w:keepLines w:val="0"/>
        <w:spacing w:before="0" w:after="0"/>
        <w:ind w:firstLine="642" w:firstLineChars="200"/>
        <w:rPr>
          <w:rFonts w:eastAsia="楷体_GB2312"/>
          <w:color w:val="000000"/>
          <w:sz w:val="32"/>
          <w:szCs w:val="32"/>
        </w:rPr>
      </w:pPr>
      <w:bookmarkStart w:id="168" w:name="_Toc5293"/>
      <w:bookmarkStart w:id="169" w:name="_Toc4976"/>
      <w:bookmarkStart w:id="170" w:name="_Toc25826"/>
      <w:bookmarkStart w:id="171" w:name="_Toc8094"/>
      <w:r>
        <w:rPr>
          <w:rFonts w:eastAsia="楷体_GB2312"/>
          <w:color w:val="000000"/>
          <w:sz w:val="32"/>
          <w:szCs w:val="32"/>
        </w:rPr>
        <w:t>（一）发展思路</w:t>
      </w:r>
      <w:bookmarkEnd w:id="168"/>
      <w:bookmarkEnd w:id="169"/>
      <w:bookmarkEnd w:id="170"/>
      <w:bookmarkEnd w:id="171"/>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坚持以市场为导向，以提高蔬菜产业的质量效益为核心，实行区域化布局、规模化发展、标准化生产、产业化经营，建立面向本地与长三角</w:t>
      </w:r>
      <w:r>
        <w:rPr>
          <w:rFonts w:hint="eastAsia" w:ascii="Times New Roman" w:hAnsi="Times New Roman" w:eastAsia="仿宋_GB2312"/>
          <w:color w:val="000000"/>
          <w:sz w:val="32"/>
          <w:szCs w:val="32"/>
        </w:rPr>
        <w:t>地区</w:t>
      </w:r>
      <w:r>
        <w:rPr>
          <w:rFonts w:ascii="Times New Roman" w:hAnsi="Times New Roman" w:eastAsia="仿宋_GB2312"/>
          <w:color w:val="000000"/>
          <w:sz w:val="32"/>
          <w:szCs w:val="32"/>
        </w:rPr>
        <w:t>的绿色蔬菜基地，加强基础设施建设，增加反季节蔬菜供给能力。</w:t>
      </w:r>
    </w:p>
    <w:p>
      <w:pPr>
        <w:pStyle w:val="5"/>
        <w:keepNext w:val="0"/>
        <w:keepLines w:val="0"/>
        <w:spacing w:before="0" w:after="0"/>
        <w:ind w:firstLine="642" w:firstLineChars="200"/>
        <w:rPr>
          <w:rFonts w:eastAsia="楷体_GB2312"/>
          <w:color w:val="000000"/>
          <w:sz w:val="32"/>
          <w:szCs w:val="32"/>
        </w:rPr>
      </w:pPr>
      <w:bookmarkStart w:id="172" w:name="_Toc28559"/>
      <w:bookmarkStart w:id="173" w:name="_Toc17036"/>
      <w:bookmarkStart w:id="174" w:name="_Toc31060"/>
      <w:bookmarkStart w:id="175" w:name="_Toc22459"/>
      <w:r>
        <w:rPr>
          <w:rFonts w:eastAsia="楷体_GB2312"/>
          <w:color w:val="000000"/>
          <w:sz w:val="32"/>
          <w:szCs w:val="32"/>
        </w:rPr>
        <w:t>（二）发展目标</w:t>
      </w:r>
      <w:bookmarkEnd w:id="172"/>
      <w:bookmarkEnd w:id="173"/>
      <w:bookmarkEnd w:id="174"/>
      <w:bookmarkEnd w:id="175"/>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到2025年，蔬菜播种面积稳定在35万亩，其中设施蔬菜基地6万亩，蔬菜总产稳定在80万吨，蔬菜质量安全监测合格率99%以上。</w:t>
      </w:r>
      <w:bookmarkStart w:id="176" w:name="_Toc2074"/>
      <w:bookmarkStart w:id="177" w:name="_Toc17608"/>
    </w:p>
    <w:p>
      <w:pPr>
        <w:pStyle w:val="5"/>
        <w:keepNext w:val="0"/>
        <w:keepLines w:val="0"/>
        <w:spacing w:before="0" w:after="0"/>
        <w:ind w:firstLine="642" w:firstLineChars="200"/>
        <w:rPr>
          <w:rFonts w:eastAsia="楷体_GB2312"/>
          <w:color w:val="000000"/>
          <w:sz w:val="32"/>
          <w:szCs w:val="32"/>
        </w:rPr>
      </w:pPr>
      <w:bookmarkStart w:id="178" w:name="_Toc30837"/>
      <w:bookmarkStart w:id="179" w:name="_Toc14381"/>
      <w:r>
        <w:rPr>
          <w:rFonts w:eastAsia="楷体_GB2312"/>
          <w:color w:val="000000"/>
          <w:sz w:val="32"/>
          <w:szCs w:val="32"/>
        </w:rPr>
        <w:t>（三）区域布局</w:t>
      </w:r>
      <w:bookmarkEnd w:id="176"/>
      <w:bookmarkEnd w:id="177"/>
      <w:bookmarkEnd w:id="178"/>
      <w:bookmarkEnd w:id="179"/>
      <w:bookmarkStart w:id="180" w:name="_Toc28246"/>
      <w:bookmarkStart w:id="181" w:name="_Toc19326"/>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坚持保障性蔬菜基地和城市建设同步规划原则，确保蔬菜基地占补平衡稳步发展。近郊加强渠沟镇、高岳</w:t>
      </w:r>
      <w:r>
        <w:rPr>
          <w:rFonts w:hint="eastAsia" w:ascii="Times New Roman" w:hAnsi="Times New Roman" w:eastAsia="仿宋_GB2312"/>
          <w:color w:val="000000"/>
          <w:sz w:val="32"/>
          <w:szCs w:val="32"/>
        </w:rPr>
        <w:t>街道</w:t>
      </w:r>
      <w:r>
        <w:rPr>
          <w:rFonts w:ascii="Times New Roman" w:hAnsi="Times New Roman" w:eastAsia="仿宋_GB2312"/>
          <w:color w:val="000000"/>
          <w:sz w:val="32"/>
          <w:szCs w:val="32"/>
        </w:rPr>
        <w:t>、烈山镇设施蔬菜基地建设，远郊抓好石台、宋疃、古饶、百善、韩村、四铺、五沟、南坪等镇蔬菜产业发展。选择有条件发展万亩以上商品蔬菜基地的镇，进行跨区域规划，连片开发、重点扶持，打造区域内高标准蔬菜产业带。同时，加强蔬菜基地基础设施建设，提高抗灾能力，以保障蔬菜生产稳健发展，提高自给率，做大做强蔬菜产业。</w:t>
      </w:r>
      <w:bookmarkStart w:id="182" w:name="_Toc20431"/>
      <w:bookmarkStart w:id="183" w:name="_Toc23508"/>
    </w:p>
    <w:p>
      <w:pPr>
        <w:spacing w:before="0" w:after="0"/>
        <w:ind w:firstLine="643"/>
        <w:rPr>
          <w:rFonts w:ascii="Times New Roman" w:hAnsi="Times New Roman" w:eastAsia="楷体_GB2312"/>
          <w:b/>
          <w:color w:val="000000"/>
          <w:kern w:val="0"/>
          <w:sz w:val="32"/>
          <w:szCs w:val="32"/>
        </w:rPr>
      </w:pPr>
      <w:r>
        <w:rPr>
          <w:rFonts w:ascii="Times New Roman" w:hAnsi="Times New Roman" w:eastAsia="楷体_GB2312"/>
          <w:b/>
          <w:color w:val="000000"/>
          <w:kern w:val="0"/>
          <w:sz w:val="32"/>
          <w:szCs w:val="32"/>
        </w:rPr>
        <w:t>（四）重点</w:t>
      </w:r>
      <w:bookmarkEnd w:id="180"/>
      <w:bookmarkEnd w:id="181"/>
      <w:r>
        <w:rPr>
          <w:rFonts w:ascii="Times New Roman" w:hAnsi="Times New Roman" w:eastAsia="楷体_GB2312"/>
          <w:b/>
          <w:color w:val="000000"/>
          <w:kern w:val="0"/>
          <w:sz w:val="32"/>
          <w:szCs w:val="32"/>
        </w:rPr>
        <w:t>工作</w:t>
      </w:r>
      <w:bookmarkEnd w:id="182"/>
      <w:bookmarkEnd w:id="183"/>
    </w:p>
    <w:p>
      <w:pPr>
        <w:spacing w:before="0" w:after="0"/>
        <w:ind w:firstLine="643"/>
        <w:rPr>
          <w:rFonts w:ascii="Times New Roman" w:hAnsi="Times New Roman" w:eastAsia="仿宋_GB2312"/>
          <w:color w:val="000000"/>
          <w:kern w:val="0"/>
          <w:sz w:val="32"/>
          <w:szCs w:val="32"/>
        </w:rPr>
      </w:pPr>
      <w:r>
        <w:rPr>
          <w:rFonts w:ascii="Times New Roman" w:hAnsi="Times New Roman" w:eastAsia="仿宋_GB2312"/>
          <w:b/>
          <w:bCs/>
          <w:color w:val="000000"/>
          <w:sz w:val="32"/>
          <w:szCs w:val="32"/>
        </w:rPr>
        <w:t>1. 加大蔬菜基地建设。</w:t>
      </w:r>
      <w:r>
        <w:rPr>
          <w:rFonts w:ascii="Times New Roman" w:hAnsi="Times New Roman" w:eastAsia="仿宋_GB2312"/>
          <w:color w:val="000000"/>
          <w:kern w:val="0"/>
          <w:sz w:val="32"/>
          <w:szCs w:val="32"/>
        </w:rPr>
        <w:t>按照统一规划、合理布局、集中连片的原则，改造升级原有蔬菜生产基地，逐步建成能排能灌、土壤肥沃、通行便利、抗灾能力较强的高产稳产基地。利用秸秆资源发展食用菌生产，加大以水利设施和温室、大棚为重点的菜地基础设施建设，创建一批规模化种植、标准化生产、商品化处理、品牌化销售、产业化经营的国家级、省级蔬菜标准园。</w:t>
      </w:r>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2.</w:t>
      </w:r>
      <w:r>
        <w:rPr>
          <w:rFonts w:hint="eastAsia" w:ascii="Times New Roman" w:hAnsi="Times New Roman" w:eastAsia="仿宋_GB2312"/>
          <w:b/>
          <w:bCs/>
          <w:color w:val="000000"/>
          <w:sz w:val="32"/>
          <w:szCs w:val="32"/>
        </w:rPr>
        <w:t xml:space="preserve"> </w:t>
      </w:r>
      <w:r>
        <w:rPr>
          <w:rFonts w:ascii="Times New Roman" w:hAnsi="Times New Roman" w:eastAsia="仿宋_GB2312"/>
          <w:b/>
          <w:bCs/>
          <w:color w:val="000000"/>
          <w:sz w:val="32"/>
          <w:szCs w:val="32"/>
        </w:rPr>
        <w:t>加大田头预冷等商品化处理设施建设。</w:t>
      </w:r>
      <w:r>
        <w:rPr>
          <w:rFonts w:ascii="Times New Roman" w:hAnsi="Times New Roman" w:eastAsia="仿宋_GB2312"/>
          <w:color w:val="000000"/>
          <w:sz w:val="32"/>
          <w:szCs w:val="32"/>
        </w:rPr>
        <w:t>按菜地面积和商品化处理需求，扶持外销量较大的蔬菜基地配置相应的预冷设施、整理分级车间、冷藏库，以及清洗、分级、包装等设备，切实提高蔬菜商品质量、减少损耗，增强市场调剂能力。</w:t>
      </w:r>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3.</w:t>
      </w:r>
      <w:r>
        <w:rPr>
          <w:rFonts w:hint="eastAsia" w:ascii="Times New Roman" w:hAnsi="Times New Roman" w:eastAsia="仿宋_GB2312"/>
          <w:b/>
          <w:bCs/>
          <w:color w:val="000000"/>
          <w:sz w:val="32"/>
          <w:szCs w:val="32"/>
        </w:rPr>
        <w:t xml:space="preserve"> </w:t>
      </w:r>
      <w:r>
        <w:rPr>
          <w:rFonts w:ascii="Times New Roman" w:hAnsi="Times New Roman" w:eastAsia="仿宋_GB2312"/>
          <w:b/>
          <w:bCs/>
          <w:color w:val="000000"/>
          <w:sz w:val="32"/>
          <w:szCs w:val="32"/>
        </w:rPr>
        <w:t>加大蔬菜质量安全监管。</w:t>
      </w:r>
      <w:r>
        <w:rPr>
          <w:rFonts w:ascii="Times New Roman" w:hAnsi="Times New Roman" w:eastAsia="仿宋_GB2312"/>
          <w:color w:val="000000"/>
          <w:sz w:val="32"/>
          <w:szCs w:val="32"/>
        </w:rPr>
        <w:t>合理分布蔬菜检测点，建立健全产品质量安全检验检测体系，建立蔬菜质量安全可追溯体系，推行蔬菜产品质量安全追溯制度。</w:t>
      </w:r>
    </w:p>
    <w:p>
      <w:pPr>
        <w:pStyle w:val="4"/>
        <w:keepNext w:val="0"/>
        <w:keepLines w:val="0"/>
        <w:spacing w:before="0" w:after="0"/>
        <w:ind w:firstLine="640" w:firstLineChars="200"/>
        <w:rPr>
          <w:rFonts w:ascii="Times New Roman" w:hAnsi="Times New Roman" w:eastAsia="黑体"/>
          <w:b w:val="0"/>
          <w:color w:val="000000"/>
          <w:szCs w:val="32"/>
        </w:rPr>
      </w:pPr>
      <w:bookmarkStart w:id="184" w:name="_Toc12759"/>
      <w:bookmarkStart w:id="185" w:name="_Toc7921"/>
      <w:bookmarkStart w:id="186" w:name="_Toc27084"/>
      <w:bookmarkStart w:id="187" w:name="_Toc31498"/>
      <w:r>
        <w:rPr>
          <w:rFonts w:ascii="Times New Roman" w:hAnsi="Times New Roman" w:eastAsia="黑体"/>
          <w:b w:val="0"/>
          <w:color w:val="000000"/>
          <w:szCs w:val="32"/>
        </w:rPr>
        <w:t>四、养殖</w:t>
      </w:r>
      <w:bookmarkEnd w:id="184"/>
      <w:r>
        <w:rPr>
          <w:rFonts w:ascii="Times New Roman" w:hAnsi="Times New Roman" w:eastAsia="黑体"/>
          <w:b w:val="0"/>
          <w:color w:val="000000"/>
          <w:szCs w:val="32"/>
        </w:rPr>
        <w:t>产业</w:t>
      </w:r>
      <w:bookmarkEnd w:id="185"/>
      <w:bookmarkEnd w:id="186"/>
      <w:bookmarkEnd w:id="187"/>
    </w:p>
    <w:p>
      <w:pPr>
        <w:pStyle w:val="5"/>
        <w:keepNext w:val="0"/>
        <w:keepLines w:val="0"/>
        <w:spacing w:before="0" w:after="0"/>
        <w:ind w:firstLine="642" w:firstLineChars="200"/>
        <w:rPr>
          <w:rFonts w:eastAsia="楷体_GB2312"/>
          <w:color w:val="000000"/>
          <w:sz w:val="32"/>
          <w:szCs w:val="32"/>
        </w:rPr>
      </w:pPr>
      <w:bookmarkStart w:id="188" w:name="_Toc11852"/>
      <w:bookmarkStart w:id="189" w:name="_Toc14033"/>
      <w:bookmarkStart w:id="190" w:name="_Toc28763"/>
      <w:bookmarkStart w:id="191" w:name="_Toc12458"/>
      <w:r>
        <w:rPr>
          <w:rFonts w:eastAsia="楷体_GB2312"/>
          <w:color w:val="000000"/>
          <w:sz w:val="32"/>
          <w:szCs w:val="32"/>
        </w:rPr>
        <w:t>（一）发展</w:t>
      </w:r>
      <w:bookmarkEnd w:id="188"/>
      <w:r>
        <w:rPr>
          <w:rFonts w:eastAsia="楷体_GB2312"/>
          <w:color w:val="000000"/>
          <w:sz w:val="32"/>
          <w:szCs w:val="32"/>
        </w:rPr>
        <w:t>思路</w:t>
      </w:r>
      <w:bookmarkEnd w:id="189"/>
      <w:bookmarkEnd w:id="190"/>
      <w:bookmarkEnd w:id="191"/>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对接长三角需求，大力优化畜禽水产产业空间布局，进一步提升生猪、家禽、肉牛、肉羊、奶牛等产业优势，推行标准化规模养殖，努力提高规模化集约化水平，初步建成生猪和家禽两大全产业链，推动屠宰企业和养殖场挂钩、屠宰企业与商超对接，建设智慧冷链物流集散交易中心、兽医实验室及相关配套设施，大力发展安全高效环保饲料产品，着力构建畜禽养殖设施现代化、生产规范化、防疫制度化、粪污处理无害化的养殖产业集群。</w:t>
      </w:r>
    </w:p>
    <w:p>
      <w:pPr>
        <w:pStyle w:val="5"/>
        <w:keepNext w:val="0"/>
        <w:keepLines w:val="0"/>
        <w:spacing w:before="0" w:after="0"/>
        <w:ind w:firstLine="642" w:firstLineChars="200"/>
        <w:rPr>
          <w:rFonts w:eastAsia="楷体_GB2312"/>
          <w:color w:val="000000"/>
          <w:sz w:val="32"/>
          <w:szCs w:val="32"/>
        </w:rPr>
      </w:pPr>
      <w:bookmarkStart w:id="192" w:name="_Toc10122"/>
      <w:bookmarkStart w:id="193" w:name="_Toc16911"/>
      <w:bookmarkStart w:id="194" w:name="_Toc20339"/>
      <w:r>
        <w:rPr>
          <w:rFonts w:eastAsia="楷体_GB2312"/>
          <w:color w:val="000000"/>
          <w:sz w:val="32"/>
          <w:szCs w:val="32"/>
        </w:rPr>
        <w:t>（二）发展目标</w:t>
      </w:r>
      <w:bookmarkEnd w:id="192"/>
      <w:bookmarkEnd w:id="193"/>
      <w:bookmarkEnd w:id="194"/>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到2025年，培育出一批国家和省级畜禽核心育种场，形成具有较强区域影响力的生猪和家禽良种繁育中心。生猪出栏量120万头以上，肉蛋奶总产量21.8万吨以上。建成一批水产生态健康养殖基地，水产品总产量2.6万吨以上。</w:t>
      </w:r>
      <w:r>
        <w:rPr>
          <w:rFonts w:hint="eastAsia" w:ascii="Times New Roman" w:hAnsi="Times New Roman" w:eastAsia="仿宋_GB2312"/>
          <w:color w:val="000000"/>
          <w:sz w:val="32"/>
          <w:szCs w:val="32"/>
        </w:rPr>
        <w:t>大型规模养殖场粪污处理设施装备配套率达到100%</w:t>
      </w:r>
      <w:r>
        <w:rPr>
          <w:rFonts w:ascii="Times New Roman" w:hAnsi="Times New Roman" w:eastAsia="仿宋_GB2312"/>
          <w:color w:val="000000"/>
          <w:sz w:val="32"/>
          <w:szCs w:val="32"/>
        </w:rPr>
        <w:t>，畜禽粪污综合利用率实现85%，规模养殖比重达到8</w:t>
      </w:r>
      <w:r>
        <w:rPr>
          <w:rFonts w:hint="eastAsia" w:ascii="Times New Roman" w:hAnsi="Times New Roman" w:eastAsia="仿宋_GB2312"/>
          <w:color w:val="000000"/>
          <w:sz w:val="32"/>
          <w:szCs w:val="32"/>
        </w:rPr>
        <w:t>0</w:t>
      </w:r>
      <w:r>
        <w:rPr>
          <w:rFonts w:ascii="Times New Roman" w:hAnsi="Times New Roman" w:eastAsia="仿宋_GB2312"/>
          <w:color w:val="000000"/>
          <w:sz w:val="32"/>
          <w:szCs w:val="32"/>
        </w:rPr>
        <w:t>%以上，畜禽养殖标准化示范场100家以上。</w:t>
      </w:r>
    </w:p>
    <w:p>
      <w:pPr>
        <w:pStyle w:val="5"/>
        <w:keepNext w:val="0"/>
        <w:keepLines w:val="0"/>
        <w:spacing w:before="0" w:after="0"/>
        <w:ind w:firstLine="642" w:firstLineChars="200"/>
        <w:rPr>
          <w:rFonts w:eastAsia="楷体_GB2312"/>
          <w:color w:val="000000"/>
          <w:sz w:val="32"/>
          <w:szCs w:val="32"/>
        </w:rPr>
      </w:pPr>
      <w:bookmarkStart w:id="195" w:name="_Toc6424"/>
      <w:bookmarkStart w:id="196" w:name="_Toc11875"/>
      <w:bookmarkStart w:id="197" w:name="_Toc16476"/>
      <w:r>
        <w:rPr>
          <w:rFonts w:eastAsia="楷体_GB2312"/>
          <w:color w:val="000000"/>
          <w:sz w:val="32"/>
          <w:szCs w:val="32"/>
        </w:rPr>
        <w:t>（三）区域布局</w:t>
      </w:r>
      <w:bookmarkEnd w:id="195"/>
      <w:bookmarkEnd w:id="196"/>
      <w:bookmarkEnd w:id="197"/>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在城市周边、水源地重点保护区划定限养区，控制养殖业发展。生猪和牛羊规模养殖重点向隋堤两侧及以南地区布局，奶牛养殖重点向南坪、临涣等地区布局，打造百万头生猪生产基地和百万头（只）草食动物生产基地；家禽养殖重点向濉溪县四铺、韩村、铁佛、百善、孙疃等镇集中，培育家禽养殖基地；杜集区朔里、石台、段园等城市周边乡镇，避开城镇规划区，结合高效农业发展适度布局规模养殖；在</w:t>
      </w:r>
      <w:r>
        <w:rPr>
          <w:rFonts w:hint="eastAsia" w:ascii="Times New Roman" w:hAnsi="Times New Roman" w:eastAsia="仿宋_GB2312"/>
          <w:color w:val="000000"/>
          <w:sz w:val="32"/>
          <w:szCs w:val="32"/>
        </w:rPr>
        <w:t>濉溪县</w:t>
      </w:r>
      <w:r>
        <w:rPr>
          <w:rFonts w:ascii="Times New Roman" w:hAnsi="Times New Roman" w:eastAsia="仿宋_GB2312"/>
          <w:color w:val="000000"/>
          <w:sz w:val="32"/>
          <w:szCs w:val="32"/>
        </w:rPr>
        <w:t>百善、孙疃、五沟、刘桥、韩村等镇因地制宜，发展水产生态健康养殖。</w:t>
      </w:r>
    </w:p>
    <w:p>
      <w:pPr>
        <w:pStyle w:val="5"/>
        <w:keepNext w:val="0"/>
        <w:keepLines w:val="0"/>
        <w:spacing w:before="0" w:after="0"/>
        <w:ind w:firstLine="642" w:firstLineChars="200"/>
        <w:rPr>
          <w:rFonts w:eastAsia="楷体_GB2312"/>
          <w:color w:val="000000"/>
          <w:sz w:val="32"/>
          <w:szCs w:val="32"/>
        </w:rPr>
      </w:pPr>
      <w:bookmarkStart w:id="198" w:name="_Toc19613"/>
      <w:bookmarkStart w:id="199" w:name="_Toc7673"/>
      <w:bookmarkStart w:id="200" w:name="_Toc27472"/>
      <w:bookmarkStart w:id="201" w:name="_Toc23355"/>
      <w:r>
        <w:rPr>
          <w:rFonts w:eastAsia="楷体_GB2312"/>
          <w:color w:val="000000"/>
          <w:sz w:val="32"/>
          <w:szCs w:val="32"/>
        </w:rPr>
        <w:t>（四）重点</w:t>
      </w:r>
      <w:bookmarkEnd w:id="198"/>
      <w:bookmarkEnd w:id="199"/>
      <w:r>
        <w:rPr>
          <w:rFonts w:eastAsia="楷体_GB2312"/>
          <w:color w:val="000000"/>
          <w:sz w:val="32"/>
          <w:szCs w:val="32"/>
        </w:rPr>
        <w:t>工作</w:t>
      </w:r>
      <w:bookmarkEnd w:id="200"/>
      <w:bookmarkEnd w:id="201"/>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1.</w:t>
      </w:r>
      <w:r>
        <w:rPr>
          <w:rFonts w:hint="eastAsia" w:ascii="Times New Roman" w:hAnsi="Times New Roman" w:eastAsia="仿宋_GB2312"/>
          <w:b/>
          <w:bCs/>
          <w:color w:val="000000"/>
          <w:sz w:val="32"/>
          <w:szCs w:val="32"/>
        </w:rPr>
        <w:t xml:space="preserve"> </w:t>
      </w:r>
      <w:r>
        <w:rPr>
          <w:rFonts w:ascii="Times New Roman" w:hAnsi="Times New Roman" w:eastAsia="仿宋_GB2312"/>
          <w:b/>
          <w:bCs/>
          <w:color w:val="000000"/>
          <w:sz w:val="32"/>
          <w:szCs w:val="32"/>
        </w:rPr>
        <w:t>推进良种繁育建设。</w:t>
      </w:r>
      <w:r>
        <w:rPr>
          <w:rFonts w:ascii="Times New Roman" w:hAnsi="Times New Roman" w:eastAsia="仿宋_GB2312"/>
          <w:color w:val="000000"/>
          <w:sz w:val="32"/>
          <w:szCs w:val="32"/>
        </w:rPr>
        <w:t>实施新一轮畜禽遗传改良计划和现代种业提升工程，汇聚全市种业企业、高校、科研机构等科技力量，开展麻鸡、生猪等畜禽良种重大科研联合攻关，加快培育一批具有自主知识产权的优良畜禽新品种（系）。</w:t>
      </w:r>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2.</w:t>
      </w:r>
      <w:r>
        <w:rPr>
          <w:rFonts w:hint="eastAsia" w:ascii="Times New Roman" w:hAnsi="Times New Roman" w:eastAsia="仿宋_GB2312"/>
          <w:b/>
          <w:bCs/>
          <w:color w:val="000000"/>
          <w:sz w:val="32"/>
          <w:szCs w:val="32"/>
        </w:rPr>
        <w:t xml:space="preserve"> </w:t>
      </w:r>
      <w:r>
        <w:rPr>
          <w:rFonts w:ascii="Times New Roman" w:hAnsi="Times New Roman" w:eastAsia="仿宋_GB2312"/>
          <w:b/>
          <w:bCs/>
          <w:color w:val="000000"/>
          <w:sz w:val="32"/>
          <w:szCs w:val="32"/>
        </w:rPr>
        <w:t>发展标准化规模养殖。</w:t>
      </w:r>
      <w:r>
        <w:rPr>
          <w:rFonts w:ascii="Times New Roman" w:hAnsi="Times New Roman" w:eastAsia="仿宋_GB2312"/>
          <w:color w:val="000000"/>
          <w:sz w:val="32"/>
          <w:szCs w:val="32"/>
        </w:rPr>
        <w:t>全力保障大型养殖企业生猪养殖项目用地需求，新建、改建生猪规模养殖场。实施奶业振兴行动，建设奶牛标准化规模养殖场。</w:t>
      </w:r>
      <w:r>
        <w:rPr>
          <w:rFonts w:hint="eastAsia" w:ascii="Times New Roman" w:hAnsi="Times New Roman" w:eastAsia="仿宋_GB2312"/>
          <w:color w:val="000000"/>
          <w:sz w:val="32"/>
          <w:szCs w:val="32"/>
        </w:rPr>
        <w:t>实施水产绿色健康养殖，新建、改（扩）建循环水养殖基地和池塘标准化养殖基地。</w:t>
      </w:r>
      <w:r>
        <w:rPr>
          <w:rFonts w:ascii="Times New Roman" w:hAnsi="Times New Roman" w:eastAsia="仿宋_GB2312"/>
          <w:color w:val="000000"/>
          <w:sz w:val="32"/>
          <w:szCs w:val="32"/>
        </w:rPr>
        <w:t>做大生猪、家禽和肉牛产业，打造长三角地区重要生猪、牛、家禽供应基地，结合神华、宝迪等畜产品加工企业，逐步形成屠宰加工、生产畜禽冷鲜肉、精细包装、高档熟食等系列肉制产品加工集群，建设生猪和家禽两大全产业链。鼓励企业完善粪便污水综合处理利用技术，支持养殖场流转周边土地进行规模种植，实现种养循环。</w:t>
      </w:r>
    </w:p>
    <w:p>
      <w:pPr>
        <w:spacing w:before="0" w:after="0"/>
        <w:ind w:firstLine="643"/>
        <w:rPr>
          <w:rFonts w:ascii="Times New Roman" w:hAnsi="Times New Roman" w:eastAsia="仿宋_GB2312"/>
          <w:color w:val="000000"/>
          <w:sz w:val="32"/>
          <w:szCs w:val="32"/>
        </w:rPr>
      </w:pPr>
      <w:bookmarkStart w:id="202" w:name="_Toc32638"/>
      <w:bookmarkStart w:id="203" w:name="_Toc19979"/>
      <w:bookmarkStart w:id="204" w:name="_Toc25767"/>
      <w:r>
        <w:rPr>
          <w:rFonts w:ascii="Times New Roman" w:hAnsi="Times New Roman" w:eastAsia="仿宋_GB2312"/>
          <w:b/>
          <w:bCs/>
          <w:color w:val="000000"/>
          <w:sz w:val="32"/>
          <w:szCs w:val="32"/>
        </w:rPr>
        <w:t>3.</w:t>
      </w:r>
      <w:r>
        <w:rPr>
          <w:rFonts w:hint="eastAsia" w:ascii="Times New Roman" w:hAnsi="Times New Roman" w:eastAsia="仿宋_GB2312"/>
          <w:b/>
          <w:bCs/>
          <w:color w:val="000000"/>
          <w:sz w:val="32"/>
          <w:szCs w:val="32"/>
        </w:rPr>
        <w:t xml:space="preserve"> </w:t>
      </w:r>
      <w:r>
        <w:rPr>
          <w:rFonts w:ascii="Times New Roman" w:hAnsi="Times New Roman" w:eastAsia="仿宋_GB2312"/>
          <w:b/>
          <w:bCs/>
          <w:color w:val="000000"/>
          <w:sz w:val="32"/>
          <w:szCs w:val="32"/>
        </w:rPr>
        <w:t>强化疫病防控和畜禽产品质量安全监管。</w:t>
      </w:r>
      <w:r>
        <w:rPr>
          <w:rFonts w:ascii="Times New Roman" w:hAnsi="Times New Roman" w:eastAsia="仿宋_GB2312"/>
          <w:color w:val="000000"/>
          <w:sz w:val="32"/>
          <w:szCs w:val="32"/>
        </w:rPr>
        <w:t>加强投入品监管、产品检疫检测等机制建设，提高动物防疫监管能力，探索建立科学、高效的动物疫病风险评估体系。加快推进牛羊种畜禽场主要疫病监测净化，从源头控制动物疫病风险，支持引导具备条件的规模养殖场完善生物安全措施，建立无特定病原场（群）。建设畜牧智慧监管平台，推动传统监管向线上智慧监管转变，保证畜禽重大动物疫病强制免疫率达100%。</w:t>
      </w:r>
    </w:p>
    <w:p>
      <w:pPr>
        <w:pStyle w:val="4"/>
        <w:keepNext w:val="0"/>
        <w:keepLines w:val="0"/>
        <w:spacing w:before="0" w:after="0"/>
        <w:ind w:firstLine="640" w:firstLineChars="200"/>
        <w:rPr>
          <w:rFonts w:ascii="Times New Roman" w:hAnsi="Times New Roman" w:eastAsia="黑体"/>
          <w:b w:val="0"/>
          <w:color w:val="000000"/>
          <w:szCs w:val="32"/>
        </w:rPr>
      </w:pPr>
      <w:r>
        <w:rPr>
          <w:rFonts w:ascii="Times New Roman" w:hAnsi="Times New Roman" w:eastAsia="黑体"/>
          <w:b w:val="0"/>
          <w:color w:val="000000"/>
          <w:szCs w:val="32"/>
        </w:rPr>
        <w:t>五、休闲农业和乡村旅游</w:t>
      </w:r>
    </w:p>
    <w:p>
      <w:pPr>
        <w:pStyle w:val="5"/>
        <w:keepNext w:val="0"/>
        <w:keepLines w:val="0"/>
        <w:spacing w:before="0" w:after="0"/>
        <w:ind w:firstLine="642" w:firstLineChars="200"/>
        <w:rPr>
          <w:rFonts w:eastAsia="楷体_GB2312"/>
          <w:color w:val="000000"/>
          <w:sz w:val="32"/>
          <w:szCs w:val="32"/>
        </w:rPr>
      </w:pPr>
      <w:r>
        <w:rPr>
          <w:rFonts w:eastAsia="楷体_GB2312"/>
          <w:color w:val="000000"/>
          <w:sz w:val="32"/>
          <w:szCs w:val="32"/>
        </w:rPr>
        <w:t>（一）发展思路</w:t>
      </w:r>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按照“农旅结合、三产互动、接二连三”的发展思路，以现代农业产业园、田园综合体建设为抓手，加强“农业观光、农事体验、乡土风情、红色文化、乡村旅游”整体策划和宣传促销，把农业休闲观光产业发展和美丽乡村建设结合起来，完善基础设施、提高园区建设和服务水平，实施民居改造，美化农村环境，以点串线、连线成片。实施休闲农业和乡村旅游精品工程，打造一批基础设施完善、功能多样的休闲农业和乡村旅游示范园区，突出品质提升，有计划、有步骤、有重点地推动乡村旅游业发展。</w:t>
      </w:r>
    </w:p>
    <w:p>
      <w:pPr>
        <w:pStyle w:val="5"/>
        <w:keepNext w:val="0"/>
        <w:keepLines w:val="0"/>
        <w:spacing w:before="0" w:after="0"/>
        <w:ind w:firstLine="642" w:firstLineChars="200"/>
        <w:rPr>
          <w:rFonts w:eastAsia="楷体_GB2312"/>
          <w:color w:val="000000"/>
          <w:sz w:val="32"/>
          <w:szCs w:val="32"/>
        </w:rPr>
      </w:pPr>
      <w:r>
        <w:rPr>
          <w:rFonts w:eastAsia="楷体_GB2312"/>
          <w:color w:val="000000"/>
          <w:sz w:val="32"/>
          <w:szCs w:val="32"/>
        </w:rPr>
        <w:t>（二）发展目标</w:t>
      </w:r>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到2025年，争创省级休闲农业和乡村旅游示范园区6个，年接待游客突破</w:t>
      </w:r>
      <w:r>
        <w:rPr>
          <w:rFonts w:hint="eastAsia" w:ascii="Times New Roman" w:hAnsi="Times New Roman" w:eastAsia="仿宋_GB2312"/>
          <w:color w:val="000000"/>
          <w:sz w:val="32"/>
          <w:szCs w:val="32"/>
        </w:rPr>
        <w:t>400</w:t>
      </w:r>
      <w:r>
        <w:rPr>
          <w:rFonts w:ascii="Times New Roman" w:hAnsi="Times New Roman" w:eastAsia="仿宋_GB2312"/>
          <w:color w:val="000000"/>
          <w:sz w:val="32"/>
          <w:szCs w:val="32"/>
        </w:rPr>
        <w:t>万人次，旅游收入达</w:t>
      </w:r>
      <w:r>
        <w:rPr>
          <w:rFonts w:hint="eastAsia" w:ascii="Times New Roman" w:hAnsi="Times New Roman" w:eastAsia="仿宋_GB2312"/>
          <w:color w:val="000000"/>
          <w:sz w:val="32"/>
          <w:szCs w:val="32"/>
        </w:rPr>
        <w:t>10</w:t>
      </w:r>
      <w:r>
        <w:rPr>
          <w:rFonts w:ascii="Times New Roman" w:hAnsi="Times New Roman" w:eastAsia="仿宋_GB2312"/>
          <w:color w:val="000000"/>
          <w:sz w:val="32"/>
          <w:szCs w:val="32"/>
        </w:rPr>
        <w:t>亿元，全域农旅融合的格局基本形成。</w:t>
      </w:r>
    </w:p>
    <w:p>
      <w:pPr>
        <w:pStyle w:val="5"/>
        <w:keepNext w:val="0"/>
        <w:keepLines w:val="0"/>
        <w:spacing w:before="0" w:after="0"/>
        <w:ind w:firstLine="642" w:firstLineChars="200"/>
        <w:rPr>
          <w:rFonts w:eastAsia="楷体_GB2312"/>
          <w:color w:val="000000"/>
          <w:sz w:val="32"/>
          <w:szCs w:val="32"/>
        </w:rPr>
      </w:pPr>
      <w:r>
        <w:rPr>
          <w:rFonts w:eastAsia="楷体_GB2312"/>
          <w:color w:val="000000"/>
          <w:sz w:val="32"/>
          <w:szCs w:val="32"/>
        </w:rPr>
        <w:t>（三）重点工作</w:t>
      </w:r>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1.</w:t>
      </w:r>
      <w:r>
        <w:rPr>
          <w:rFonts w:hint="eastAsia" w:ascii="Times New Roman" w:hAnsi="Times New Roman" w:eastAsia="仿宋_GB2312"/>
          <w:b/>
          <w:bCs/>
          <w:color w:val="000000"/>
          <w:sz w:val="32"/>
          <w:szCs w:val="32"/>
        </w:rPr>
        <w:t xml:space="preserve"> </w:t>
      </w:r>
      <w:r>
        <w:rPr>
          <w:rFonts w:ascii="Times New Roman" w:hAnsi="Times New Roman" w:eastAsia="仿宋_GB2312"/>
          <w:b/>
          <w:bCs/>
          <w:color w:val="000000"/>
          <w:sz w:val="32"/>
          <w:szCs w:val="32"/>
        </w:rPr>
        <w:t>打造休闲乡村旅游线路。城郊休闲乡村旅游路线：</w:t>
      </w:r>
      <w:r>
        <w:rPr>
          <w:rFonts w:ascii="Times New Roman" w:hAnsi="Times New Roman" w:eastAsia="仿宋_GB2312"/>
          <w:color w:val="000000"/>
          <w:sz w:val="32"/>
          <w:szCs w:val="32"/>
        </w:rPr>
        <w:t>依托相山-黄里生态文化旅游区和南湖湿地公园，以渠沟芳香</w:t>
      </w:r>
      <w:r>
        <w:rPr>
          <w:rFonts w:hint="eastAsia" w:ascii="Times New Roman" w:hAnsi="Times New Roman" w:eastAsia="仿宋_GB2312"/>
          <w:color w:val="000000"/>
          <w:sz w:val="32"/>
          <w:szCs w:val="32"/>
        </w:rPr>
        <w:t>小镇</w:t>
      </w:r>
      <w:r>
        <w:rPr>
          <w:rFonts w:ascii="Times New Roman" w:hAnsi="Times New Roman" w:eastAsia="仿宋_GB2312"/>
          <w:color w:val="000000"/>
          <w:sz w:val="32"/>
          <w:szCs w:val="32"/>
        </w:rPr>
        <w:t>和高岳现代农业产业园为核心，连接钟楼民俗文化大观园、朔西湖景区等，推进休闲农业发展，培育乡村旅游新业态，发展乡村民俗体验，繁荣农村经济。</w:t>
      </w:r>
      <w:r>
        <w:rPr>
          <w:rFonts w:ascii="Times New Roman" w:hAnsi="Times New Roman" w:eastAsia="仿宋_GB2312"/>
          <w:b/>
          <w:bCs/>
          <w:color w:val="000000"/>
          <w:sz w:val="32"/>
          <w:szCs w:val="32"/>
        </w:rPr>
        <w:t>田园果香乡村旅游路线：</w:t>
      </w:r>
      <w:r>
        <w:rPr>
          <w:rFonts w:ascii="Times New Roman" w:hAnsi="Times New Roman" w:eastAsia="仿宋_GB2312"/>
          <w:color w:val="000000"/>
          <w:sz w:val="32"/>
          <w:szCs w:val="32"/>
        </w:rPr>
        <w:t>以东外环路为主线，连接段园葡萄庄园、南山景区、龙脊山风景区、四季榴园风景区、七彩和村农旅小镇、五铺现代农业庄园等，通过点状开展休闲、乡旅、采摘等活动，带动沿线乡村旅游和经济发展。</w:t>
      </w:r>
      <w:r>
        <w:rPr>
          <w:rFonts w:ascii="Times New Roman" w:hAnsi="Times New Roman" w:eastAsia="仿宋_GB2312"/>
          <w:b/>
          <w:bCs/>
          <w:color w:val="000000"/>
          <w:sz w:val="32"/>
          <w:szCs w:val="32"/>
        </w:rPr>
        <w:t>运河文化乡村旅游路线：</w:t>
      </w:r>
      <w:r>
        <w:rPr>
          <w:rFonts w:ascii="Times New Roman" w:hAnsi="Times New Roman" w:eastAsia="仿宋_GB2312"/>
          <w:color w:val="000000"/>
          <w:sz w:val="32"/>
          <w:szCs w:val="32"/>
        </w:rPr>
        <w:t>依托运河、古城文化，借助濉溪古城、乾隆湖风景区和隋唐大运河柳孜遗址、临涣古镇、铁佛古城汉墓等，打造运河文化旅游、古城慢生活为核心的运河文化乡村旅游路线。</w:t>
      </w:r>
      <w:r>
        <w:rPr>
          <w:rFonts w:ascii="Times New Roman" w:hAnsi="Times New Roman" w:eastAsia="仿宋_GB2312"/>
          <w:b/>
          <w:bCs/>
          <w:color w:val="000000"/>
          <w:sz w:val="32"/>
          <w:szCs w:val="32"/>
        </w:rPr>
        <w:t>红色爱国教育旅游路线：</w:t>
      </w:r>
      <w:r>
        <w:rPr>
          <w:rFonts w:ascii="Times New Roman" w:hAnsi="Times New Roman" w:eastAsia="仿宋_GB2312"/>
          <w:color w:val="000000"/>
          <w:sz w:val="32"/>
          <w:szCs w:val="32"/>
        </w:rPr>
        <w:t>围绕文昌宫爱国主义教育基地、韩村小李家红色旅游区、双堆集烈士陵园等联动发展，打造红色旅游精品线路。</w:t>
      </w:r>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2.</w:t>
      </w:r>
      <w:r>
        <w:rPr>
          <w:rFonts w:hint="eastAsia" w:ascii="Times New Roman" w:hAnsi="Times New Roman" w:eastAsia="仿宋_GB2312"/>
          <w:b/>
          <w:bCs/>
          <w:color w:val="000000"/>
          <w:sz w:val="32"/>
          <w:szCs w:val="32"/>
        </w:rPr>
        <w:t xml:space="preserve"> </w:t>
      </w:r>
      <w:r>
        <w:rPr>
          <w:rFonts w:ascii="Times New Roman" w:hAnsi="Times New Roman" w:eastAsia="仿宋_GB2312"/>
          <w:b/>
          <w:bCs/>
          <w:color w:val="000000"/>
          <w:sz w:val="32"/>
          <w:szCs w:val="32"/>
        </w:rPr>
        <w:t>强化休闲农业和乡村旅游产业园</w:t>
      </w:r>
      <w:r>
        <w:rPr>
          <w:rFonts w:hint="eastAsia" w:ascii="Times New Roman" w:hAnsi="Times New Roman" w:eastAsia="仿宋_GB2312"/>
          <w:b/>
          <w:bCs/>
          <w:color w:val="000000"/>
          <w:sz w:val="32"/>
          <w:szCs w:val="32"/>
        </w:rPr>
        <w:t>区</w:t>
      </w:r>
      <w:r>
        <w:rPr>
          <w:rFonts w:ascii="Times New Roman" w:hAnsi="Times New Roman" w:eastAsia="仿宋_GB2312"/>
          <w:b/>
          <w:bCs/>
          <w:color w:val="000000"/>
          <w:sz w:val="32"/>
          <w:szCs w:val="32"/>
        </w:rPr>
        <w:t>建设。</w:t>
      </w:r>
      <w:r>
        <w:rPr>
          <w:rFonts w:ascii="Times New Roman" w:hAnsi="Times New Roman" w:eastAsia="仿宋_GB2312"/>
          <w:color w:val="000000"/>
          <w:sz w:val="32"/>
          <w:szCs w:val="32"/>
        </w:rPr>
        <w:t>结合田园综合体和美丽乡村建设，改建新建农家乐、精品民宿和整体环境等接待设施；深入挖掘红色历史文化资源，着力打造爱国主义教育基地；高规格举办石榴文化旅游节、段园葡萄采摘节、黄里杏花节等各类农事节庆活动，带动特色农产品发展；打造一批休闲农业和乡村旅游知名品牌，提升休闲农业和乡村旅游品质；以</w:t>
      </w:r>
      <w:r>
        <w:rPr>
          <w:rFonts w:hint="eastAsia" w:ascii="Times New Roman" w:hAnsi="Times New Roman" w:eastAsia="仿宋_GB2312"/>
          <w:color w:val="000000"/>
          <w:sz w:val="32"/>
          <w:szCs w:val="32"/>
        </w:rPr>
        <w:t>水</w:t>
      </w:r>
      <w:r>
        <w:rPr>
          <w:rFonts w:ascii="Times New Roman" w:hAnsi="Times New Roman" w:eastAsia="仿宋_GB2312"/>
          <w:color w:val="000000"/>
          <w:sz w:val="32"/>
          <w:szCs w:val="32"/>
        </w:rPr>
        <w:t>果、花卉、蔬菜等特色农产品为抓手，强化产业支撑，加快一二三产业融合，注重建设效益，将休闲农业和乡村旅游打造成为全市农村经济社会发展的新亮点、新业态。</w:t>
      </w:r>
    </w:p>
    <w:p>
      <w:pPr>
        <w:pStyle w:val="2"/>
        <w:spacing w:before="0" w:after="0"/>
        <w:ind w:firstLine="602"/>
      </w:pPr>
    </w:p>
    <w:p>
      <w:pPr>
        <w:pStyle w:val="4"/>
        <w:keepNext w:val="0"/>
        <w:keepLines w:val="0"/>
        <w:spacing w:before="0" w:after="0"/>
        <w:jc w:val="center"/>
        <w:rPr>
          <w:rFonts w:ascii="Times New Roman" w:hAnsi="Times New Roman" w:eastAsia="黑体"/>
          <w:b w:val="0"/>
          <w:color w:val="000000"/>
          <w:szCs w:val="32"/>
        </w:rPr>
      </w:pPr>
      <w:bookmarkStart w:id="205" w:name="_Toc25647"/>
      <w:bookmarkStart w:id="206" w:name="_Toc27559"/>
      <w:r>
        <w:rPr>
          <w:rFonts w:ascii="Times New Roman" w:hAnsi="Times New Roman" w:eastAsia="黑体"/>
          <w:b w:val="0"/>
          <w:color w:val="000000"/>
          <w:szCs w:val="32"/>
        </w:rPr>
        <w:t>第六章 农村改革与乡村建设</w:t>
      </w:r>
      <w:bookmarkEnd w:id="202"/>
      <w:bookmarkEnd w:id="203"/>
      <w:bookmarkEnd w:id="205"/>
      <w:bookmarkEnd w:id="206"/>
      <w:bookmarkStart w:id="207" w:name="_Toc17530"/>
      <w:bookmarkStart w:id="208" w:name="_Toc7888"/>
      <w:bookmarkStart w:id="209" w:name="_Toc22589"/>
      <w:bookmarkStart w:id="210" w:name="_Toc2517"/>
    </w:p>
    <w:p>
      <w:pPr>
        <w:pStyle w:val="4"/>
        <w:keepNext w:val="0"/>
        <w:keepLines w:val="0"/>
        <w:spacing w:before="0" w:after="0"/>
        <w:ind w:firstLine="640" w:firstLineChars="200"/>
        <w:rPr>
          <w:rFonts w:ascii="Times New Roman" w:hAnsi="Times New Roman" w:eastAsia="黑体"/>
          <w:b w:val="0"/>
          <w:color w:val="000000"/>
          <w:szCs w:val="32"/>
        </w:rPr>
      </w:pPr>
      <w:r>
        <w:rPr>
          <w:rFonts w:ascii="Times New Roman" w:hAnsi="Times New Roman" w:eastAsia="黑体"/>
          <w:b w:val="0"/>
          <w:color w:val="000000"/>
          <w:szCs w:val="32"/>
        </w:rPr>
        <w:t>一、农村改革</w:t>
      </w:r>
      <w:bookmarkEnd w:id="207"/>
      <w:bookmarkEnd w:id="208"/>
      <w:bookmarkEnd w:id="209"/>
      <w:bookmarkEnd w:id="210"/>
    </w:p>
    <w:p>
      <w:pPr>
        <w:pStyle w:val="5"/>
        <w:keepNext w:val="0"/>
        <w:keepLines w:val="0"/>
        <w:spacing w:before="0" w:after="0"/>
        <w:ind w:firstLine="642" w:firstLineChars="200"/>
        <w:rPr>
          <w:rFonts w:eastAsia="楷体_GB2312"/>
          <w:color w:val="000000"/>
          <w:sz w:val="32"/>
          <w:szCs w:val="32"/>
        </w:rPr>
      </w:pPr>
      <w:bookmarkStart w:id="211" w:name="_Toc15509"/>
      <w:bookmarkStart w:id="212" w:name="_Toc5777"/>
      <w:bookmarkStart w:id="213" w:name="_Toc7929"/>
      <w:bookmarkStart w:id="214" w:name="_Toc26458"/>
      <w:r>
        <w:rPr>
          <w:rFonts w:eastAsia="楷体_GB2312"/>
          <w:color w:val="000000"/>
          <w:sz w:val="32"/>
          <w:szCs w:val="32"/>
        </w:rPr>
        <w:t>（一）深化农村土地制度改革</w:t>
      </w:r>
      <w:bookmarkEnd w:id="211"/>
      <w:bookmarkEnd w:id="212"/>
      <w:bookmarkEnd w:id="213"/>
      <w:bookmarkEnd w:id="214"/>
    </w:p>
    <w:p>
      <w:pPr>
        <w:pStyle w:val="23"/>
        <w:spacing w:before="0" w:beforeAutospacing="0" w:after="0" w:afterAutospacing="0"/>
        <w:ind w:firstLine="640" w:firstLineChars="200"/>
        <w:jc w:val="both"/>
        <w:rPr>
          <w:rFonts w:ascii="Times New Roman" w:hAnsi="Times New Roman" w:eastAsia="仿宋_GB2312"/>
          <w:color w:val="000000"/>
          <w:kern w:val="2"/>
          <w:sz w:val="32"/>
          <w:szCs w:val="32"/>
        </w:rPr>
      </w:pPr>
      <w:bookmarkStart w:id="215" w:name="_Toc8204"/>
      <w:bookmarkStart w:id="216" w:name="_Toc9300"/>
      <w:bookmarkStart w:id="217" w:name="_Toc26038"/>
      <w:bookmarkStart w:id="218" w:name="_Toc24594"/>
      <w:r>
        <w:rPr>
          <w:rFonts w:ascii="Times New Roman" w:hAnsi="Times New Roman" w:eastAsia="仿宋_GB2312"/>
          <w:color w:val="000000"/>
          <w:kern w:val="2"/>
          <w:sz w:val="32"/>
          <w:szCs w:val="32"/>
        </w:rPr>
        <w:t>巩固完善农村基本经营制度，落实第二轮土地承包到期后再延长30年政策，完善农村承包地所有权、承包权、经营权分置制度，进一步放活经营权。</w:t>
      </w:r>
      <w:r>
        <w:rPr>
          <w:rFonts w:ascii="Times New Roman" w:hAnsi="Times New Roman" w:eastAsia="仿宋_GB2312"/>
          <w:color w:val="000000"/>
          <w:sz w:val="32"/>
          <w:szCs w:val="32"/>
        </w:rPr>
        <w:t>推广“大托管”“股份合作”等模式，加快土地流转，促进土地适度规模经营，推广杜集区试点经验，全面推进农村闲置宅基地和闲置农房盘活利用改革，打造一批可复制、可推广的典型案例。</w:t>
      </w:r>
      <w:r>
        <w:rPr>
          <w:rFonts w:ascii="Times New Roman" w:hAnsi="Times New Roman" w:eastAsia="仿宋_GB2312"/>
          <w:color w:val="000000"/>
          <w:kern w:val="2"/>
          <w:sz w:val="32"/>
          <w:szCs w:val="32"/>
        </w:rPr>
        <w:t>积极探索实施农村集体经营性建设用地入市制度。完善盘活农村存量建设用地政策，实行负面清单管理，优先保障乡村产业发展、乡村建设用地。保障进城落户农民土地承包权、宅基地使用权、集体收益分配权，研究制定依法自愿有偿转让的具体办法。按照“取之于农，主要用之于农”的要求，调整完善土地出让收入使用范围，提高农业农村投入比例，重点用于农村人居环境整治、村庄基础设施建设和高标准农田建设。</w:t>
      </w:r>
    </w:p>
    <w:p>
      <w:pPr>
        <w:pStyle w:val="5"/>
        <w:keepNext w:val="0"/>
        <w:keepLines w:val="0"/>
        <w:spacing w:before="0" w:after="0"/>
        <w:ind w:firstLine="642" w:firstLineChars="200"/>
        <w:rPr>
          <w:rFonts w:eastAsia="楷体_GB2312"/>
          <w:color w:val="000000"/>
          <w:sz w:val="32"/>
          <w:szCs w:val="32"/>
        </w:rPr>
      </w:pPr>
      <w:r>
        <w:rPr>
          <w:rFonts w:eastAsia="楷体_GB2312"/>
          <w:color w:val="000000"/>
          <w:sz w:val="32"/>
          <w:szCs w:val="32"/>
        </w:rPr>
        <w:t>（二）深化农村集体产权制度改革</w:t>
      </w:r>
      <w:bookmarkEnd w:id="215"/>
      <w:bookmarkEnd w:id="216"/>
      <w:bookmarkEnd w:id="217"/>
      <w:bookmarkEnd w:id="218"/>
    </w:p>
    <w:p>
      <w:pPr>
        <w:pStyle w:val="8"/>
        <w:spacing w:before="0" w:after="0"/>
        <w:ind w:firstLine="640"/>
        <w:jc w:val="both"/>
        <w:rPr>
          <w:rFonts w:ascii="Times New Roman" w:hAnsi="Times New Roman" w:eastAsia="仿宋_GB2312"/>
          <w:color w:val="000000"/>
          <w:szCs w:val="32"/>
        </w:rPr>
      </w:pPr>
      <w:r>
        <w:rPr>
          <w:rFonts w:ascii="Times New Roman" w:hAnsi="Times New Roman" w:eastAsia="仿宋_GB2312"/>
          <w:color w:val="000000"/>
          <w:szCs w:val="32"/>
        </w:rPr>
        <w:t>巩固农村集体产权制度改革成果，探索赋予农民集体资产股份权能，深入推进农村“三变”改革，发展新型农村集体经济。完善农村集体产权权能，农民对集体资产股份占有、收益、有偿退出及担保、继承权。依法合规开展农村集体经营性建设用地使用权、农民房屋财产权、集体林权抵押融资，以及承包地经营权、集体资产股权等担保融资。积极探索集体资产股权质押贷款办法，健全农村产权流转交易市场，推动农村各类产权流转交易公开规范运行。</w:t>
      </w:r>
      <w:bookmarkStart w:id="219" w:name="_Toc25715"/>
      <w:bookmarkStart w:id="220" w:name="_Toc25131"/>
      <w:bookmarkStart w:id="221" w:name="_Toc21987"/>
      <w:bookmarkStart w:id="222" w:name="_Toc24774"/>
      <w:r>
        <w:rPr>
          <w:rFonts w:ascii="Times New Roman" w:hAnsi="Times New Roman" w:eastAsia="仿宋_GB2312"/>
          <w:color w:val="000000"/>
          <w:szCs w:val="32"/>
        </w:rPr>
        <w:t>探索成立村社合一的乡村振兴公司，大力发展村级集体经济，力争全市农民财产性收入翻一番。</w:t>
      </w:r>
    </w:p>
    <w:p>
      <w:pPr>
        <w:pStyle w:val="5"/>
        <w:keepNext w:val="0"/>
        <w:keepLines w:val="0"/>
        <w:spacing w:before="0" w:after="0"/>
        <w:ind w:firstLine="642" w:firstLineChars="200"/>
        <w:rPr>
          <w:rFonts w:eastAsia="楷体_GB2312"/>
          <w:color w:val="000000"/>
          <w:sz w:val="32"/>
          <w:szCs w:val="32"/>
        </w:rPr>
      </w:pPr>
      <w:r>
        <w:rPr>
          <w:rFonts w:eastAsia="楷体_GB2312"/>
          <w:color w:val="000000"/>
          <w:sz w:val="32"/>
          <w:szCs w:val="32"/>
        </w:rPr>
        <w:t>（三）完善农业支持保护制度</w:t>
      </w:r>
      <w:bookmarkEnd w:id="219"/>
      <w:bookmarkEnd w:id="220"/>
      <w:bookmarkEnd w:id="221"/>
      <w:bookmarkEnd w:id="222"/>
    </w:p>
    <w:p>
      <w:pPr>
        <w:pStyle w:val="8"/>
        <w:spacing w:before="0" w:after="0"/>
        <w:ind w:firstLine="640"/>
        <w:jc w:val="both"/>
        <w:rPr>
          <w:rFonts w:ascii="Times New Roman" w:hAnsi="Times New Roman" w:eastAsia="仿宋_GB2312"/>
          <w:color w:val="000000"/>
          <w:szCs w:val="32"/>
        </w:rPr>
      </w:pPr>
      <w:r>
        <w:rPr>
          <w:rFonts w:ascii="Times New Roman" w:hAnsi="Times New Roman" w:eastAsia="仿宋_GB2312"/>
          <w:color w:val="000000"/>
          <w:szCs w:val="32"/>
        </w:rPr>
        <w:t>按照增加总量、优化存量、提高效能的原则，强化高质量绿色发展导向，加快构建新型农业补贴政策体系。健全农村金融服务体系，完善金融支农激励机制，扩大农村资产抵押担保融资范围，发展农业保险。完善农业保险政策体系，设计多层次、可选择、不同保障水平的保险产品，稳定并扩大重要大宗农作物保险覆盖面，提高小农户投保率，逐步提高特色险占农业保险比重。打通金融服务“三农”各个环节，建立县域银行业金融机构服务“三农”的激励约束机制，实现普惠</w:t>
      </w:r>
      <w:r>
        <w:rPr>
          <w:rFonts w:hint="eastAsia" w:ascii="Times New Roman" w:hAnsi="Times New Roman" w:eastAsia="仿宋_GB2312"/>
          <w:color w:val="000000"/>
          <w:szCs w:val="32"/>
        </w:rPr>
        <w:t>型</w:t>
      </w:r>
      <w:r>
        <w:rPr>
          <w:rFonts w:ascii="Times New Roman" w:hAnsi="Times New Roman" w:eastAsia="仿宋_GB2312"/>
          <w:color w:val="000000"/>
          <w:szCs w:val="32"/>
        </w:rPr>
        <w:t>涉农贷款增速总体高于各项贷款平均增速。用好差别化准备金率和差异化监管等政策，切实降低“三农”信贷担保服务门槛，鼓励银行业金融机构加大对乡村振兴中长期信贷支持力度。</w:t>
      </w:r>
    </w:p>
    <w:p>
      <w:pPr>
        <w:pStyle w:val="4"/>
        <w:keepNext w:val="0"/>
        <w:keepLines w:val="0"/>
        <w:spacing w:before="0" w:after="0"/>
        <w:ind w:firstLine="640" w:firstLineChars="200"/>
        <w:rPr>
          <w:rFonts w:ascii="Times New Roman" w:hAnsi="Times New Roman" w:eastAsia="黑体"/>
          <w:b w:val="0"/>
          <w:color w:val="000000"/>
          <w:szCs w:val="32"/>
        </w:rPr>
      </w:pPr>
      <w:bookmarkStart w:id="223" w:name="_Toc24939"/>
      <w:bookmarkStart w:id="224" w:name="_Toc22945"/>
      <w:bookmarkStart w:id="225" w:name="_Toc22920"/>
      <w:bookmarkStart w:id="226" w:name="_Toc6924"/>
      <w:r>
        <w:rPr>
          <w:rFonts w:ascii="Times New Roman" w:hAnsi="Times New Roman" w:eastAsia="黑体"/>
          <w:b w:val="0"/>
          <w:color w:val="000000"/>
          <w:szCs w:val="32"/>
        </w:rPr>
        <w:t>二、乡村建设</w:t>
      </w:r>
      <w:bookmarkEnd w:id="223"/>
      <w:bookmarkEnd w:id="224"/>
      <w:bookmarkEnd w:id="225"/>
      <w:bookmarkEnd w:id="226"/>
    </w:p>
    <w:p>
      <w:pPr>
        <w:pStyle w:val="5"/>
        <w:keepNext w:val="0"/>
        <w:keepLines w:val="0"/>
        <w:spacing w:before="0" w:after="0"/>
        <w:ind w:firstLine="642" w:firstLineChars="200"/>
        <w:rPr>
          <w:rFonts w:eastAsia="楷体_GB2312"/>
          <w:color w:val="000000"/>
          <w:sz w:val="32"/>
          <w:szCs w:val="32"/>
        </w:rPr>
      </w:pPr>
      <w:bookmarkStart w:id="227" w:name="_Toc14528"/>
      <w:bookmarkStart w:id="228" w:name="_Toc20554"/>
      <w:bookmarkStart w:id="229" w:name="_Toc20542"/>
      <w:bookmarkStart w:id="230" w:name="_Toc19054"/>
      <w:r>
        <w:rPr>
          <w:rFonts w:eastAsia="楷体_GB2312"/>
          <w:color w:val="000000"/>
          <w:sz w:val="32"/>
          <w:szCs w:val="32"/>
        </w:rPr>
        <w:t>（一）提升乡村规划</w:t>
      </w:r>
      <w:bookmarkEnd w:id="227"/>
      <w:r>
        <w:rPr>
          <w:rFonts w:eastAsia="楷体_GB2312"/>
          <w:color w:val="000000"/>
          <w:sz w:val="32"/>
          <w:szCs w:val="32"/>
        </w:rPr>
        <w:t>管理水平</w:t>
      </w:r>
      <w:bookmarkEnd w:id="228"/>
      <w:bookmarkEnd w:id="229"/>
      <w:bookmarkEnd w:id="230"/>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强化村庄建设规划管理，分类推进村庄建设，明确1348个集聚提升类村庄在原有的基础上提升建设水平，进一步集聚吸纳人口。92个城郊融合类村庄与城市建设一起规划、共同发展。34个特色保护类村庄强化历史文化保护和旅游开发，233个搬迁撤并类村庄按照“尊重传统村庄自然演进”规律有序迁并。推行“微田园、生态化”的乡村规划建设模式，推动农村（产业）发展规划、土地利用总体规划等“多规合一”，到2025年</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实施规划编制的村庄达到80%以上。科学布局村庄的生产、生活和生态空间，加强原生植被、古树名木、自然景观、小微湿地恢复和保护，保护好乡村传统肌理、空间形态和传统建筑。强化新建农房规划管控，加强农村建房规划引导，实行村庄居民点宅基地控制规模，严格落实“一户一宅”法律规定。</w:t>
      </w:r>
    </w:p>
    <w:p>
      <w:pPr>
        <w:pStyle w:val="5"/>
        <w:keepNext w:val="0"/>
        <w:keepLines w:val="0"/>
        <w:spacing w:before="0" w:after="0"/>
        <w:ind w:firstLine="642" w:firstLineChars="200"/>
        <w:rPr>
          <w:rFonts w:eastAsia="楷体_GB2312"/>
          <w:color w:val="000000"/>
          <w:sz w:val="32"/>
          <w:szCs w:val="32"/>
        </w:rPr>
      </w:pPr>
      <w:bookmarkStart w:id="231" w:name="_Toc13594"/>
      <w:bookmarkStart w:id="232" w:name="_Toc19781"/>
      <w:bookmarkStart w:id="233" w:name="_Toc21346"/>
      <w:bookmarkStart w:id="234" w:name="_Toc17820"/>
      <w:r>
        <w:rPr>
          <w:rFonts w:eastAsia="楷体_GB2312"/>
          <w:color w:val="000000"/>
          <w:sz w:val="32"/>
          <w:szCs w:val="32"/>
        </w:rPr>
        <w:t>（二）</w:t>
      </w:r>
      <w:bookmarkEnd w:id="231"/>
      <w:r>
        <w:rPr>
          <w:rFonts w:eastAsia="楷体_GB2312"/>
          <w:color w:val="000000"/>
          <w:sz w:val="32"/>
          <w:szCs w:val="32"/>
        </w:rPr>
        <w:t>提升乡村宜居水平</w:t>
      </w:r>
      <w:bookmarkEnd w:id="232"/>
      <w:bookmarkEnd w:id="233"/>
      <w:bookmarkEnd w:id="234"/>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推进美丽乡村“全域化”建设，</w:t>
      </w:r>
      <w:r>
        <w:rPr>
          <w:rFonts w:hint="eastAsia" w:ascii="Times New Roman" w:hAnsi="Times New Roman" w:eastAsia="仿宋_GB2312"/>
          <w:color w:val="000000"/>
          <w:sz w:val="32"/>
          <w:szCs w:val="32"/>
        </w:rPr>
        <w:t>实施</w:t>
      </w:r>
      <w:r>
        <w:rPr>
          <w:rFonts w:ascii="Times New Roman" w:hAnsi="Times New Roman" w:eastAsia="仿宋_GB2312"/>
          <w:color w:val="000000"/>
          <w:sz w:val="32"/>
          <w:szCs w:val="32"/>
        </w:rPr>
        <w:t>农村生活垃圾、污水、畜禽粪便、村容村貌治理和道路及边沟改造、绿化提升、农村改厕、美化亮化等环境整治工程，强化农房建设、给水设施改造、村庄河道标准化建设，增加公用配套和公共服务设施建设，推广清洁能源等设施完善提升工程，在农村人居环境整治的基础上, 进一步提高农村基础设施建设管理水平，确保农村环境稳步改善。坚持把农村环境治理与乡村产业发展、乡风文明建设、乡村治理、农民收入增加结合起来，补齐公共基础设施等突出短板，把产业留在乡村，提升乡村宜居水平。构建以交通干线为主轴、以中心村为支撑的美丽乡村景观带，将农村环境卫生要求纳入村规民约，明确农民维护公共环境责任，鼓励农民和村集体经济组织全程参与规划、建设、运营和管理。开展美丽宜居村庄和最美庭院创建活动，增强典型示范带动作用，</w:t>
      </w:r>
      <w:bookmarkStart w:id="235" w:name="_Hlk62301811"/>
      <w:r>
        <w:rPr>
          <w:rFonts w:ascii="Times New Roman" w:hAnsi="Times New Roman" w:eastAsia="仿宋_GB2312"/>
          <w:color w:val="000000"/>
          <w:sz w:val="32"/>
          <w:szCs w:val="32"/>
        </w:rPr>
        <w:t>创建</w:t>
      </w:r>
      <w:r>
        <w:rPr>
          <w:rFonts w:hint="eastAsia" w:ascii="Times New Roman" w:hAnsi="Times New Roman" w:eastAsia="仿宋_GB2312"/>
          <w:color w:val="000000"/>
          <w:sz w:val="32"/>
          <w:szCs w:val="32"/>
        </w:rPr>
        <w:t>一批</w:t>
      </w:r>
      <w:r>
        <w:rPr>
          <w:rFonts w:ascii="Times New Roman" w:hAnsi="Times New Roman" w:eastAsia="仿宋_GB2312"/>
          <w:color w:val="000000"/>
          <w:sz w:val="32"/>
          <w:szCs w:val="32"/>
        </w:rPr>
        <w:t>基础设施健全、环境清洁整齐、村容村貌良好、有产业特色、有文化内涵、生态宜居的示范村，实现乡村美丽生态、美丽经济、美丽生活的“三美融合</w:t>
      </w:r>
      <w:bookmarkEnd w:id="235"/>
      <w:r>
        <w:rPr>
          <w:rFonts w:ascii="Times New Roman" w:hAnsi="Times New Roman" w:eastAsia="仿宋_GB2312"/>
          <w:color w:val="000000"/>
          <w:sz w:val="32"/>
          <w:szCs w:val="32"/>
        </w:rPr>
        <w:t>”</w:t>
      </w:r>
      <w:r>
        <w:rPr>
          <w:rFonts w:hint="eastAsia" w:ascii="Times New Roman" w:hAnsi="Times New Roman" w:eastAsia="仿宋_GB2312"/>
          <w:color w:val="000000"/>
          <w:sz w:val="32"/>
          <w:szCs w:val="32"/>
        </w:rPr>
        <w:t>。</w:t>
      </w:r>
    </w:p>
    <w:p>
      <w:pPr>
        <w:pStyle w:val="5"/>
        <w:keepNext w:val="0"/>
        <w:keepLines w:val="0"/>
        <w:spacing w:before="0" w:after="0"/>
        <w:ind w:firstLine="642" w:firstLineChars="200"/>
        <w:rPr>
          <w:rFonts w:eastAsia="楷体_GB2312"/>
          <w:color w:val="000000"/>
          <w:sz w:val="32"/>
          <w:szCs w:val="32"/>
        </w:rPr>
      </w:pPr>
      <w:bookmarkStart w:id="236" w:name="_Toc3759"/>
      <w:bookmarkStart w:id="237" w:name="_Toc20239"/>
      <w:bookmarkStart w:id="238" w:name="_Toc18772"/>
      <w:bookmarkStart w:id="239" w:name="_Toc12761"/>
      <w:r>
        <w:rPr>
          <w:rFonts w:eastAsia="楷体_GB2312"/>
          <w:color w:val="000000"/>
          <w:sz w:val="32"/>
          <w:szCs w:val="32"/>
        </w:rPr>
        <w:t>（三）推进县乡公共服务一体化</w:t>
      </w:r>
      <w:bookmarkEnd w:id="236"/>
      <w:bookmarkEnd w:id="237"/>
      <w:bookmarkEnd w:id="238"/>
      <w:bookmarkEnd w:id="239"/>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以城乡融合发展为导向，建立覆盖城乡的教育服务体系、卫生服务体系、文化服务体系、科技服务体系、农村信息服务体系和居民社会保障体系，强化农村公共服务城乡统筹，提升农村教育、医疗、文化、社保等基本公共服务供给质量，缩小县乡发展差距，建立县乡功能衔接互补的公共服务体系，逐步实现县乡基本服务均等化、一体化。完善农村留守儿童和妇女、老年人关爱服务体系，促进流动人口有效参与农村社区服务管理，统筹城乡社会救助体系，完善最低生活保障制度、优抚安置制度。完善县乡村信息服务体系，搭建农村综合信息服务平台，加大对农村义务教育的投入，鼓励城区教师到农村支教，落实乡村医生补助政策，推进新型农村合作医疗和城乡基本公共卫生服务均等化，推动教育、医疗卫生等公共服务资源县域内的优化配置。</w:t>
      </w:r>
    </w:p>
    <w:p>
      <w:pPr>
        <w:pStyle w:val="5"/>
        <w:keepNext w:val="0"/>
        <w:keepLines w:val="0"/>
        <w:spacing w:before="0" w:after="0"/>
        <w:ind w:firstLine="642" w:firstLineChars="200"/>
        <w:rPr>
          <w:rFonts w:eastAsia="楷体_GB2312"/>
          <w:color w:val="000000"/>
          <w:sz w:val="32"/>
          <w:szCs w:val="32"/>
        </w:rPr>
      </w:pPr>
      <w:bookmarkStart w:id="240" w:name="_Toc20392"/>
      <w:bookmarkStart w:id="241" w:name="_Toc24317"/>
      <w:bookmarkStart w:id="242" w:name="_Toc4854"/>
      <w:bookmarkStart w:id="243" w:name="_Toc1129"/>
      <w:r>
        <w:rPr>
          <w:rFonts w:eastAsia="楷体_GB2312"/>
          <w:color w:val="000000"/>
          <w:sz w:val="32"/>
          <w:szCs w:val="32"/>
        </w:rPr>
        <w:t>（四）强化乡村人才队伍建设</w:t>
      </w:r>
      <w:bookmarkEnd w:id="240"/>
      <w:bookmarkEnd w:id="241"/>
      <w:bookmarkEnd w:id="242"/>
      <w:bookmarkEnd w:id="243"/>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努力培养造就懂农业、知农村、爱农民的“三农”工作队伍，加大本土人才培育力度，培养“本土能人”。加强“三农”工作干部队伍培养、配备、管理、使用，强化现有乡村干部和后备干部培训，形成干部向农村基层一线流动的用人导向。依托当地职业教育资源，支持新型职业农民通过弹性学制参加中高等农业职业教育，强化新型职业农民培育信息化平台学习。实施乡村科技人才培育工程，鼓励和引导农业科技人才通过技术开发、承包经营、投资入股、成果转让、提供有偿技术服务等形式，从事农技推广或产业化经营活动。积极发掘和培养各领域能工巧匠、民间艺人等乡土人才，定期举办传统技艺技能大赛，加强乡土人才技能培训和示范。落实吸引人才返乡留乡政策支持体系，打通城乡人才培养交流通道，吸引各类人才投身乡村建设。</w:t>
      </w:r>
      <w:bookmarkEnd w:id="204"/>
      <w:bookmarkStart w:id="244" w:name="_Toc4470"/>
      <w:bookmarkStart w:id="245" w:name="_Toc14521"/>
    </w:p>
    <w:p>
      <w:pPr>
        <w:pStyle w:val="4"/>
        <w:keepNext w:val="0"/>
        <w:keepLines w:val="0"/>
        <w:spacing w:before="0" w:after="0"/>
        <w:jc w:val="center"/>
        <w:rPr>
          <w:rFonts w:ascii="Times New Roman" w:hAnsi="Times New Roman" w:eastAsia="黑体"/>
          <w:b w:val="0"/>
          <w:color w:val="000000"/>
          <w:szCs w:val="32"/>
        </w:rPr>
      </w:pPr>
    </w:p>
    <w:p>
      <w:pPr>
        <w:pStyle w:val="4"/>
        <w:keepNext w:val="0"/>
        <w:keepLines w:val="0"/>
        <w:spacing w:before="0" w:after="0"/>
        <w:jc w:val="center"/>
        <w:rPr>
          <w:rFonts w:ascii="Times New Roman" w:hAnsi="Times New Roman" w:eastAsia="仿宋_GB2312"/>
          <w:color w:val="000000"/>
          <w:szCs w:val="32"/>
        </w:rPr>
      </w:pPr>
      <w:r>
        <w:rPr>
          <w:rFonts w:ascii="Times New Roman" w:hAnsi="Times New Roman" w:eastAsia="黑体"/>
          <w:b w:val="0"/>
          <w:color w:val="000000"/>
          <w:szCs w:val="32"/>
        </w:rPr>
        <w:t>第七章  重大工程项目</w:t>
      </w:r>
    </w:p>
    <w:p>
      <w:pPr>
        <w:spacing w:before="0" w:after="0"/>
        <w:ind w:firstLine="640"/>
        <w:rPr>
          <w:rFonts w:ascii="Times New Roman" w:hAnsi="Times New Roman" w:eastAsia="仿宋_GB2312"/>
          <w:color w:val="000000"/>
          <w:kern w:val="0"/>
          <w:sz w:val="32"/>
          <w:szCs w:val="32"/>
        </w:rPr>
      </w:pPr>
      <w:r>
        <w:rPr>
          <w:rFonts w:ascii="Times New Roman" w:hAnsi="Times New Roman" w:eastAsia="仿宋_GB2312"/>
          <w:color w:val="000000"/>
          <w:kern w:val="0"/>
          <w:sz w:val="32"/>
          <w:szCs w:val="32"/>
        </w:rPr>
        <w:t>在“十四五”发展期间,实施</w:t>
      </w:r>
      <w:r>
        <w:rPr>
          <w:rFonts w:ascii="Times New Roman" w:hAnsi="Times New Roman" w:eastAsia="仿宋_GB2312"/>
          <w:color w:val="000000"/>
          <w:sz w:val="32"/>
          <w:szCs w:val="32"/>
        </w:rPr>
        <w:t>现代农业提质增效、乡村产业融合、</w:t>
      </w:r>
      <w:r>
        <w:rPr>
          <w:rFonts w:hint="eastAsia" w:ascii="Times New Roman" w:hAnsi="Times New Roman" w:eastAsia="仿宋_GB2312"/>
          <w:color w:val="000000"/>
          <w:sz w:val="32"/>
          <w:szCs w:val="32"/>
        </w:rPr>
        <w:t>农产品</w:t>
      </w:r>
      <w:r>
        <w:rPr>
          <w:rFonts w:ascii="Times New Roman" w:hAnsi="Times New Roman" w:eastAsia="仿宋_GB2312"/>
          <w:snapToGrid w:val="0"/>
          <w:color w:val="000000"/>
          <w:sz w:val="32"/>
          <w:szCs w:val="32"/>
        </w:rPr>
        <w:t>品牌培育、</w:t>
      </w:r>
      <w:r>
        <w:rPr>
          <w:rFonts w:ascii="Times New Roman" w:hAnsi="Times New Roman" w:eastAsia="仿宋_GB2312"/>
          <w:color w:val="000000"/>
          <w:sz w:val="32"/>
          <w:szCs w:val="32"/>
        </w:rPr>
        <w:t>农业绿色发展、</w:t>
      </w:r>
      <w:r>
        <w:rPr>
          <w:rFonts w:hint="eastAsia" w:ascii="Times New Roman" w:hAnsi="Times New Roman" w:eastAsia="仿宋_GB2312"/>
          <w:color w:val="000000"/>
          <w:sz w:val="32"/>
          <w:szCs w:val="32"/>
        </w:rPr>
        <w:t>科技强农机械强农工</w:t>
      </w:r>
      <w:r>
        <w:rPr>
          <w:rFonts w:ascii="Times New Roman" w:hAnsi="Times New Roman" w:eastAsia="仿宋_GB2312"/>
          <w:color w:val="000000"/>
          <w:sz w:val="32"/>
          <w:szCs w:val="32"/>
        </w:rPr>
        <w:t>、</w:t>
      </w:r>
      <w:r>
        <w:rPr>
          <w:rFonts w:hint="eastAsia" w:ascii="Times New Roman" w:hAnsi="Times New Roman" w:eastAsia="仿宋_GB2312"/>
          <w:color w:val="000000"/>
          <w:sz w:val="32"/>
          <w:szCs w:val="32"/>
        </w:rPr>
        <w:t>促进农民收入增长</w:t>
      </w:r>
      <w:r>
        <w:rPr>
          <w:rFonts w:ascii="Times New Roman" w:hAnsi="Times New Roman" w:eastAsia="仿宋_GB2312"/>
          <w:snapToGrid w:val="0"/>
          <w:color w:val="000000"/>
          <w:sz w:val="32"/>
          <w:szCs w:val="32"/>
        </w:rPr>
        <w:t>、</w:t>
      </w:r>
      <w:r>
        <w:rPr>
          <w:rFonts w:ascii="Times New Roman" w:hAnsi="Times New Roman" w:eastAsia="仿宋_GB2312"/>
          <w:color w:val="000000"/>
          <w:sz w:val="32"/>
          <w:szCs w:val="32"/>
        </w:rPr>
        <w:t>农业综合改革深化和美丽乡村建设</w:t>
      </w:r>
      <w:r>
        <w:rPr>
          <w:rFonts w:ascii="Times New Roman" w:hAnsi="Times New Roman" w:eastAsia="仿宋_GB2312"/>
          <w:color w:val="000000"/>
          <w:kern w:val="0"/>
          <w:sz w:val="32"/>
          <w:szCs w:val="32"/>
        </w:rPr>
        <w:t>八大工程，全面提高农业综合生产能力、公共服务能力和市场竞争能力，全面提升农村基础设施、物质装备水平，全面推进农业现代化建设。</w:t>
      </w:r>
    </w:p>
    <w:p>
      <w:pPr>
        <w:pStyle w:val="4"/>
        <w:keepNext w:val="0"/>
        <w:keepLines w:val="0"/>
        <w:spacing w:before="0" w:after="0"/>
        <w:ind w:firstLine="640" w:firstLineChars="200"/>
        <w:rPr>
          <w:rFonts w:ascii="Times New Roman" w:hAnsi="Times New Roman" w:eastAsia="黑体"/>
          <w:b w:val="0"/>
          <w:color w:val="000000"/>
          <w:szCs w:val="32"/>
        </w:rPr>
      </w:pPr>
      <w:bookmarkStart w:id="246" w:name="_Toc27917"/>
      <w:r>
        <w:rPr>
          <w:rFonts w:ascii="Times New Roman" w:hAnsi="Times New Roman" w:eastAsia="黑体"/>
          <w:b w:val="0"/>
          <w:color w:val="000000"/>
          <w:szCs w:val="32"/>
        </w:rPr>
        <w:t>一、现代农业提质增效工程</w:t>
      </w:r>
      <w:bookmarkEnd w:id="246"/>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按照“结构调优、产业调强、品质调高”的总体思路，实施现代农业提质增效工程，以优质粮油、</w:t>
      </w:r>
      <w:r>
        <w:rPr>
          <w:rFonts w:hint="eastAsia" w:ascii="Times New Roman" w:hAnsi="Times New Roman" w:eastAsia="仿宋_GB2312"/>
          <w:color w:val="000000"/>
          <w:sz w:val="32"/>
          <w:szCs w:val="32"/>
        </w:rPr>
        <w:t>水果</w:t>
      </w:r>
      <w:r>
        <w:rPr>
          <w:rFonts w:ascii="Times New Roman" w:hAnsi="Times New Roman" w:eastAsia="仿宋_GB2312"/>
          <w:color w:val="000000"/>
          <w:sz w:val="32"/>
          <w:szCs w:val="32"/>
        </w:rPr>
        <w:t>和健康畜禽等产业为主导，努力将</w:t>
      </w:r>
      <w:r>
        <w:rPr>
          <w:rFonts w:hint="eastAsia" w:ascii="Times New Roman" w:hAnsi="Times New Roman" w:eastAsia="仿宋_GB2312"/>
          <w:color w:val="000000"/>
          <w:sz w:val="32"/>
          <w:szCs w:val="32"/>
        </w:rPr>
        <w:t>我市</w:t>
      </w:r>
      <w:r>
        <w:rPr>
          <w:rFonts w:ascii="Times New Roman" w:hAnsi="Times New Roman" w:eastAsia="仿宋_GB2312"/>
          <w:color w:val="000000"/>
          <w:sz w:val="32"/>
          <w:szCs w:val="32"/>
        </w:rPr>
        <w:t>建设成现代农业建设样板区。具体项目如下：</w:t>
      </w:r>
    </w:p>
    <w:p>
      <w:pPr>
        <w:spacing w:before="0" w:after="0"/>
        <w:ind w:firstLine="643"/>
        <w:jc w:val="center"/>
        <w:rPr>
          <w:rFonts w:ascii="Times New Roman" w:hAnsi="Times New Roman" w:eastAsia="仿宋_GB2312"/>
          <w:color w:val="000000"/>
          <w:sz w:val="32"/>
          <w:szCs w:val="32"/>
        </w:rPr>
      </w:pPr>
      <w:r>
        <w:rPr>
          <w:rFonts w:ascii="Times New Roman" w:hAnsi="Times New Roman" w:eastAsia="仿宋_GB2312"/>
          <w:b/>
          <w:bCs/>
          <w:color w:val="000000"/>
          <w:sz w:val="32"/>
          <w:szCs w:val="32"/>
        </w:rPr>
        <w:t>表7.1 现代农业提质增效工程</w:t>
      </w:r>
    </w:p>
    <w:tbl>
      <w:tblPr>
        <w:tblStyle w:val="27"/>
        <w:tblW w:w="9059" w:type="dxa"/>
        <w:jc w:val="right"/>
        <w:tblLayout w:type="autofit"/>
        <w:tblCellMar>
          <w:top w:w="0" w:type="dxa"/>
          <w:left w:w="108" w:type="dxa"/>
          <w:bottom w:w="0" w:type="dxa"/>
          <w:right w:w="108" w:type="dxa"/>
        </w:tblCellMar>
      </w:tblPr>
      <w:tblGrid>
        <w:gridCol w:w="762"/>
        <w:gridCol w:w="1357"/>
        <w:gridCol w:w="2718"/>
        <w:gridCol w:w="1099"/>
        <w:gridCol w:w="3123"/>
      </w:tblGrid>
      <w:tr>
        <w:tblPrEx>
          <w:tblCellMar>
            <w:top w:w="0" w:type="dxa"/>
            <w:left w:w="108" w:type="dxa"/>
            <w:bottom w:w="0" w:type="dxa"/>
            <w:right w:w="108" w:type="dxa"/>
          </w:tblCellMar>
        </w:tblPrEx>
        <w:trPr>
          <w:trHeight w:val="539" w:hRule="atLeast"/>
          <w:tblHeader/>
          <w:jc w:val="right"/>
        </w:trPr>
        <w:tc>
          <w:tcPr>
            <w:tcW w:w="762"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bookmarkStart w:id="247" w:name="_Toc1736"/>
            <w:r>
              <w:rPr>
                <w:rFonts w:ascii="宋体" w:hAnsi="宋体" w:eastAsia="宋体"/>
                <w:b/>
                <w:bCs/>
                <w:color w:val="000000"/>
                <w:kern w:val="0"/>
                <w:sz w:val="21"/>
                <w:szCs w:val="21"/>
              </w:rPr>
              <w:t>序号</w:t>
            </w:r>
          </w:p>
        </w:tc>
        <w:tc>
          <w:tcPr>
            <w:tcW w:w="1357"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项目名称</w:t>
            </w:r>
          </w:p>
        </w:tc>
        <w:tc>
          <w:tcPr>
            <w:tcW w:w="2718"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主要建设内容</w:t>
            </w:r>
          </w:p>
        </w:tc>
        <w:tc>
          <w:tcPr>
            <w:tcW w:w="1099"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建设地点</w:t>
            </w:r>
          </w:p>
        </w:tc>
        <w:tc>
          <w:tcPr>
            <w:tcW w:w="3123"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建设目标</w:t>
            </w:r>
          </w:p>
        </w:tc>
      </w:tr>
      <w:tr>
        <w:tblPrEx>
          <w:tblCellMar>
            <w:top w:w="0" w:type="dxa"/>
            <w:left w:w="108" w:type="dxa"/>
            <w:bottom w:w="0" w:type="dxa"/>
            <w:right w:w="108" w:type="dxa"/>
          </w:tblCellMar>
        </w:tblPrEx>
        <w:trPr>
          <w:trHeight w:val="1159" w:hRule="atLeast"/>
          <w:jc w:val="right"/>
        </w:trPr>
        <w:tc>
          <w:tcPr>
            <w:tcW w:w="762"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w:t>
            </w:r>
          </w:p>
        </w:tc>
        <w:tc>
          <w:tcPr>
            <w:tcW w:w="1357"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高标准农田提升与建设项目</w:t>
            </w:r>
          </w:p>
        </w:tc>
        <w:tc>
          <w:tcPr>
            <w:tcW w:w="2718"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在基本农田保护区，持续推进高产稳产、生态友好的高标准农田建设</w:t>
            </w:r>
            <w:r>
              <w:rPr>
                <w:rFonts w:hint="eastAsia" w:ascii="宋体" w:hAnsi="宋体" w:eastAsia="宋体"/>
                <w:bCs/>
                <w:color w:val="000000"/>
                <w:kern w:val="0"/>
                <w:sz w:val="21"/>
                <w:szCs w:val="21"/>
              </w:rPr>
              <w:t>。</w:t>
            </w:r>
          </w:p>
        </w:tc>
        <w:tc>
          <w:tcPr>
            <w:tcW w:w="1099"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3123"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到2025年，建成高标准农田20</w:t>
            </w:r>
            <w:r>
              <w:rPr>
                <w:rFonts w:hint="eastAsia" w:ascii="宋体" w:hAnsi="宋体" w:eastAsia="宋体"/>
                <w:bCs/>
                <w:color w:val="000000"/>
                <w:kern w:val="0"/>
                <w:sz w:val="21"/>
                <w:szCs w:val="21"/>
              </w:rPr>
              <w:t>3.89</w:t>
            </w:r>
            <w:r>
              <w:rPr>
                <w:rFonts w:ascii="宋体" w:hAnsi="宋体" w:eastAsia="宋体"/>
                <w:bCs/>
                <w:color w:val="000000"/>
                <w:kern w:val="0"/>
                <w:sz w:val="21"/>
                <w:szCs w:val="21"/>
              </w:rPr>
              <w:t>万亩。</w:t>
            </w:r>
          </w:p>
        </w:tc>
      </w:tr>
      <w:tr>
        <w:tblPrEx>
          <w:tblCellMar>
            <w:top w:w="0" w:type="dxa"/>
            <w:left w:w="108" w:type="dxa"/>
            <w:bottom w:w="0" w:type="dxa"/>
            <w:right w:w="108" w:type="dxa"/>
          </w:tblCellMar>
        </w:tblPrEx>
        <w:trPr>
          <w:trHeight w:val="1975" w:hRule="atLeast"/>
          <w:jc w:val="right"/>
        </w:trPr>
        <w:tc>
          <w:tcPr>
            <w:tcW w:w="762"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2</w:t>
            </w:r>
          </w:p>
        </w:tc>
        <w:tc>
          <w:tcPr>
            <w:tcW w:w="1357"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长三角绿色农产品生产加工供应基地建设项目</w:t>
            </w:r>
          </w:p>
        </w:tc>
        <w:tc>
          <w:tcPr>
            <w:tcW w:w="2718"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以粮油、畜禽、水果、瓜菜、水产等优势特色产业为重点，开展“一县一业（特）”全产业链创建</w:t>
            </w:r>
            <w:r>
              <w:rPr>
                <w:rFonts w:hint="eastAsia" w:ascii="宋体" w:hAnsi="宋体" w:eastAsia="宋体"/>
                <w:bCs/>
                <w:color w:val="000000"/>
                <w:kern w:val="0"/>
                <w:sz w:val="21"/>
                <w:szCs w:val="21"/>
              </w:rPr>
              <w:t>。</w:t>
            </w:r>
          </w:p>
        </w:tc>
        <w:tc>
          <w:tcPr>
            <w:tcW w:w="1099"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3123"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到2025年，每个县区至少重点培育一个优势主导企业，建立省级长三角绿色农产品加工供应示范基地20个以上</w:t>
            </w:r>
            <w:r>
              <w:rPr>
                <w:rFonts w:ascii="宋体" w:hAnsi="宋体" w:eastAsia="宋体"/>
                <w:bCs/>
                <w:color w:val="000000"/>
                <w:sz w:val="21"/>
                <w:szCs w:val="21"/>
              </w:rPr>
              <w:t>。</w:t>
            </w:r>
            <w:r>
              <w:rPr>
                <w:rFonts w:hint="eastAsia" w:ascii="宋体" w:hAnsi="宋体" w:eastAsia="宋体"/>
                <w:bCs/>
                <w:color w:val="000000"/>
                <w:sz w:val="21"/>
                <w:szCs w:val="21"/>
              </w:rPr>
              <w:t>重点培育百亿元农业产业化龙头企业1家。</w:t>
            </w:r>
          </w:p>
        </w:tc>
      </w:tr>
      <w:tr>
        <w:tblPrEx>
          <w:tblCellMar>
            <w:top w:w="0" w:type="dxa"/>
            <w:left w:w="108" w:type="dxa"/>
            <w:bottom w:w="0" w:type="dxa"/>
            <w:right w:w="108" w:type="dxa"/>
          </w:tblCellMar>
        </w:tblPrEx>
        <w:trPr>
          <w:trHeight w:val="1200" w:hRule="atLeast"/>
          <w:jc w:val="right"/>
        </w:trPr>
        <w:tc>
          <w:tcPr>
            <w:tcW w:w="762"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3</w:t>
            </w:r>
          </w:p>
        </w:tc>
        <w:tc>
          <w:tcPr>
            <w:tcW w:w="1357"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“菜篮子”工程</w:t>
            </w:r>
          </w:p>
        </w:tc>
        <w:tc>
          <w:tcPr>
            <w:tcW w:w="2718"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巩固老基地，扩大新基地，大力发展设施蔬菜</w:t>
            </w:r>
            <w:r>
              <w:rPr>
                <w:rFonts w:hint="eastAsia" w:ascii="宋体" w:hAnsi="宋体" w:eastAsia="宋体"/>
                <w:bCs/>
                <w:color w:val="000000"/>
                <w:kern w:val="0"/>
                <w:sz w:val="21"/>
                <w:szCs w:val="21"/>
              </w:rPr>
              <w:t>。</w:t>
            </w:r>
          </w:p>
        </w:tc>
        <w:tc>
          <w:tcPr>
            <w:tcW w:w="1099"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3123"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到2025年，全市蔬菜播种面积稳定在35万亩，蔬菜总产稳定在80万吨。</w:t>
            </w:r>
          </w:p>
        </w:tc>
      </w:tr>
      <w:tr>
        <w:tblPrEx>
          <w:tblCellMar>
            <w:top w:w="0" w:type="dxa"/>
            <w:left w:w="108" w:type="dxa"/>
            <w:bottom w:w="0" w:type="dxa"/>
            <w:right w:w="108" w:type="dxa"/>
          </w:tblCellMar>
        </w:tblPrEx>
        <w:trPr>
          <w:trHeight w:val="1200" w:hRule="atLeast"/>
          <w:jc w:val="right"/>
        </w:trPr>
        <w:tc>
          <w:tcPr>
            <w:tcW w:w="762"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4</w:t>
            </w:r>
          </w:p>
        </w:tc>
        <w:tc>
          <w:tcPr>
            <w:tcW w:w="1357"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hint="eastAsia" w:ascii="宋体" w:hAnsi="宋体" w:eastAsia="宋体"/>
                <w:bCs/>
                <w:color w:val="000000"/>
                <w:kern w:val="0"/>
                <w:sz w:val="21"/>
                <w:szCs w:val="21"/>
              </w:rPr>
              <w:t>水果产业</w:t>
            </w:r>
            <w:r>
              <w:rPr>
                <w:rFonts w:ascii="宋体" w:hAnsi="宋体" w:eastAsia="宋体"/>
                <w:bCs/>
                <w:color w:val="000000"/>
                <w:kern w:val="0"/>
                <w:sz w:val="21"/>
                <w:szCs w:val="21"/>
              </w:rPr>
              <w:t>基地建设项目</w:t>
            </w:r>
          </w:p>
        </w:tc>
        <w:tc>
          <w:tcPr>
            <w:tcW w:w="2718"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改建和扩建葡萄、石榴、灵枣、苹果、黄梨、笆斗杏等</w:t>
            </w:r>
            <w:r>
              <w:rPr>
                <w:rFonts w:hint="eastAsia" w:ascii="宋体" w:hAnsi="宋体" w:eastAsia="宋体"/>
                <w:bCs/>
                <w:color w:val="000000"/>
                <w:kern w:val="0"/>
                <w:sz w:val="21"/>
                <w:szCs w:val="21"/>
              </w:rPr>
              <w:t>水果产业</w:t>
            </w:r>
            <w:r>
              <w:rPr>
                <w:rFonts w:ascii="宋体" w:hAnsi="宋体" w:eastAsia="宋体"/>
                <w:bCs/>
                <w:color w:val="000000"/>
                <w:kern w:val="0"/>
                <w:sz w:val="21"/>
                <w:szCs w:val="21"/>
              </w:rPr>
              <w:t>基地</w:t>
            </w:r>
            <w:r>
              <w:rPr>
                <w:rFonts w:hint="eastAsia" w:ascii="宋体" w:hAnsi="宋体" w:eastAsia="宋体"/>
                <w:bCs/>
                <w:color w:val="000000"/>
                <w:kern w:val="0"/>
                <w:sz w:val="21"/>
                <w:szCs w:val="21"/>
              </w:rPr>
              <w:t>。</w:t>
            </w:r>
          </w:p>
        </w:tc>
        <w:tc>
          <w:tcPr>
            <w:tcW w:w="1099"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3123"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w:t>
            </w:r>
            <w:r>
              <w:rPr>
                <w:rFonts w:hint="eastAsia" w:ascii="宋体" w:hAnsi="宋体" w:eastAsia="宋体"/>
                <w:bCs/>
                <w:color w:val="000000"/>
                <w:kern w:val="0"/>
                <w:sz w:val="21"/>
                <w:szCs w:val="21"/>
              </w:rPr>
              <w:t>，水果产业基地</w:t>
            </w:r>
            <w:r>
              <w:rPr>
                <w:rFonts w:ascii="宋体" w:hAnsi="宋体" w:eastAsia="宋体"/>
                <w:bCs/>
                <w:color w:val="000000"/>
                <w:kern w:val="0"/>
                <w:sz w:val="21"/>
                <w:szCs w:val="21"/>
              </w:rPr>
              <w:t>种植面积达16万亩，年产量24万吨，建设水果贮藏大型冷库5-10个。</w:t>
            </w:r>
          </w:p>
        </w:tc>
      </w:tr>
      <w:tr>
        <w:tblPrEx>
          <w:tblCellMar>
            <w:top w:w="0" w:type="dxa"/>
            <w:left w:w="108" w:type="dxa"/>
            <w:bottom w:w="0" w:type="dxa"/>
            <w:right w:w="108" w:type="dxa"/>
          </w:tblCellMar>
        </w:tblPrEx>
        <w:trPr>
          <w:trHeight w:val="1200" w:hRule="atLeast"/>
          <w:jc w:val="right"/>
        </w:trPr>
        <w:tc>
          <w:tcPr>
            <w:tcW w:w="762"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5</w:t>
            </w:r>
          </w:p>
        </w:tc>
        <w:tc>
          <w:tcPr>
            <w:tcW w:w="1357" w:type="dxa"/>
            <w:tcBorders>
              <w:top w:val="single" w:color="auto" w:sz="4" w:space="0"/>
              <w:left w:val="nil"/>
              <w:bottom w:val="single" w:color="auto" w:sz="4" w:space="0"/>
              <w:right w:val="single" w:color="auto" w:sz="4" w:space="0"/>
            </w:tcBorders>
          </w:tcPr>
          <w:p>
            <w:pPr>
              <w:spacing w:before="0" w:after="0" w:line="300" w:lineRule="exact"/>
              <w:ind w:firstLine="0" w:firstLineChars="0"/>
              <w:rPr>
                <w:rFonts w:ascii="宋体" w:hAnsi="宋体" w:eastAsia="宋体"/>
                <w:bCs/>
                <w:color w:val="000000"/>
                <w:kern w:val="0"/>
                <w:sz w:val="21"/>
                <w:szCs w:val="21"/>
              </w:rPr>
            </w:pPr>
            <w:r>
              <w:rPr>
                <w:rFonts w:hint="eastAsia" w:ascii="宋体" w:hAnsi="宋体" w:eastAsia="宋体"/>
                <w:bCs/>
                <w:color w:val="000000"/>
                <w:kern w:val="0"/>
                <w:sz w:val="21"/>
                <w:szCs w:val="21"/>
              </w:rPr>
              <w:t>池塘标准化改造及尾水治理项目</w:t>
            </w:r>
          </w:p>
        </w:tc>
        <w:tc>
          <w:tcPr>
            <w:tcW w:w="2718"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hint="eastAsia" w:ascii="宋体" w:hAnsi="宋体" w:eastAsia="宋体"/>
                <w:bCs/>
                <w:color w:val="000000"/>
                <w:kern w:val="0"/>
                <w:sz w:val="21"/>
                <w:szCs w:val="21"/>
              </w:rPr>
              <w:t>开展池塘标准化改造及尾水治理，开展池塘绿色健康养殖，提升养殖水平。</w:t>
            </w:r>
          </w:p>
        </w:tc>
        <w:tc>
          <w:tcPr>
            <w:tcW w:w="1099"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全市</w:t>
            </w:r>
          </w:p>
        </w:tc>
        <w:tc>
          <w:tcPr>
            <w:tcW w:w="3123" w:type="dxa"/>
            <w:tcBorders>
              <w:top w:val="single" w:color="auto" w:sz="4" w:space="0"/>
              <w:left w:val="nil"/>
              <w:bottom w:val="single" w:color="auto" w:sz="4" w:space="0"/>
              <w:right w:val="single" w:color="auto" w:sz="4" w:space="0"/>
            </w:tcBorders>
          </w:tcPr>
          <w:p>
            <w:pPr>
              <w:spacing w:before="0" w:after="0" w:line="300" w:lineRule="exact"/>
              <w:ind w:firstLine="0" w:firstLineChars="0"/>
              <w:rPr>
                <w:rFonts w:ascii="宋体" w:hAnsi="宋体" w:eastAsia="宋体"/>
                <w:bCs/>
                <w:color w:val="000000"/>
                <w:kern w:val="0"/>
                <w:sz w:val="21"/>
                <w:szCs w:val="21"/>
              </w:rPr>
            </w:pPr>
            <w:r>
              <w:rPr>
                <w:rFonts w:hint="eastAsia" w:ascii="宋体" w:hAnsi="宋体" w:eastAsia="宋体"/>
                <w:bCs/>
                <w:color w:val="000000"/>
                <w:kern w:val="0"/>
                <w:sz w:val="21"/>
                <w:szCs w:val="21"/>
              </w:rPr>
              <w:t>到2025年，池塘标准化改造和尾水治理面积3800亩，全市水产品产量稳定在2.6万吨。</w:t>
            </w:r>
          </w:p>
        </w:tc>
      </w:tr>
      <w:tr>
        <w:tblPrEx>
          <w:tblCellMar>
            <w:top w:w="0" w:type="dxa"/>
            <w:left w:w="108" w:type="dxa"/>
            <w:bottom w:w="0" w:type="dxa"/>
            <w:right w:w="108" w:type="dxa"/>
          </w:tblCellMar>
        </w:tblPrEx>
        <w:trPr>
          <w:trHeight w:val="1459" w:hRule="atLeast"/>
          <w:jc w:val="right"/>
        </w:trPr>
        <w:tc>
          <w:tcPr>
            <w:tcW w:w="762"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6</w:t>
            </w:r>
          </w:p>
        </w:tc>
        <w:tc>
          <w:tcPr>
            <w:tcW w:w="1357"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畜牧业转型升级项目</w:t>
            </w:r>
          </w:p>
        </w:tc>
        <w:tc>
          <w:tcPr>
            <w:tcW w:w="2718"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建设畜禽养殖标准化养殖场，打造奶牛、生猪、家禽供应基地，推进产业化发展</w:t>
            </w:r>
            <w:r>
              <w:rPr>
                <w:rFonts w:hint="eastAsia" w:ascii="宋体" w:hAnsi="宋体" w:eastAsia="宋体"/>
                <w:bCs/>
                <w:color w:val="000000"/>
                <w:kern w:val="0"/>
                <w:sz w:val="21"/>
                <w:szCs w:val="21"/>
              </w:rPr>
              <w:t>。</w:t>
            </w:r>
          </w:p>
        </w:tc>
        <w:tc>
          <w:tcPr>
            <w:tcW w:w="1099"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3123"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到2025年，生猪出栏量120万头以上，畜禽养殖标准化示范场达到100家以上。</w:t>
            </w:r>
          </w:p>
        </w:tc>
      </w:tr>
      <w:tr>
        <w:tblPrEx>
          <w:tblCellMar>
            <w:top w:w="0" w:type="dxa"/>
            <w:left w:w="108" w:type="dxa"/>
            <w:bottom w:w="0" w:type="dxa"/>
            <w:right w:w="108" w:type="dxa"/>
          </w:tblCellMar>
        </w:tblPrEx>
        <w:trPr>
          <w:trHeight w:val="1602" w:hRule="atLeast"/>
          <w:jc w:val="right"/>
        </w:trPr>
        <w:tc>
          <w:tcPr>
            <w:tcW w:w="762"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7</w:t>
            </w:r>
          </w:p>
        </w:tc>
        <w:tc>
          <w:tcPr>
            <w:tcW w:w="1357"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特色农产品精深加工项目</w:t>
            </w:r>
          </w:p>
        </w:tc>
        <w:tc>
          <w:tcPr>
            <w:tcW w:w="2718"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大力发展粮食、果蔬、肉制品等特色农产品加工业，推进农副产品加工向精深加工转变</w:t>
            </w:r>
            <w:r>
              <w:rPr>
                <w:rFonts w:hint="eastAsia" w:ascii="宋体" w:hAnsi="宋体" w:eastAsia="宋体"/>
                <w:bCs/>
                <w:color w:val="000000"/>
                <w:kern w:val="0"/>
                <w:sz w:val="21"/>
                <w:szCs w:val="21"/>
              </w:rPr>
              <w:t>。</w:t>
            </w:r>
          </w:p>
        </w:tc>
        <w:tc>
          <w:tcPr>
            <w:tcW w:w="1099"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3123"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农产品加工业产值与农业总产值之比达到 2.8：1，面向沪苏浙地区的农副产品和农产品加工品年销售额达到60亿元。</w:t>
            </w:r>
          </w:p>
        </w:tc>
      </w:tr>
      <w:tr>
        <w:tblPrEx>
          <w:tblCellMar>
            <w:top w:w="0" w:type="dxa"/>
            <w:left w:w="108" w:type="dxa"/>
            <w:bottom w:w="0" w:type="dxa"/>
            <w:right w:w="108" w:type="dxa"/>
          </w:tblCellMar>
        </w:tblPrEx>
        <w:trPr>
          <w:trHeight w:val="1471" w:hRule="atLeast"/>
          <w:jc w:val="right"/>
        </w:trPr>
        <w:tc>
          <w:tcPr>
            <w:tcW w:w="762"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8</w:t>
            </w:r>
          </w:p>
        </w:tc>
        <w:tc>
          <w:tcPr>
            <w:tcW w:w="1357"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农产品仓储保鲜冷链物流设施建设项目</w:t>
            </w:r>
          </w:p>
        </w:tc>
        <w:tc>
          <w:tcPr>
            <w:tcW w:w="2718"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实施城乡冷链物流建设行动，</w:t>
            </w:r>
            <w:r>
              <w:rPr>
                <w:rFonts w:hint="eastAsia" w:ascii="宋体" w:hAnsi="宋体" w:eastAsia="宋体"/>
                <w:bCs/>
                <w:color w:val="000000"/>
                <w:kern w:val="0"/>
                <w:sz w:val="21"/>
                <w:szCs w:val="21"/>
              </w:rPr>
              <w:t>打造长三角 3小时鲜活农产品冷链物流圈。</w:t>
            </w:r>
          </w:p>
        </w:tc>
        <w:tc>
          <w:tcPr>
            <w:tcW w:w="1099"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3123"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w:t>
            </w:r>
            <w:r>
              <w:rPr>
                <w:rFonts w:hint="eastAsia" w:ascii="宋体" w:hAnsi="宋体" w:eastAsia="宋体"/>
                <w:bCs/>
                <w:color w:val="000000"/>
                <w:kern w:val="0"/>
                <w:sz w:val="21"/>
                <w:szCs w:val="21"/>
              </w:rPr>
              <w:t>，</w:t>
            </w:r>
            <w:r>
              <w:rPr>
                <w:rFonts w:ascii="宋体" w:hAnsi="宋体" w:eastAsia="宋体"/>
                <w:bCs/>
                <w:color w:val="000000"/>
                <w:kern w:val="0"/>
                <w:sz w:val="21"/>
                <w:szCs w:val="21"/>
              </w:rPr>
              <w:t>建成覆盖全市的冷链物流基础设施网络。</w:t>
            </w:r>
            <w:r>
              <w:rPr>
                <w:rFonts w:hint="eastAsia" w:ascii="宋体" w:hAnsi="宋体" w:eastAsia="宋体"/>
                <w:bCs/>
                <w:color w:val="000000"/>
                <w:kern w:val="0"/>
                <w:sz w:val="21"/>
                <w:szCs w:val="21"/>
              </w:rPr>
              <w:t>新增冷藏保鲜设施100个、库容 10万立方米。</w:t>
            </w:r>
          </w:p>
        </w:tc>
      </w:tr>
    </w:tbl>
    <w:p>
      <w:pPr>
        <w:pStyle w:val="4"/>
        <w:keepNext w:val="0"/>
        <w:keepLines w:val="0"/>
        <w:spacing w:before="0" w:after="0"/>
        <w:ind w:firstLine="640" w:firstLineChars="200"/>
        <w:rPr>
          <w:rFonts w:ascii="Times New Roman" w:hAnsi="Times New Roman" w:eastAsia="黑体"/>
          <w:b w:val="0"/>
          <w:color w:val="000000"/>
          <w:szCs w:val="32"/>
        </w:rPr>
      </w:pPr>
      <w:r>
        <w:rPr>
          <w:rFonts w:ascii="Times New Roman" w:hAnsi="Times New Roman" w:eastAsia="黑体"/>
          <w:b w:val="0"/>
          <w:color w:val="000000"/>
          <w:szCs w:val="32"/>
        </w:rPr>
        <w:t>二、乡村产业融合工程</w:t>
      </w:r>
      <w:bookmarkEnd w:id="247"/>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实施乡村产业融合工程，加强农业与加工流通、休闲旅游、文化体育、科技教育、健康养生和电子商务等产业深度融合，切实增强农业农村经济发展新动能。具体项目如下：</w:t>
      </w:r>
    </w:p>
    <w:p>
      <w:pPr>
        <w:spacing w:before="0" w:after="0"/>
        <w:ind w:firstLine="643"/>
        <w:jc w:val="center"/>
        <w:rPr>
          <w:rFonts w:ascii="Times New Roman" w:hAnsi="Times New Roman" w:eastAsia="仿宋_GB2312"/>
          <w:color w:val="000000"/>
          <w:sz w:val="32"/>
          <w:szCs w:val="32"/>
        </w:rPr>
      </w:pPr>
      <w:r>
        <w:rPr>
          <w:rFonts w:ascii="Times New Roman" w:hAnsi="Times New Roman" w:eastAsia="仿宋_GB2312"/>
          <w:b/>
          <w:bCs/>
          <w:color w:val="000000"/>
          <w:sz w:val="32"/>
          <w:szCs w:val="32"/>
        </w:rPr>
        <w:t>表7.2 乡村产业融合工程</w:t>
      </w:r>
    </w:p>
    <w:tbl>
      <w:tblPr>
        <w:tblStyle w:val="27"/>
        <w:tblW w:w="8824" w:type="dxa"/>
        <w:jc w:val="right"/>
        <w:tblLayout w:type="autofit"/>
        <w:tblCellMar>
          <w:top w:w="0" w:type="dxa"/>
          <w:left w:w="108" w:type="dxa"/>
          <w:bottom w:w="0" w:type="dxa"/>
          <w:right w:w="108" w:type="dxa"/>
        </w:tblCellMar>
      </w:tblPr>
      <w:tblGrid>
        <w:gridCol w:w="779"/>
        <w:gridCol w:w="1525"/>
        <w:gridCol w:w="2307"/>
        <w:gridCol w:w="1306"/>
        <w:gridCol w:w="2907"/>
      </w:tblGrid>
      <w:tr>
        <w:tblPrEx>
          <w:tblCellMar>
            <w:top w:w="0" w:type="dxa"/>
            <w:left w:w="108" w:type="dxa"/>
            <w:bottom w:w="0" w:type="dxa"/>
            <w:right w:w="108" w:type="dxa"/>
          </w:tblCellMar>
        </w:tblPrEx>
        <w:trPr>
          <w:trHeight w:val="464" w:hRule="atLeast"/>
          <w:jc w:val="right"/>
        </w:trPr>
        <w:tc>
          <w:tcPr>
            <w:tcW w:w="779" w:type="dxa"/>
            <w:tcBorders>
              <w:top w:val="single" w:color="auto" w:sz="4" w:space="0"/>
              <w:left w:val="single" w:color="auto" w:sz="4" w:space="0"/>
              <w:bottom w:val="single" w:color="auto" w:sz="4" w:space="0"/>
              <w:right w:val="single" w:color="auto" w:sz="4" w:space="0"/>
            </w:tcBorders>
            <w:vAlign w:val="center"/>
          </w:tcPr>
          <w:p>
            <w:pPr>
              <w:spacing w:before="0" w:after="0" w:line="28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序号</w:t>
            </w:r>
          </w:p>
        </w:tc>
        <w:tc>
          <w:tcPr>
            <w:tcW w:w="1525" w:type="dxa"/>
            <w:tcBorders>
              <w:top w:val="single" w:color="auto" w:sz="4" w:space="0"/>
              <w:left w:val="nil"/>
              <w:bottom w:val="single" w:color="auto" w:sz="4" w:space="0"/>
              <w:right w:val="single" w:color="auto" w:sz="4" w:space="0"/>
            </w:tcBorders>
            <w:vAlign w:val="center"/>
          </w:tcPr>
          <w:p>
            <w:pPr>
              <w:spacing w:before="0" w:after="0" w:line="28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项目名称</w:t>
            </w:r>
          </w:p>
        </w:tc>
        <w:tc>
          <w:tcPr>
            <w:tcW w:w="2307" w:type="dxa"/>
            <w:tcBorders>
              <w:top w:val="single" w:color="auto" w:sz="4" w:space="0"/>
              <w:left w:val="nil"/>
              <w:bottom w:val="single" w:color="auto" w:sz="4" w:space="0"/>
              <w:right w:val="single" w:color="auto" w:sz="4" w:space="0"/>
            </w:tcBorders>
            <w:vAlign w:val="center"/>
          </w:tcPr>
          <w:p>
            <w:pPr>
              <w:spacing w:before="0" w:after="0" w:line="28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主要建设内容</w:t>
            </w:r>
          </w:p>
        </w:tc>
        <w:tc>
          <w:tcPr>
            <w:tcW w:w="1306" w:type="dxa"/>
            <w:tcBorders>
              <w:top w:val="single" w:color="auto" w:sz="4" w:space="0"/>
              <w:left w:val="nil"/>
              <w:bottom w:val="single" w:color="auto" w:sz="4" w:space="0"/>
              <w:right w:val="single" w:color="auto" w:sz="4" w:space="0"/>
            </w:tcBorders>
            <w:vAlign w:val="center"/>
          </w:tcPr>
          <w:p>
            <w:pPr>
              <w:spacing w:before="0" w:after="0" w:line="28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建设地点</w:t>
            </w:r>
          </w:p>
        </w:tc>
        <w:tc>
          <w:tcPr>
            <w:tcW w:w="2907" w:type="dxa"/>
            <w:tcBorders>
              <w:top w:val="single" w:color="auto" w:sz="4" w:space="0"/>
              <w:left w:val="nil"/>
              <w:bottom w:val="single" w:color="auto" w:sz="4" w:space="0"/>
              <w:right w:val="single" w:color="auto" w:sz="4" w:space="0"/>
            </w:tcBorders>
            <w:vAlign w:val="center"/>
          </w:tcPr>
          <w:p>
            <w:pPr>
              <w:spacing w:before="0" w:after="0" w:line="28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建设目标</w:t>
            </w:r>
          </w:p>
        </w:tc>
      </w:tr>
      <w:tr>
        <w:tblPrEx>
          <w:tblCellMar>
            <w:top w:w="0" w:type="dxa"/>
            <w:left w:w="108" w:type="dxa"/>
            <w:bottom w:w="0" w:type="dxa"/>
            <w:right w:w="108" w:type="dxa"/>
          </w:tblCellMar>
        </w:tblPrEx>
        <w:trPr>
          <w:trHeight w:val="750" w:hRule="atLeast"/>
          <w:jc w:val="right"/>
        </w:trPr>
        <w:tc>
          <w:tcPr>
            <w:tcW w:w="779"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w:t>
            </w:r>
          </w:p>
        </w:tc>
        <w:tc>
          <w:tcPr>
            <w:tcW w:w="152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国家农村产业融合发展示范园建设项目</w:t>
            </w:r>
          </w:p>
        </w:tc>
        <w:tc>
          <w:tcPr>
            <w:tcW w:w="2307"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扎实推进各项工作，完成既定创建任务</w:t>
            </w:r>
            <w:r>
              <w:rPr>
                <w:rFonts w:hint="eastAsia" w:ascii="宋体" w:hAnsi="宋体" w:eastAsia="宋体"/>
                <w:bCs/>
                <w:color w:val="000000"/>
                <w:kern w:val="0"/>
                <w:sz w:val="21"/>
                <w:szCs w:val="21"/>
              </w:rPr>
              <w:t>。</w:t>
            </w:r>
          </w:p>
        </w:tc>
        <w:tc>
          <w:tcPr>
            <w:tcW w:w="1306"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相山区、烈山区、濉溪县</w:t>
            </w:r>
          </w:p>
        </w:tc>
        <w:tc>
          <w:tcPr>
            <w:tcW w:w="2907"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支持濉溪县开展农村一二三产融合发展先导区，相山凤凰山、烈山区开展农村产业融合发展示范园建设，将园区打造成本地区农村产业融合发展的平台载体和示范样板。</w:t>
            </w:r>
          </w:p>
        </w:tc>
      </w:tr>
      <w:tr>
        <w:tblPrEx>
          <w:tblCellMar>
            <w:top w:w="0" w:type="dxa"/>
            <w:left w:w="108" w:type="dxa"/>
            <w:bottom w:w="0" w:type="dxa"/>
            <w:right w:w="108" w:type="dxa"/>
          </w:tblCellMar>
        </w:tblPrEx>
        <w:trPr>
          <w:trHeight w:val="750" w:hRule="atLeast"/>
          <w:jc w:val="right"/>
        </w:trPr>
        <w:tc>
          <w:tcPr>
            <w:tcW w:w="779"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2</w:t>
            </w:r>
          </w:p>
        </w:tc>
        <w:tc>
          <w:tcPr>
            <w:tcW w:w="152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现代农业产业园区建设提升项目</w:t>
            </w:r>
          </w:p>
        </w:tc>
        <w:tc>
          <w:tcPr>
            <w:tcW w:w="2307"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加强现有农业产业园区内道路建设、区域规划，新增一批产业园区和数字农业示范园区</w:t>
            </w:r>
            <w:r>
              <w:rPr>
                <w:rFonts w:hint="eastAsia" w:ascii="宋体" w:hAnsi="宋体" w:eastAsia="宋体"/>
                <w:bCs/>
                <w:color w:val="000000"/>
                <w:kern w:val="0"/>
                <w:sz w:val="21"/>
                <w:szCs w:val="21"/>
              </w:rPr>
              <w:t>。</w:t>
            </w:r>
          </w:p>
        </w:tc>
        <w:tc>
          <w:tcPr>
            <w:tcW w:w="1306"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2907"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w:t>
            </w:r>
            <w:r>
              <w:rPr>
                <w:rFonts w:hint="eastAsia" w:ascii="宋体" w:hAnsi="宋体" w:eastAsia="宋体"/>
                <w:bCs/>
                <w:color w:val="000000"/>
                <w:kern w:val="0"/>
                <w:sz w:val="21"/>
                <w:szCs w:val="21"/>
              </w:rPr>
              <w:t>，</w:t>
            </w:r>
            <w:r>
              <w:rPr>
                <w:rFonts w:ascii="宋体" w:hAnsi="宋体" w:eastAsia="宋体"/>
                <w:bCs/>
                <w:color w:val="000000"/>
                <w:kern w:val="0"/>
                <w:sz w:val="21"/>
                <w:szCs w:val="21"/>
              </w:rPr>
              <w:t>新增省级现代农业产业园1-2家，国家级现代农业产业园1家，建设智慧农业示范园1-2家。</w:t>
            </w:r>
          </w:p>
        </w:tc>
      </w:tr>
      <w:tr>
        <w:tblPrEx>
          <w:tblCellMar>
            <w:top w:w="0" w:type="dxa"/>
            <w:left w:w="108" w:type="dxa"/>
            <w:bottom w:w="0" w:type="dxa"/>
            <w:right w:w="108" w:type="dxa"/>
          </w:tblCellMar>
        </w:tblPrEx>
        <w:trPr>
          <w:trHeight w:val="750" w:hRule="atLeast"/>
          <w:jc w:val="right"/>
        </w:trPr>
        <w:tc>
          <w:tcPr>
            <w:tcW w:w="779"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3</w:t>
            </w:r>
          </w:p>
        </w:tc>
        <w:tc>
          <w:tcPr>
            <w:tcW w:w="152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优势特色产业集群建设项目</w:t>
            </w:r>
          </w:p>
        </w:tc>
        <w:tc>
          <w:tcPr>
            <w:tcW w:w="2307"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促进产业链首尾相连、上下衔接、块状成带、集群成链</w:t>
            </w:r>
            <w:r>
              <w:rPr>
                <w:rFonts w:hint="eastAsia" w:ascii="宋体" w:hAnsi="宋体" w:eastAsia="宋体"/>
                <w:bCs/>
                <w:color w:val="000000"/>
                <w:kern w:val="0"/>
                <w:sz w:val="21"/>
                <w:szCs w:val="21"/>
              </w:rPr>
              <w:t>。</w:t>
            </w:r>
          </w:p>
        </w:tc>
        <w:tc>
          <w:tcPr>
            <w:tcW w:w="1306"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2907"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w:t>
            </w:r>
            <w:r>
              <w:rPr>
                <w:rFonts w:hint="eastAsia" w:ascii="宋体" w:hAnsi="宋体" w:eastAsia="宋体"/>
                <w:bCs/>
                <w:color w:val="000000"/>
                <w:kern w:val="0"/>
                <w:sz w:val="21"/>
                <w:szCs w:val="21"/>
              </w:rPr>
              <w:t>，</w:t>
            </w:r>
            <w:r>
              <w:rPr>
                <w:rFonts w:ascii="宋体" w:hAnsi="宋体" w:eastAsia="宋体"/>
                <w:bCs/>
                <w:color w:val="000000"/>
                <w:kern w:val="0"/>
                <w:sz w:val="21"/>
                <w:szCs w:val="21"/>
              </w:rPr>
              <w:t>发展5-10个相对集中、各具特色、功能完善的产业集群，打造产值超50亿元的全产业链优势产业集群2个以上。</w:t>
            </w:r>
          </w:p>
        </w:tc>
      </w:tr>
      <w:tr>
        <w:tblPrEx>
          <w:tblCellMar>
            <w:top w:w="0" w:type="dxa"/>
            <w:left w:w="108" w:type="dxa"/>
            <w:bottom w:w="0" w:type="dxa"/>
            <w:right w:w="108" w:type="dxa"/>
          </w:tblCellMar>
        </w:tblPrEx>
        <w:trPr>
          <w:trHeight w:val="602" w:hRule="atLeast"/>
          <w:jc w:val="right"/>
        </w:trPr>
        <w:tc>
          <w:tcPr>
            <w:tcW w:w="779"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4</w:t>
            </w:r>
          </w:p>
        </w:tc>
        <w:tc>
          <w:tcPr>
            <w:tcW w:w="152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休闲农业和乡村旅游建设项目</w:t>
            </w:r>
          </w:p>
        </w:tc>
        <w:tc>
          <w:tcPr>
            <w:tcW w:w="2307"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培育乡村旅游新业态，实施“旅游+”战略，走“景区+乡村”的全域旅游发展道路</w:t>
            </w:r>
            <w:r>
              <w:rPr>
                <w:rFonts w:hint="eastAsia" w:ascii="宋体" w:hAnsi="宋体" w:eastAsia="宋体"/>
                <w:bCs/>
                <w:color w:val="000000"/>
                <w:kern w:val="0"/>
                <w:sz w:val="21"/>
                <w:szCs w:val="21"/>
              </w:rPr>
              <w:t>。</w:t>
            </w:r>
          </w:p>
        </w:tc>
        <w:tc>
          <w:tcPr>
            <w:tcW w:w="1306"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2907"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到2025年，市级以上休闲农业和乡村旅游示范园区达100家，年接待游客突破</w:t>
            </w:r>
            <w:r>
              <w:rPr>
                <w:rFonts w:hint="eastAsia" w:ascii="宋体" w:hAnsi="宋体" w:eastAsia="宋体"/>
                <w:bCs/>
                <w:color w:val="000000"/>
                <w:kern w:val="0"/>
                <w:sz w:val="21"/>
                <w:szCs w:val="21"/>
              </w:rPr>
              <w:t>400</w:t>
            </w:r>
            <w:r>
              <w:rPr>
                <w:rFonts w:ascii="宋体" w:hAnsi="宋体" w:eastAsia="宋体"/>
                <w:bCs/>
                <w:color w:val="000000"/>
                <w:kern w:val="0"/>
                <w:sz w:val="21"/>
                <w:szCs w:val="21"/>
              </w:rPr>
              <w:t>万人次，旅游收入达</w:t>
            </w:r>
            <w:r>
              <w:rPr>
                <w:rFonts w:hint="eastAsia" w:ascii="宋体" w:hAnsi="宋体" w:eastAsia="宋体"/>
                <w:bCs/>
                <w:color w:val="000000"/>
                <w:kern w:val="0"/>
                <w:sz w:val="21"/>
                <w:szCs w:val="21"/>
              </w:rPr>
              <w:t>10</w:t>
            </w:r>
            <w:r>
              <w:rPr>
                <w:rFonts w:ascii="宋体" w:hAnsi="宋体" w:eastAsia="宋体"/>
                <w:bCs/>
                <w:color w:val="000000"/>
                <w:kern w:val="0"/>
                <w:sz w:val="21"/>
                <w:szCs w:val="21"/>
              </w:rPr>
              <w:t>亿元。</w:t>
            </w:r>
          </w:p>
        </w:tc>
      </w:tr>
      <w:tr>
        <w:tblPrEx>
          <w:tblCellMar>
            <w:top w:w="0" w:type="dxa"/>
            <w:left w:w="108" w:type="dxa"/>
            <w:bottom w:w="0" w:type="dxa"/>
            <w:right w:w="108" w:type="dxa"/>
          </w:tblCellMar>
        </w:tblPrEx>
        <w:trPr>
          <w:trHeight w:val="750" w:hRule="atLeast"/>
          <w:jc w:val="right"/>
        </w:trPr>
        <w:tc>
          <w:tcPr>
            <w:tcW w:w="779"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5</w:t>
            </w:r>
          </w:p>
        </w:tc>
        <w:tc>
          <w:tcPr>
            <w:tcW w:w="152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农业大数据平台建设项目</w:t>
            </w:r>
          </w:p>
        </w:tc>
        <w:tc>
          <w:tcPr>
            <w:tcW w:w="2307"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搭建全市农业大数据平台</w:t>
            </w:r>
            <w:r>
              <w:rPr>
                <w:rFonts w:hint="eastAsia" w:ascii="宋体" w:hAnsi="宋体" w:eastAsia="宋体"/>
                <w:bCs/>
                <w:color w:val="000000"/>
                <w:kern w:val="0"/>
                <w:sz w:val="21"/>
                <w:szCs w:val="21"/>
              </w:rPr>
              <w:t>。</w:t>
            </w:r>
          </w:p>
        </w:tc>
        <w:tc>
          <w:tcPr>
            <w:tcW w:w="1306"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2907"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完成土地流转、生猪生产、“淮优”农产品等数据库平台建设。</w:t>
            </w:r>
          </w:p>
        </w:tc>
      </w:tr>
      <w:tr>
        <w:tblPrEx>
          <w:tblCellMar>
            <w:top w:w="0" w:type="dxa"/>
            <w:left w:w="108" w:type="dxa"/>
            <w:bottom w:w="0" w:type="dxa"/>
            <w:right w:w="108" w:type="dxa"/>
          </w:tblCellMar>
        </w:tblPrEx>
        <w:trPr>
          <w:trHeight w:val="1336" w:hRule="atLeast"/>
          <w:jc w:val="right"/>
        </w:trPr>
        <w:tc>
          <w:tcPr>
            <w:tcW w:w="779"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6</w:t>
            </w:r>
          </w:p>
        </w:tc>
        <w:tc>
          <w:tcPr>
            <w:tcW w:w="152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“互联网+”农村电商项目</w:t>
            </w:r>
          </w:p>
        </w:tc>
        <w:tc>
          <w:tcPr>
            <w:tcW w:w="2307"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支持发展农村电子商务，培育以电子商务为主要营销手段的新型农业经营主体</w:t>
            </w:r>
            <w:r>
              <w:rPr>
                <w:rFonts w:hint="eastAsia" w:ascii="宋体" w:hAnsi="宋体" w:eastAsia="宋体"/>
                <w:bCs/>
                <w:color w:val="000000"/>
                <w:kern w:val="0"/>
                <w:sz w:val="21"/>
                <w:szCs w:val="21"/>
              </w:rPr>
              <w:t>。</w:t>
            </w:r>
          </w:p>
        </w:tc>
        <w:tc>
          <w:tcPr>
            <w:tcW w:w="1306"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2907"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到2025年，农村规模电商经营主体100个以上，建设农村电商示范村40个以上。</w:t>
            </w:r>
          </w:p>
        </w:tc>
      </w:tr>
      <w:tr>
        <w:tblPrEx>
          <w:tblCellMar>
            <w:top w:w="0" w:type="dxa"/>
            <w:left w:w="108" w:type="dxa"/>
            <w:bottom w:w="0" w:type="dxa"/>
            <w:right w:w="108" w:type="dxa"/>
          </w:tblCellMar>
        </w:tblPrEx>
        <w:trPr>
          <w:trHeight w:val="1336" w:hRule="atLeast"/>
          <w:jc w:val="right"/>
        </w:trPr>
        <w:tc>
          <w:tcPr>
            <w:tcW w:w="779"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7</w:t>
            </w:r>
          </w:p>
        </w:tc>
        <w:tc>
          <w:tcPr>
            <w:tcW w:w="152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农业社会化服务提升项目</w:t>
            </w:r>
          </w:p>
        </w:tc>
        <w:tc>
          <w:tcPr>
            <w:tcW w:w="2307"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加大对社会化服务的引导支持力度，提升社会化服务对农业产业的覆盖率和支撑作用</w:t>
            </w:r>
            <w:r>
              <w:rPr>
                <w:rFonts w:hint="eastAsia" w:ascii="宋体" w:hAnsi="宋体" w:eastAsia="宋体"/>
                <w:bCs/>
                <w:color w:val="000000"/>
                <w:kern w:val="0"/>
                <w:sz w:val="21"/>
                <w:szCs w:val="21"/>
              </w:rPr>
              <w:t>。</w:t>
            </w:r>
          </w:p>
        </w:tc>
        <w:tc>
          <w:tcPr>
            <w:tcW w:w="1306"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2907"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到2025年，基本形成组织结构合理、专业水平较高、服务能力较强、全产业链覆盖的农业社会化服务体系。</w:t>
            </w:r>
          </w:p>
        </w:tc>
      </w:tr>
    </w:tbl>
    <w:p>
      <w:pPr>
        <w:pStyle w:val="4"/>
        <w:keepNext w:val="0"/>
        <w:keepLines w:val="0"/>
        <w:spacing w:before="0" w:after="0"/>
        <w:ind w:firstLine="640" w:firstLineChars="200"/>
        <w:rPr>
          <w:rFonts w:ascii="Times New Roman" w:hAnsi="Times New Roman" w:eastAsia="黑体"/>
          <w:b w:val="0"/>
          <w:color w:val="000000"/>
          <w:szCs w:val="32"/>
        </w:rPr>
      </w:pPr>
      <w:bookmarkStart w:id="248" w:name="_Toc22002"/>
      <w:r>
        <w:rPr>
          <w:rFonts w:ascii="Times New Roman" w:hAnsi="Times New Roman" w:eastAsia="黑体"/>
          <w:b w:val="0"/>
          <w:color w:val="000000"/>
          <w:szCs w:val="32"/>
        </w:rPr>
        <w:t>三、农产品品牌培育工程</w:t>
      </w:r>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实施农产品品牌培育工程，通过政府主导、企业主体、市场运作建立品牌标准、创意品牌设计、开展品牌孵化、强化品牌宣传，打造具有影响力、竞争力的农产品品牌，具体实施项目如下：</w:t>
      </w:r>
    </w:p>
    <w:p>
      <w:pPr>
        <w:spacing w:before="0" w:after="0"/>
        <w:ind w:firstLine="643"/>
        <w:jc w:val="center"/>
        <w:rPr>
          <w:rFonts w:ascii="Times New Roman" w:hAnsi="Times New Roman" w:eastAsia="仿宋_GB2312"/>
          <w:b/>
          <w:bCs/>
          <w:color w:val="000000"/>
          <w:sz w:val="32"/>
          <w:szCs w:val="32"/>
        </w:rPr>
      </w:pPr>
      <w:r>
        <w:rPr>
          <w:rFonts w:ascii="Times New Roman" w:hAnsi="Times New Roman" w:eastAsia="仿宋_GB2312"/>
          <w:b/>
          <w:bCs/>
          <w:color w:val="000000"/>
          <w:sz w:val="32"/>
          <w:szCs w:val="32"/>
        </w:rPr>
        <w:t>表7.3 农产品品牌培育工程</w:t>
      </w:r>
    </w:p>
    <w:tbl>
      <w:tblPr>
        <w:tblStyle w:val="27"/>
        <w:tblW w:w="8982" w:type="dxa"/>
        <w:jc w:val="center"/>
        <w:tblLayout w:type="autofit"/>
        <w:tblCellMar>
          <w:top w:w="0" w:type="dxa"/>
          <w:left w:w="108" w:type="dxa"/>
          <w:bottom w:w="0" w:type="dxa"/>
          <w:right w:w="108" w:type="dxa"/>
        </w:tblCellMar>
      </w:tblPr>
      <w:tblGrid>
        <w:gridCol w:w="772"/>
        <w:gridCol w:w="1290"/>
        <w:gridCol w:w="2702"/>
        <w:gridCol w:w="1314"/>
        <w:gridCol w:w="2904"/>
      </w:tblGrid>
      <w:tr>
        <w:tblPrEx>
          <w:tblCellMar>
            <w:top w:w="0" w:type="dxa"/>
            <w:left w:w="108" w:type="dxa"/>
            <w:bottom w:w="0" w:type="dxa"/>
            <w:right w:w="108" w:type="dxa"/>
          </w:tblCellMar>
        </w:tblPrEx>
        <w:trPr>
          <w:trHeight w:val="672" w:hRule="atLeast"/>
          <w:jc w:val="center"/>
        </w:trPr>
        <w:tc>
          <w:tcPr>
            <w:tcW w:w="772" w:type="dxa"/>
            <w:tcBorders>
              <w:top w:val="single" w:color="auto" w:sz="4" w:space="0"/>
              <w:left w:val="single" w:color="auto" w:sz="4" w:space="0"/>
              <w:bottom w:val="single" w:color="auto" w:sz="4" w:space="0"/>
              <w:right w:val="single" w:color="auto" w:sz="4" w:space="0"/>
            </w:tcBorders>
            <w:vAlign w:val="center"/>
          </w:tcPr>
          <w:p>
            <w:pPr>
              <w:spacing w:before="0" w:after="0" w:line="28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序号</w:t>
            </w:r>
          </w:p>
        </w:tc>
        <w:tc>
          <w:tcPr>
            <w:tcW w:w="1290" w:type="dxa"/>
            <w:tcBorders>
              <w:top w:val="single" w:color="auto" w:sz="4" w:space="0"/>
              <w:left w:val="nil"/>
              <w:bottom w:val="single" w:color="auto" w:sz="4" w:space="0"/>
              <w:right w:val="single" w:color="auto" w:sz="4" w:space="0"/>
            </w:tcBorders>
            <w:vAlign w:val="center"/>
          </w:tcPr>
          <w:p>
            <w:pPr>
              <w:spacing w:before="0" w:after="0" w:line="28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项目名称</w:t>
            </w:r>
          </w:p>
        </w:tc>
        <w:tc>
          <w:tcPr>
            <w:tcW w:w="2702" w:type="dxa"/>
            <w:tcBorders>
              <w:top w:val="single" w:color="auto" w:sz="4" w:space="0"/>
              <w:left w:val="nil"/>
              <w:bottom w:val="single" w:color="auto" w:sz="4" w:space="0"/>
              <w:right w:val="single" w:color="auto" w:sz="4" w:space="0"/>
            </w:tcBorders>
            <w:vAlign w:val="center"/>
          </w:tcPr>
          <w:p>
            <w:pPr>
              <w:spacing w:before="0" w:after="0" w:line="28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主要建设内容</w:t>
            </w:r>
          </w:p>
        </w:tc>
        <w:tc>
          <w:tcPr>
            <w:tcW w:w="1314" w:type="dxa"/>
            <w:tcBorders>
              <w:top w:val="single" w:color="auto" w:sz="4" w:space="0"/>
              <w:left w:val="nil"/>
              <w:bottom w:val="single" w:color="auto" w:sz="4" w:space="0"/>
              <w:right w:val="single" w:color="auto" w:sz="4" w:space="0"/>
            </w:tcBorders>
            <w:vAlign w:val="center"/>
          </w:tcPr>
          <w:p>
            <w:pPr>
              <w:spacing w:before="0" w:after="0" w:line="28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建设地点</w:t>
            </w:r>
          </w:p>
        </w:tc>
        <w:tc>
          <w:tcPr>
            <w:tcW w:w="2904" w:type="dxa"/>
            <w:tcBorders>
              <w:top w:val="single" w:color="auto" w:sz="4" w:space="0"/>
              <w:left w:val="nil"/>
              <w:bottom w:val="single" w:color="auto" w:sz="4" w:space="0"/>
              <w:right w:val="single" w:color="auto" w:sz="4" w:space="0"/>
            </w:tcBorders>
            <w:vAlign w:val="center"/>
          </w:tcPr>
          <w:p>
            <w:pPr>
              <w:spacing w:before="0" w:after="0" w:line="28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建设目标</w:t>
            </w:r>
          </w:p>
        </w:tc>
      </w:tr>
      <w:tr>
        <w:tblPrEx>
          <w:tblCellMar>
            <w:top w:w="0" w:type="dxa"/>
            <w:left w:w="108" w:type="dxa"/>
            <w:bottom w:w="0" w:type="dxa"/>
            <w:right w:w="108" w:type="dxa"/>
          </w:tblCellMar>
        </w:tblPrEx>
        <w:trPr>
          <w:trHeight w:val="1019" w:hRule="atLeast"/>
          <w:jc w:val="center"/>
        </w:trPr>
        <w:tc>
          <w:tcPr>
            <w:tcW w:w="772" w:type="dxa"/>
            <w:tcBorders>
              <w:top w:val="single" w:color="auto" w:sz="4" w:space="0"/>
              <w:left w:val="single" w:color="auto" w:sz="4" w:space="0"/>
              <w:bottom w:val="single" w:color="auto" w:sz="4" w:space="0"/>
              <w:right w:val="single" w:color="auto" w:sz="4" w:space="0"/>
            </w:tcBorders>
            <w:vAlign w:val="center"/>
          </w:tcPr>
          <w:p>
            <w:pPr>
              <w:spacing w:before="0" w:after="0" w:line="28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w:t>
            </w:r>
          </w:p>
        </w:tc>
        <w:tc>
          <w:tcPr>
            <w:tcW w:w="1290" w:type="dxa"/>
            <w:tcBorders>
              <w:top w:val="single" w:color="auto" w:sz="4" w:space="0"/>
              <w:left w:val="nil"/>
              <w:bottom w:val="single" w:color="auto" w:sz="4" w:space="0"/>
              <w:right w:val="single" w:color="auto" w:sz="4" w:space="0"/>
            </w:tcBorders>
            <w:vAlign w:val="center"/>
          </w:tcPr>
          <w:p>
            <w:pPr>
              <w:spacing w:before="0" w:after="0" w:line="28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“淮优”品牌建设工程</w:t>
            </w:r>
          </w:p>
        </w:tc>
        <w:tc>
          <w:tcPr>
            <w:tcW w:w="2702" w:type="dxa"/>
            <w:tcBorders>
              <w:top w:val="single" w:color="auto" w:sz="4" w:space="0"/>
              <w:left w:val="nil"/>
              <w:bottom w:val="single" w:color="auto" w:sz="4" w:space="0"/>
              <w:right w:val="single" w:color="auto" w:sz="4" w:space="0"/>
            </w:tcBorders>
            <w:vAlign w:val="center"/>
          </w:tcPr>
          <w:p>
            <w:pPr>
              <w:spacing w:before="0" w:after="0" w:line="28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做大做强产业基础，开展“淮优”产品推介和品牌营销，建设“淮优”农产品展销中心。</w:t>
            </w:r>
          </w:p>
        </w:tc>
        <w:tc>
          <w:tcPr>
            <w:tcW w:w="1314" w:type="dxa"/>
            <w:tcBorders>
              <w:top w:val="single" w:color="auto" w:sz="4" w:space="0"/>
              <w:left w:val="nil"/>
              <w:bottom w:val="single" w:color="auto" w:sz="4" w:space="0"/>
              <w:right w:val="single" w:color="auto" w:sz="4" w:space="0"/>
            </w:tcBorders>
            <w:vAlign w:val="center"/>
          </w:tcPr>
          <w:p>
            <w:pPr>
              <w:spacing w:before="0" w:after="0" w:line="28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2904" w:type="dxa"/>
            <w:tcBorders>
              <w:top w:val="single" w:color="auto" w:sz="4" w:space="0"/>
              <w:left w:val="nil"/>
              <w:bottom w:val="single" w:color="auto" w:sz="4" w:space="0"/>
              <w:right w:val="single" w:color="auto" w:sz="4" w:space="0"/>
            </w:tcBorders>
            <w:vAlign w:val="center"/>
          </w:tcPr>
          <w:p>
            <w:pPr>
              <w:spacing w:before="0" w:after="0" w:line="28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到2025年，“淮优”农产品生产主体稳定在100家，</w:t>
            </w:r>
            <w:r>
              <w:rPr>
                <w:rFonts w:hint="eastAsia" w:ascii="宋体" w:hAnsi="宋体" w:eastAsia="宋体"/>
                <w:bCs/>
                <w:color w:val="000000"/>
                <w:kern w:val="0"/>
                <w:sz w:val="21"/>
                <w:szCs w:val="21"/>
              </w:rPr>
              <w:t>培育有影响力的区域公用品牌 4个、企业品牌 4个、产品品牌10个。</w:t>
            </w:r>
          </w:p>
        </w:tc>
      </w:tr>
      <w:tr>
        <w:tblPrEx>
          <w:tblCellMar>
            <w:top w:w="0" w:type="dxa"/>
            <w:left w:w="108" w:type="dxa"/>
            <w:bottom w:w="0" w:type="dxa"/>
            <w:right w:w="108" w:type="dxa"/>
          </w:tblCellMar>
        </w:tblPrEx>
        <w:trPr>
          <w:trHeight w:val="1019" w:hRule="atLeast"/>
          <w:jc w:val="center"/>
        </w:trPr>
        <w:tc>
          <w:tcPr>
            <w:tcW w:w="772" w:type="dxa"/>
            <w:tcBorders>
              <w:top w:val="single" w:color="auto" w:sz="4" w:space="0"/>
              <w:left w:val="single" w:color="auto" w:sz="4" w:space="0"/>
              <w:bottom w:val="single" w:color="auto" w:sz="4" w:space="0"/>
              <w:right w:val="single" w:color="auto" w:sz="4" w:space="0"/>
            </w:tcBorders>
            <w:vAlign w:val="center"/>
          </w:tcPr>
          <w:p>
            <w:pPr>
              <w:spacing w:before="0" w:after="0" w:line="28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2</w:t>
            </w:r>
          </w:p>
        </w:tc>
        <w:tc>
          <w:tcPr>
            <w:tcW w:w="1290" w:type="dxa"/>
            <w:tcBorders>
              <w:top w:val="single" w:color="auto" w:sz="4" w:space="0"/>
              <w:left w:val="nil"/>
              <w:bottom w:val="single" w:color="auto" w:sz="4" w:space="0"/>
              <w:right w:val="single" w:color="auto" w:sz="4" w:space="0"/>
            </w:tcBorders>
            <w:vAlign w:val="center"/>
          </w:tcPr>
          <w:p>
            <w:pPr>
              <w:spacing w:before="0" w:after="0" w:line="28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“一村一品”培育项目</w:t>
            </w:r>
          </w:p>
        </w:tc>
        <w:tc>
          <w:tcPr>
            <w:tcW w:w="2702" w:type="dxa"/>
            <w:tcBorders>
              <w:top w:val="single" w:color="auto" w:sz="4" w:space="0"/>
              <w:left w:val="nil"/>
              <w:bottom w:val="single" w:color="auto" w:sz="4" w:space="0"/>
              <w:right w:val="single" w:color="auto" w:sz="4" w:space="0"/>
            </w:tcBorders>
            <w:vAlign w:val="center"/>
          </w:tcPr>
          <w:p>
            <w:pPr>
              <w:spacing w:before="0" w:after="0" w:line="28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培育一批“土字号”“乡字号”特色农产品品牌，争创“一村一品”示范村镇</w:t>
            </w:r>
            <w:r>
              <w:rPr>
                <w:rFonts w:hint="eastAsia" w:ascii="宋体" w:hAnsi="宋体" w:eastAsia="宋体"/>
                <w:bCs/>
                <w:color w:val="000000"/>
                <w:kern w:val="0"/>
                <w:sz w:val="21"/>
                <w:szCs w:val="21"/>
              </w:rPr>
              <w:t>。</w:t>
            </w:r>
          </w:p>
        </w:tc>
        <w:tc>
          <w:tcPr>
            <w:tcW w:w="1314" w:type="dxa"/>
            <w:tcBorders>
              <w:top w:val="single" w:color="auto" w:sz="4" w:space="0"/>
              <w:left w:val="nil"/>
              <w:bottom w:val="single" w:color="auto" w:sz="4" w:space="0"/>
              <w:right w:val="single" w:color="auto" w:sz="4" w:space="0"/>
            </w:tcBorders>
            <w:vAlign w:val="center"/>
          </w:tcPr>
          <w:p>
            <w:pPr>
              <w:spacing w:before="0" w:after="0" w:line="28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2904" w:type="dxa"/>
            <w:tcBorders>
              <w:top w:val="single" w:color="auto" w:sz="4" w:space="0"/>
              <w:left w:val="nil"/>
              <w:bottom w:val="single" w:color="auto" w:sz="4" w:space="0"/>
              <w:right w:val="single" w:color="auto" w:sz="4" w:space="0"/>
            </w:tcBorders>
            <w:vAlign w:val="center"/>
          </w:tcPr>
          <w:p>
            <w:pPr>
              <w:spacing w:before="0" w:after="0" w:line="28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到2025年，培育省级以上“一村一品”示范村（镇）18个以上。</w:t>
            </w:r>
          </w:p>
        </w:tc>
      </w:tr>
      <w:tr>
        <w:tblPrEx>
          <w:tblCellMar>
            <w:top w:w="0" w:type="dxa"/>
            <w:left w:w="108" w:type="dxa"/>
            <w:bottom w:w="0" w:type="dxa"/>
            <w:right w:w="108" w:type="dxa"/>
          </w:tblCellMar>
        </w:tblPrEx>
        <w:trPr>
          <w:trHeight w:val="1019" w:hRule="atLeast"/>
          <w:jc w:val="center"/>
        </w:trPr>
        <w:tc>
          <w:tcPr>
            <w:tcW w:w="772" w:type="dxa"/>
            <w:tcBorders>
              <w:top w:val="single" w:color="auto" w:sz="4" w:space="0"/>
              <w:left w:val="single" w:color="auto" w:sz="4" w:space="0"/>
              <w:bottom w:val="single" w:color="auto" w:sz="4" w:space="0"/>
              <w:right w:val="single" w:color="auto" w:sz="4" w:space="0"/>
            </w:tcBorders>
            <w:vAlign w:val="center"/>
          </w:tcPr>
          <w:p>
            <w:pPr>
              <w:spacing w:before="0" w:after="0" w:line="28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3</w:t>
            </w:r>
          </w:p>
        </w:tc>
        <w:tc>
          <w:tcPr>
            <w:tcW w:w="1290" w:type="dxa"/>
            <w:tcBorders>
              <w:top w:val="single" w:color="auto" w:sz="4" w:space="0"/>
              <w:left w:val="nil"/>
              <w:bottom w:val="single" w:color="auto" w:sz="4" w:space="0"/>
              <w:right w:val="single" w:color="auto" w:sz="4" w:space="0"/>
            </w:tcBorders>
            <w:vAlign w:val="center"/>
          </w:tcPr>
          <w:p>
            <w:pPr>
              <w:spacing w:before="0" w:after="0" w:line="28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农产品质量认证项目</w:t>
            </w:r>
          </w:p>
        </w:tc>
        <w:tc>
          <w:tcPr>
            <w:tcW w:w="2702" w:type="dxa"/>
            <w:tcBorders>
              <w:top w:val="single" w:color="auto" w:sz="4" w:space="0"/>
              <w:left w:val="nil"/>
              <w:bottom w:val="single" w:color="auto" w:sz="4" w:space="0"/>
              <w:right w:val="single" w:color="auto" w:sz="4" w:space="0"/>
            </w:tcBorders>
            <w:vAlign w:val="center"/>
          </w:tcPr>
          <w:p>
            <w:pPr>
              <w:spacing w:before="0" w:after="0" w:line="28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建设优质农产品生产基地，开展“三品一标”认证，加大扶持力度。</w:t>
            </w:r>
          </w:p>
        </w:tc>
        <w:tc>
          <w:tcPr>
            <w:tcW w:w="1314" w:type="dxa"/>
            <w:tcBorders>
              <w:top w:val="single" w:color="auto" w:sz="4" w:space="0"/>
              <w:left w:val="nil"/>
              <w:bottom w:val="single" w:color="auto" w:sz="4" w:space="0"/>
              <w:right w:val="single" w:color="auto" w:sz="4" w:space="0"/>
            </w:tcBorders>
            <w:vAlign w:val="center"/>
          </w:tcPr>
          <w:p>
            <w:pPr>
              <w:spacing w:before="0" w:after="0" w:line="28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2904" w:type="dxa"/>
            <w:tcBorders>
              <w:top w:val="single" w:color="auto" w:sz="4" w:space="0"/>
              <w:left w:val="nil"/>
              <w:bottom w:val="single" w:color="auto" w:sz="4" w:space="0"/>
              <w:right w:val="single" w:color="auto" w:sz="4" w:space="0"/>
            </w:tcBorders>
            <w:vAlign w:val="center"/>
          </w:tcPr>
          <w:p>
            <w:pPr>
              <w:spacing w:before="0" w:after="0" w:line="28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w:t>
            </w:r>
            <w:r>
              <w:rPr>
                <w:rFonts w:hint="eastAsia" w:ascii="宋体" w:hAnsi="宋体" w:eastAsia="宋体"/>
                <w:bCs/>
                <w:color w:val="000000"/>
                <w:kern w:val="0"/>
                <w:sz w:val="21"/>
                <w:szCs w:val="21"/>
              </w:rPr>
              <w:t>完成绿色食品、有机农产品、地理标志农产品 160个以上</w:t>
            </w:r>
            <w:r>
              <w:rPr>
                <w:rFonts w:ascii="宋体" w:hAnsi="宋体" w:eastAsia="宋体"/>
                <w:bCs/>
                <w:color w:val="000000"/>
                <w:kern w:val="0"/>
                <w:sz w:val="21"/>
                <w:szCs w:val="21"/>
              </w:rPr>
              <w:t>。</w:t>
            </w:r>
          </w:p>
        </w:tc>
      </w:tr>
    </w:tbl>
    <w:p>
      <w:pPr>
        <w:pStyle w:val="4"/>
        <w:keepNext w:val="0"/>
        <w:keepLines w:val="0"/>
        <w:spacing w:before="0" w:after="0"/>
        <w:ind w:firstLine="640" w:firstLineChars="200"/>
        <w:rPr>
          <w:rFonts w:ascii="Times New Roman" w:hAnsi="Times New Roman" w:eastAsia="黑体"/>
          <w:b w:val="0"/>
          <w:color w:val="000000"/>
          <w:szCs w:val="32"/>
        </w:rPr>
      </w:pPr>
      <w:r>
        <w:rPr>
          <w:rFonts w:ascii="Times New Roman" w:hAnsi="Times New Roman" w:eastAsia="黑体"/>
          <w:b w:val="0"/>
          <w:color w:val="000000"/>
          <w:szCs w:val="32"/>
        </w:rPr>
        <w:t>四、农业绿色发展工程</w:t>
      </w:r>
      <w:bookmarkEnd w:id="248"/>
    </w:p>
    <w:p>
      <w:pPr>
        <w:spacing w:before="0" w:after="0"/>
        <w:ind w:firstLine="640"/>
        <w:rPr>
          <w:rFonts w:ascii="Times New Roman" w:hAnsi="Times New Roman" w:eastAsia="仿宋_GB2312"/>
          <w:b/>
          <w:bCs/>
          <w:color w:val="000000"/>
          <w:sz w:val="32"/>
          <w:szCs w:val="32"/>
        </w:rPr>
      </w:pPr>
      <w:r>
        <w:rPr>
          <w:rFonts w:ascii="Times New Roman" w:hAnsi="Times New Roman" w:eastAsia="仿宋_GB2312"/>
          <w:color w:val="000000"/>
          <w:sz w:val="32"/>
          <w:szCs w:val="32"/>
        </w:rPr>
        <w:t>牢固树立“绿水青山就是金山银山”的发展理念，坚持“生态优先，绿水发展”，实施农业绿色发展工程，统筹农业发展与生态系统治理保护，完善秸秆、畜禽粪污等资源化利用制度，培育可持续、可循环的发展模式。具体项目如下：</w:t>
      </w:r>
    </w:p>
    <w:p>
      <w:pPr>
        <w:spacing w:before="0" w:after="0"/>
        <w:ind w:firstLine="643"/>
        <w:jc w:val="center"/>
        <w:rPr>
          <w:rFonts w:ascii="Times New Roman" w:hAnsi="Times New Roman" w:eastAsia="仿宋_GB2312"/>
          <w:b/>
          <w:bCs/>
          <w:color w:val="000000"/>
          <w:sz w:val="32"/>
          <w:szCs w:val="32"/>
        </w:rPr>
      </w:pPr>
      <w:r>
        <w:rPr>
          <w:rFonts w:ascii="Times New Roman" w:hAnsi="Times New Roman" w:eastAsia="仿宋_GB2312"/>
          <w:b/>
          <w:bCs/>
          <w:color w:val="000000"/>
          <w:sz w:val="32"/>
          <w:szCs w:val="32"/>
        </w:rPr>
        <w:t>表7.4 农业绿色发展工程</w:t>
      </w:r>
    </w:p>
    <w:tbl>
      <w:tblPr>
        <w:tblStyle w:val="27"/>
        <w:tblW w:w="89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1329"/>
        <w:gridCol w:w="2694"/>
        <w:gridCol w:w="1282"/>
        <w:gridCol w:w="28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775" w:type="dxa"/>
            <w:vAlign w:val="center"/>
          </w:tcPr>
          <w:p>
            <w:pPr>
              <w:spacing w:before="0" w:after="0" w:line="280" w:lineRule="exact"/>
              <w:ind w:firstLine="0" w:firstLineChars="0"/>
              <w:jc w:val="center"/>
              <w:rPr>
                <w:rFonts w:ascii="宋体" w:hAnsi="宋体" w:eastAsia="宋体"/>
                <w:b/>
                <w:bCs/>
                <w:color w:val="000000"/>
                <w:kern w:val="0"/>
                <w:sz w:val="21"/>
                <w:szCs w:val="21"/>
              </w:rPr>
            </w:pPr>
            <w:bookmarkStart w:id="249" w:name="_Toc26958"/>
            <w:r>
              <w:rPr>
                <w:rFonts w:ascii="宋体" w:hAnsi="宋体" w:eastAsia="宋体"/>
                <w:b/>
                <w:bCs/>
                <w:color w:val="000000"/>
                <w:kern w:val="0"/>
                <w:sz w:val="21"/>
                <w:szCs w:val="21"/>
              </w:rPr>
              <w:t>序号</w:t>
            </w:r>
          </w:p>
        </w:tc>
        <w:tc>
          <w:tcPr>
            <w:tcW w:w="1329" w:type="dxa"/>
            <w:vAlign w:val="center"/>
          </w:tcPr>
          <w:p>
            <w:pPr>
              <w:spacing w:before="0" w:after="0" w:line="28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项目名称</w:t>
            </w:r>
          </w:p>
        </w:tc>
        <w:tc>
          <w:tcPr>
            <w:tcW w:w="2694" w:type="dxa"/>
            <w:vAlign w:val="center"/>
          </w:tcPr>
          <w:p>
            <w:pPr>
              <w:spacing w:before="0" w:after="0" w:line="28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主要建设内容</w:t>
            </w:r>
          </w:p>
        </w:tc>
        <w:tc>
          <w:tcPr>
            <w:tcW w:w="1282" w:type="dxa"/>
            <w:vAlign w:val="center"/>
          </w:tcPr>
          <w:p>
            <w:pPr>
              <w:spacing w:before="0" w:after="0" w:line="28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建设地点</w:t>
            </w:r>
          </w:p>
        </w:tc>
        <w:tc>
          <w:tcPr>
            <w:tcW w:w="2867" w:type="dxa"/>
            <w:vAlign w:val="center"/>
          </w:tcPr>
          <w:p>
            <w:pPr>
              <w:spacing w:before="0" w:after="0" w:line="28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建设目标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775" w:type="dxa"/>
            <w:vAlign w:val="center"/>
          </w:tcPr>
          <w:p>
            <w:pPr>
              <w:spacing w:before="0" w:after="0" w:line="28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w:t>
            </w:r>
          </w:p>
        </w:tc>
        <w:tc>
          <w:tcPr>
            <w:tcW w:w="1329" w:type="dxa"/>
            <w:vAlign w:val="center"/>
          </w:tcPr>
          <w:p>
            <w:pPr>
              <w:spacing w:before="0" w:after="0" w:line="280" w:lineRule="exact"/>
              <w:ind w:firstLine="0" w:firstLineChars="0"/>
              <w:jc w:val="left"/>
              <w:rPr>
                <w:rFonts w:ascii="宋体" w:hAnsi="宋体" w:eastAsia="宋体"/>
                <w:bCs/>
                <w:color w:val="000000"/>
                <w:kern w:val="0"/>
                <w:sz w:val="21"/>
                <w:szCs w:val="21"/>
              </w:rPr>
            </w:pPr>
            <w:r>
              <w:rPr>
                <w:rFonts w:ascii="宋体" w:hAnsi="宋体" w:eastAsia="宋体"/>
                <w:bCs/>
                <w:color w:val="000000"/>
                <w:kern w:val="0"/>
                <w:sz w:val="21"/>
                <w:szCs w:val="21"/>
              </w:rPr>
              <w:t>农业绿色发展能力提升项目</w:t>
            </w:r>
          </w:p>
        </w:tc>
        <w:tc>
          <w:tcPr>
            <w:tcW w:w="2694" w:type="dxa"/>
            <w:vAlign w:val="center"/>
          </w:tcPr>
          <w:p>
            <w:pPr>
              <w:spacing w:before="0" w:after="0" w:line="28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实施有机肥深加工，推进粮-猪、粮-牛、粮-鹅等生态循环种植模式</w:t>
            </w:r>
            <w:r>
              <w:rPr>
                <w:rFonts w:hint="eastAsia" w:ascii="宋体" w:hAnsi="宋体" w:eastAsia="宋体"/>
                <w:bCs/>
                <w:color w:val="000000"/>
                <w:kern w:val="0"/>
                <w:sz w:val="21"/>
                <w:szCs w:val="21"/>
              </w:rPr>
              <w:t>。</w:t>
            </w:r>
          </w:p>
        </w:tc>
        <w:tc>
          <w:tcPr>
            <w:tcW w:w="1282" w:type="dxa"/>
            <w:vAlign w:val="center"/>
          </w:tcPr>
          <w:p>
            <w:pPr>
              <w:spacing w:before="0" w:after="0" w:line="28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濉溪县、烈山区</w:t>
            </w:r>
          </w:p>
        </w:tc>
        <w:tc>
          <w:tcPr>
            <w:tcW w:w="2867" w:type="dxa"/>
            <w:vAlign w:val="center"/>
          </w:tcPr>
          <w:p>
            <w:pPr>
              <w:spacing w:before="0" w:after="0" w:line="28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到2025年，有机肥使用量达到5万吨</w:t>
            </w:r>
            <w:r>
              <w:rPr>
                <w:rFonts w:hint="eastAsia" w:ascii="宋体" w:hAnsi="宋体" w:eastAsia="宋体"/>
                <w:bCs/>
                <w:color w:val="000000"/>
                <w:kern w:val="0"/>
                <w:sz w:val="21"/>
                <w:szCs w:val="21"/>
              </w:rPr>
              <w:t>，</w:t>
            </w:r>
            <w:r>
              <w:rPr>
                <w:rFonts w:ascii="宋体" w:hAnsi="宋体" w:eastAsia="宋体"/>
                <w:bCs/>
                <w:color w:val="000000"/>
                <w:kern w:val="0"/>
                <w:sz w:val="21"/>
                <w:szCs w:val="21"/>
              </w:rPr>
              <w:t>10万亩。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jc w:val="center"/>
        </w:trPr>
        <w:tc>
          <w:tcPr>
            <w:tcW w:w="775" w:type="dxa"/>
            <w:vAlign w:val="center"/>
          </w:tcPr>
          <w:p>
            <w:pPr>
              <w:spacing w:before="0" w:after="0" w:line="28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2</w:t>
            </w:r>
          </w:p>
        </w:tc>
        <w:tc>
          <w:tcPr>
            <w:tcW w:w="1329" w:type="dxa"/>
            <w:vAlign w:val="center"/>
          </w:tcPr>
          <w:p>
            <w:pPr>
              <w:spacing w:before="0" w:after="0" w:line="280" w:lineRule="exact"/>
              <w:ind w:firstLine="0" w:firstLineChars="0"/>
              <w:jc w:val="left"/>
              <w:rPr>
                <w:rFonts w:ascii="宋体" w:hAnsi="宋体" w:eastAsia="宋体"/>
                <w:bCs/>
                <w:color w:val="000000"/>
                <w:kern w:val="0"/>
                <w:sz w:val="21"/>
                <w:szCs w:val="21"/>
              </w:rPr>
            </w:pPr>
            <w:r>
              <w:rPr>
                <w:rFonts w:ascii="宋体" w:hAnsi="宋体" w:eastAsia="宋体"/>
                <w:bCs/>
                <w:color w:val="000000"/>
                <w:kern w:val="0"/>
                <w:sz w:val="21"/>
                <w:szCs w:val="21"/>
              </w:rPr>
              <w:t>绿色防控产业园建设项目</w:t>
            </w:r>
          </w:p>
        </w:tc>
        <w:tc>
          <w:tcPr>
            <w:tcW w:w="2694" w:type="dxa"/>
            <w:vAlign w:val="center"/>
          </w:tcPr>
          <w:p>
            <w:pPr>
              <w:spacing w:before="0" w:after="0" w:line="28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以小麦、粮油、果蔬等产业为重点，开展绿色防控技术，</w:t>
            </w:r>
            <w:r>
              <w:rPr>
                <w:rFonts w:hint="eastAsia" w:ascii="宋体" w:hAnsi="宋体" w:eastAsia="宋体"/>
                <w:bCs/>
                <w:color w:val="000000"/>
                <w:kern w:val="0"/>
                <w:sz w:val="21"/>
                <w:szCs w:val="21"/>
              </w:rPr>
              <w:t>提高</w:t>
            </w:r>
            <w:r>
              <w:rPr>
                <w:rFonts w:ascii="宋体" w:hAnsi="宋体" w:eastAsia="宋体"/>
                <w:bCs/>
                <w:color w:val="000000"/>
                <w:kern w:val="0"/>
                <w:sz w:val="21"/>
                <w:szCs w:val="21"/>
              </w:rPr>
              <w:t>农药利用率</w:t>
            </w:r>
            <w:r>
              <w:rPr>
                <w:rFonts w:hint="eastAsia" w:ascii="宋体" w:hAnsi="宋体" w:eastAsia="宋体"/>
                <w:bCs/>
                <w:color w:val="000000"/>
                <w:kern w:val="0"/>
                <w:sz w:val="21"/>
                <w:szCs w:val="21"/>
              </w:rPr>
              <w:t>。</w:t>
            </w:r>
          </w:p>
        </w:tc>
        <w:tc>
          <w:tcPr>
            <w:tcW w:w="1282" w:type="dxa"/>
            <w:vAlign w:val="center"/>
          </w:tcPr>
          <w:p>
            <w:pPr>
              <w:spacing w:before="0" w:after="0" w:line="28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2867" w:type="dxa"/>
            <w:vAlign w:val="center"/>
          </w:tcPr>
          <w:p>
            <w:pPr>
              <w:spacing w:before="0" w:after="0" w:line="28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到2025年，建设1-2个万亩绿色防控与专业化防控示范区。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775" w:type="dxa"/>
            <w:vAlign w:val="center"/>
          </w:tcPr>
          <w:p>
            <w:pPr>
              <w:spacing w:before="0" w:after="0" w:line="28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3</w:t>
            </w:r>
          </w:p>
        </w:tc>
        <w:tc>
          <w:tcPr>
            <w:tcW w:w="1329" w:type="dxa"/>
            <w:vAlign w:val="center"/>
          </w:tcPr>
          <w:p>
            <w:pPr>
              <w:spacing w:before="0" w:after="0" w:line="280" w:lineRule="exact"/>
              <w:ind w:firstLine="0" w:firstLineChars="0"/>
              <w:jc w:val="left"/>
              <w:rPr>
                <w:rFonts w:ascii="宋体" w:hAnsi="宋体" w:eastAsia="宋体"/>
                <w:bCs/>
                <w:color w:val="000000"/>
                <w:kern w:val="0"/>
                <w:sz w:val="21"/>
                <w:szCs w:val="21"/>
              </w:rPr>
            </w:pPr>
            <w:r>
              <w:rPr>
                <w:rFonts w:ascii="宋体" w:hAnsi="宋体" w:eastAsia="宋体"/>
                <w:bCs/>
                <w:color w:val="000000"/>
                <w:kern w:val="0"/>
                <w:sz w:val="21"/>
                <w:szCs w:val="21"/>
              </w:rPr>
              <w:t>农业废弃物资源化循环利用项目</w:t>
            </w:r>
          </w:p>
        </w:tc>
        <w:tc>
          <w:tcPr>
            <w:tcW w:w="2694" w:type="dxa"/>
            <w:vAlign w:val="center"/>
          </w:tcPr>
          <w:p>
            <w:pPr>
              <w:spacing w:before="0" w:after="0" w:line="28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实施规模养殖场设施装备改造升级，畜禽粪污资源化循环利用等重点工程，建设秸秆综合利用循环示范</w:t>
            </w:r>
            <w:r>
              <w:rPr>
                <w:rFonts w:hint="eastAsia" w:ascii="宋体" w:hAnsi="宋体" w:eastAsia="宋体"/>
                <w:bCs/>
                <w:color w:val="000000"/>
                <w:kern w:val="0"/>
                <w:sz w:val="21"/>
                <w:szCs w:val="21"/>
              </w:rPr>
              <w:t>点；</w:t>
            </w:r>
            <w:r>
              <w:rPr>
                <w:rFonts w:ascii="宋体" w:hAnsi="宋体" w:eastAsia="宋体"/>
                <w:bCs/>
                <w:color w:val="000000"/>
                <w:kern w:val="0"/>
                <w:sz w:val="21"/>
                <w:szCs w:val="21"/>
              </w:rPr>
              <w:t>建设养殖排泄物减量化系统及收集系统，支持第三方机构和中小规模养殖场建设粪污处理设施</w:t>
            </w:r>
            <w:r>
              <w:rPr>
                <w:rFonts w:hint="eastAsia" w:ascii="宋体" w:hAnsi="宋体" w:eastAsia="宋体"/>
                <w:bCs/>
                <w:color w:val="000000"/>
                <w:kern w:val="0"/>
                <w:sz w:val="21"/>
                <w:szCs w:val="21"/>
              </w:rPr>
              <w:t>。</w:t>
            </w:r>
          </w:p>
        </w:tc>
        <w:tc>
          <w:tcPr>
            <w:tcW w:w="1282" w:type="dxa"/>
            <w:vAlign w:val="center"/>
          </w:tcPr>
          <w:p>
            <w:pPr>
              <w:spacing w:before="0" w:after="0" w:line="28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2867" w:type="dxa"/>
            <w:vAlign w:val="center"/>
          </w:tcPr>
          <w:p>
            <w:pPr>
              <w:spacing w:before="0" w:after="0" w:line="28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到2025年，实现畜禽粪污资源化利用整市推进，大型规模养殖场粪污处理设施装备配套率达到100%，畜禽粪污综合利用率达到85%</w:t>
            </w:r>
            <w:r>
              <w:rPr>
                <w:rFonts w:hint="eastAsia" w:ascii="宋体" w:hAnsi="宋体" w:eastAsia="宋体"/>
                <w:bCs/>
                <w:color w:val="000000"/>
                <w:kern w:val="0"/>
                <w:sz w:val="21"/>
                <w:szCs w:val="21"/>
              </w:rPr>
              <w:t>；</w:t>
            </w:r>
            <w:r>
              <w:rPr>
                <w:rFonts w:ascii="宋体" w:hAnsi="宋体" w:eastAsia="宋体"/>
                <w:bCs/>
                <w:color w:val="000000"/>
                <w:kern w:val="0"/>
                <w:sz w:val="21"/>
                <w:szCs w:val="21"/>
              </w:rPr>
              <w:t>建设农作物秸秆标准化收储中心20个，</w:t>
            </w:r>
            <w:r>
              <w:rPr>
                <w:rFonts w:hint="eastAsia" w:ascii="宋体" w:hAnsi="宋体" w:eastAsia="宋体"/>
                <w:bCs/>
                <w:color w:val="000000"/>
                <w:kern w:val="0"/>
                <w:sz w:val="21"/>
                <w:szCs w:val="21"/>
              </w:rPr>
              <w:t>主要</w:t>
            </w:r>
            <w:r>
              <w:rPr>
                <w:rFonts w:ascii="宋体" w:hAnsi="宋体" w:eastAsia="宋体"/>
                <w:bCs/>
                <w:color w:val="000000"/>
                <w:kern w:val="0"/>
                <w:sz w:val="21"/>
                <w:szCs w:val="21"/>
              </w:rPr>
              <w:t>农作物秸秆综合利用率达95%。</w:t>
            </w:r>
          </w:p>
        </w:tc>
      </w:tr>
    </w:tbl>
    <w:p>
      <w:pPr>
        <w:pStyle w:val="4"/>
        <w:keepNext w:val="0"/>
        <w:keepLines w:val="0"/>
        <w:spacing w:before="0" w:after="0"/>
        <w:ind w:firstLine="640" w:firstLineChars="200"/>
        <w:rPr>
          <w:rFonts w:ascii="Times New Roman" w:hAnsi="Times New Roman" w:eastAsia="黑体"/>
          <w:b w:val="0"/>
          <w:color w:val="000000"/>
          <w:szCs w:val="32"/>
        </w:rPr>
      </w:pPr>
      <w:r>
        <w:rPr>
          <w:rFonts w:ascii="Times New Roman" w:hAnsi="Times New Roman" w:eastAsia="黑体"/>
          <w:b w:val="0"/>
          <w:color w:val="000000"/>
          <w:szCs w:val="32"/>
        </w:rPr>
        <w:t>五、</w:t>
      </w:r>
      <w:r>
        <w:rPr>
          <w:rFonts w:hint="eastAsia" w:ascii="Times New Roman" w:hAnsi="Times New Roman" w:eastAsia="黑体"/>
          <w:b w:val="0"/>
          <w:color w:val="000000"/>
          <w:szCs w:val="32"/>
        </w:rPr>
        <w:t>科技强农机械强农</w:t>
      </w:r>
      <w:r>
        <w:rPr>
          <w:rFonts w:ascii="Times New Roman" w:hAnsi="Times New Roman" w:eastAsia="黑体"/>
          <w:b w:val="0"/>
          <w:color w:val="000000"/>
          <w:szCs w:val="32"/>
        </w:rPr>
        <w:t>工程</w:t>
      </w:r>
      <w:bookmarkEnd w:id="249"/>
    </w:p>
    <w:p>
      <w:pPr>
        <w:spacing w:before="0" w:after="0"/>
        <w:ind w:firstLine="640"/>
        <w:rPr>
          <w:rFonts w:ascii="Times New Roman" w:hAnsi="Times New Roman" w:eastAsia="仿宋_GB2312"/>
          <w:color w:val="000000"/>
          <w:sz w:val="32"/>
          <w:szCs w:val="32"/>
        </w:rPr>
      </w:pPr>
      <w:r>
        <w:rPr>
          <w:rFonts w:hint="eastAsia" w:ascii="Times New Roman" w:hAnsi="Times New Roman" w:eastAsia="仿宋_GB2312"/>
          <w:color w:val="000000"/>
          <w:sz w:val="32"/>
          <w:szCs w:val="32"/>
        </w:rPr>
        <w:t>大力实施科技强农、机械强农，加快建设种业强市、数字皖农，打造具有重要影响力的农业科创高地，为全面提高农业质量效益和竞争力提供支撑。</w:t>
      </w:r>
      <w:r>
        <w:rPr>
          <w:rFonts w:ascii="Times New Roman" w:hAnsi="Times New Roman" w:eastAsia="仿宋_GB2312"/>
          <w:color w:val="000000"/>
          <w:sz w:val="32"/>
          <w:szCs w:val="32"/>
        </w:rPr>
        <w:t>具体项目如下：</w:t>
      </w:r>
    </w:p>
    <w:p>
      <w:pPr>
        <w:spacing w:before="0" w:after="0"/>
        <w:ind w:firstLine="643"/>
        <w:jc w:val="center"/>
        <w:rPr>
          <w:rFonts w:ascii="Times New Roman" w:hAnsi="Times New Roman" w:eastAsia="仿宋_GB2312"/>
          <w:b/>
          <w:bCs/>
          <w:color w:val="000000"/>
          <w:sz w:val="32"/>
          <w:szCs w:val="32"/>
        </w:rPr>
      </w:pPr>
      <w:r>
        <w:rPr>
          <w:rFonts w:ascii="Times New Roman" w:hAnsi="Times New Roman" w:eastAsia="仿宋_GB2312"/>
          <w:b/>
          <w:bCs/>
          <w:color w:val="000000"/>
          <w:sz w:val="32"/>
          <w:szCs w:val="32"/>
        </w:rPr>
        <w:t xml:space="preserve">表7.5 </w:t>
      </w:r>
      <w:r>
        <w:rPr>
          <w:rFonts w:hint="eastAsia" w:ascii="Times New Roman" w:hAnsi="Times New Roman" w:eastAsia="仿宋_GB2312"/>
          <w:b/>
          <w:bCs/>
          <w:color w:val="000000"/>
          <w:sz w:val="32"/>
          <w:szCs w:val="32"/>
        </w:rPr>
        <w:t>科技强农机械强农</w:t>
      </w:r>
      <w:r>
        <w:rPr>
          <w:rFonts w:ascii="Times New Roman" w:hAnsi="Times New Roman" w:eastAsia="仿宋_GB2312"/>
          <w:b/>
          <w:bCs/>
          <w:color w:val="000000"/>
          <w:sz w:val="32"/>
          <w:szCs w:val="32"/>
        </w:rPr>
        <w:t>工程</w:t>
      </w:r>
    </w:p>
    <w:tbl>
      <w:tblPr>
        <w:tblStyle w:val="27"/>
        <w:tblW w:w="4880" w:type="pct"/>
        <w:jc w:val="center"/>
        <w:tblLayout w:type="autofit"/>
        <w:tblCellMar>
          <w:top w:w="0" w:type="dxa"/>
          <w:left w:w="108" w:type="dxa"/>
          <w:bottom w:w="0" w:type="dxa"/>
          <w:right w:w="108" w:type="dxa"/>
        </w:tblCellMar>
      </w:tblPr>
      <w:tblGrid>
        <w:gridCol w:w="614"/>
        <w:gridCol w:w="1380"/>
        <w:gridCol w:w="2782"/>
        <w:gridCol w:w="1276"/>
        <w:gridCol w:w="2791"/>
      </w:tblGrid>
      <w:tr>
        <w:tblPrEx>
          <w:tblCellMar>
            <w:top w:w="0" w:type="dxa"/>
            <w:left w:w="108" w:type="dxa"/>
            <w:bottom w:w="0" w:type="dxa"/>
            <w:right w:w="108" w:type="dxa"/>
          </w:tblCellMar>
        </w:tblPrEx>
        <w:trPr>
          <w:trHeight w:val="750" w:hRule="atLeast"/>
          <w:jc w:val="center"/>
        </w:trPr>
        <w:tc>
          <w:tcPr>
            <w:tcW w:w="347" w:type="pct"/>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序号</w:t>
            </w:r>
          </w:p>
        </w:tc>
        <w:tc>
          <w:tcPr>
            <w:tcW w:w="780"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项目名称</w:t>
            </w:r>
          </w:p>
        </w:tc>
        <w:tc>
          <w:tcPr>
            <w:tcW w:w="1572"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主要建设内容</w:t>
            </w:r>
          </w:p>
        </w:tc>
        <w:tc>
          <w:tcPr>
            <w:tcW w:w="721"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建设地点</w:t>
            </w:r>
          </w:p>
        </w:tc>
        <w:tc>
          <w:tcPr>
            <w:tcW w:w="1577"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建设目标</w:t>
            </w:r>
          </w:p>
        </w:tc>
      </w:tr>
      <w:tr>
        <w:tblPrEx>
          <w:tblCellMar>
            <w:top w:w="0" w:type="dxa"/>
            <w:left w:w="108" w:type="dxa"/>
            <w:bottom w:w="0" w:type="dxa"/>
            <w:right w:w="108" w:type="dxa"/>
          </w:tblCellMar>
        </w:tblPrEx>
        <w:trPr>
          <w:trHeight w:val="750" w:hRule="atLeast"/>
          <w:jc w:val="center"/>
        </w:trPr>
        <w:tc>
          <w:tcPr>
            <w:tcW w:w="347" w:type="pct"/>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w:t>
            </w:r>
          </w:p>
        </w:tc>
        <w:tc>
          <w:tcPr>
            <w:tcW w:w="780"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种子资源库建设项目</w:t>
            </w:r>
          </w:p>
        </w:tc>
        <w:tc>
          <w:tcPr>
            <w:tcW w:w="1572"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left"/>
              <w:rPr>
                <w:rFonts w:ascii="宋体" w:hAnsi="宋体" w:eastAsia="宋体"/>
                <w:bCs/>
                <w:color w:val="000000"/>
                <w:kern w:val="0"/>
                <w:sz w:val="21"/>
                <w:szCs w:val="21"/>
              </w:rPr>
            </w:pPr>
            <w:r>
              <w:rPr>
                <w:rFonts w:hint="eastAsia" w:ascii="宋体" w:hAnsi="宋体" w:eastAsia="宋体"/>
                <w:bCs/>
                <w:color w:val="000000"/>
                <w:kern w:val="0"/>
                <w:sz w:val="21"/>
                <w:szCs w:val="21"/>
              </w:rPr>
              <w:t>建设种子资源库（场、区、圃），进行农业种质资源保护</w:t>
            </w:r>
          </w:p>
        </w:tc>
        <w:tc>
          <w:tcPr>
            <w:tcW w:w="721"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濉溪县</w:t>
            </w:r>
          </w:p>
        </w:tc>
        <w:tc>
          <w:tcPr>
            <w:tcW w:w="1577"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到2025年，完成濉溪县种子资源库建设。</w:t>
            </w:r>
          </w:p>
        </w:tc>
      </w:tr>
      <w:tr>
        <w:tblPrEx>
          <w:tblCellMar>
            <w:top w:w="0" w:type="dxa"/>
            <w:left w:w="108" w:type="dxa"/>
            <w:bottom w:w="0" w:type="dxa"/>
            <w:right w:w="108" w:type="dxa"/>
          </w:tblCellMar>
        </w:tblPrEx>
        <w:trPr>
          <w:trHeight w:val="750" w:hRule="atLeast"/>
          <w:jc w:val="center"/>
        </w:trPr>
        <w:tc>
          <w:tcPr>
            <w:tcW w:w="347" w:type="pct"/>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2</w:t>
            </w:r>
          </w:p>
        </w:tc>
        <w:tc>
          <w:tcPr>
            <w:tcW w:w="780"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制（繁）种能力提升项目</w:t>
            </w:r>
          </w:p>
        </w:tc>
        <w:tc>
          <w:tcPr>
            <w:tcW w:w="1572"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left"/>
              <w:rPr>
                <w:rFonts w:ascii="宋体" w:hAnsi="宋体" w:eastAsia="宋体"/>
                <w:bCs/>
                <w:color w:val="000000"/>
                <w:kern w:val="0"/>
                <w:sz w:val="21"/>
                <w:szCs w:val="21"/>
              </w:rPr>
            </w:pPr>
            <w:r>
              <w:rPr>
                <w:rFonts w:ascii="宋体" w:hAnsi="宋体" w:eastAsia="宋体"/>
                <w:bCs/>
                <w:color w:val="000000"/>
                <w:kern w:val="0"/>
                <w:sz w:val="21"/>
                <w:szCs w:val="21"/>
              </w:rPr>
              <w:t>建设小麦、大豆良种繁育基地</w:t>
            </w:r>
          </w:p>
        </w:tc>
        <w:tc>
          <w:tcPr>
            <w:tcW w:w="721"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濉溪县</w:t>
            </w:r>
          </w:p>
        </w:tc>
        <w:tc>
          <w:tcPr>
            <w:tcW w:w="1577"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到2025年，标准化良种繁育基地面积稳定在60万亩。</w:t>
            </w:r>
          </w:p>
        </w:tc>
      </w:tr>
      <w:tr>
        <w:tblPrEx>
          <w:tblCellMar>
            <w:top w:w="0" w:type="dxa"/>
            <w:left w:w="108" w:type="dxa"/>
            <w:bottom w:w="0" w:type="dxa"/>
            <w:right w:w="108" w:type="dxa"/>
          </w:tblCellMar>
        </w:tblPrEx>
        <w:trPr>
          <w:trHeight w:val="750" w:hRule="atLeast"/>
          <w:jc w:val="center"/>
        </w:trPr>
        <w:tc>
          <w:tcPr>
            <w:tcW w:w="347" w:type="pct"/>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3</w:t>
            </w:r>
          </w:p>
        </w:tc>
        <w:tc>
          <w:tcPr>
            <w:tcW w:w="780"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育种创新项目</w:t>
            </w:r>
          </w:p>
        </w:tc>
        <w:tc>
          <w:tcPr>
            <w:tcW w:w="1572"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left"/>
              <w:rPr>
                <w:rFonts w:ascii="宋体" w:hAnsi="宋体" w:eastAsia="宋体"/>
                <w:bCs/>
                <w:color w:val="000000"/>
                <w:kern w:val="0"/>
                <w:sz w:val="21"/>
                <w:szCs w:val="21"/>
              </w:rPr>
            </w:pPr>
            <w:r>
              <w:rPr>
                <w:rFonts w:ascii="宋体" w:hAnsi="宋体" w:eastAsia="宋体"/>
                <w:bCs/>
                <w:color w:val="000000"/>
                <w:kern w:val="0"/>
                <w:sz w:val="21"/>
                <w:szCs w:val="21"/>
              </w:rPr>
              <w:t>改善科研基础设施，兼顾种子生产 加工等条件</w:t>
            </w:r>
          </w:p>
        </w:tc>
        <w:tc>
          <w:tcPr>
            <w:tcW w:w="721"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1577"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到2025年，育成并通过审定新品种3—5个。</w:t>
            </w:r>
          </w:p>
        </w:tc>
      </w:tr>
      <w:tr>
        <w:tblPrEx>
          <w:tblCellMar>
            <w:top w:w="0" w:type="dxa"/>
            <w:left w:w="108" w:type="dxa"/>
            <w:bottom w:w="0" w:type="dxa"/>
            <w:right w:w="108" w:type="dxa"/>
          </w:tblCellMar>
        </w:tblPrEx>
        <w:trPr>
          <w:trHeight w:val="776" w:hRule="atLeast"/>
          <w:jc w:val="center"/>
        </w:trPr>
        <w:tc>
          <w:tcPr>
            <w:tcW w:w="347" w:type="pct"/>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4</w:t>
            </w:r>
          </w:p>
        </w:tc>
        <w:tc>
          <w:tcPr>
            <w:tcW w:w="780"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hint="eastAsia" w:ascii="宋体" w:hAnsi="宋体" w:eastAsia="宋体"/>
                <w:bCs/>
                <w:color w:val="000000"/>
                <w:kern w:val="0"/>
                <w:sz w:val="21"/>
                <w:szCs w:val="21"/>
              </w:rPr>
              <w:t>机械强农项目</w:t>
            </w:r>
          </w:p>
        </w:tc>
        <w:tc>
          <w:tcPr>
            <w:tcW w:w="1572"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实施农机装备产业壮大、农机研制能力提升、</w:t>
            </w:r>
          </w:p>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全程机械化推进、农机社会化服务提升等行动。</w:t>
            </w:r>
          </w:p>
          <w:p>
            <w:pPr>
              <w:spacing w:before="0" w:after="0" w:line="300" w:lineRule="exact"/>
              <w:ind w:firstLine="0" w:firstLineChars="0"/>
              <w:rPr>
                <w:rFonts w:ascii="宋体" w:hAnsi="宋体" w:eastAsia="宋体"/>
                <w:bCs/>
                <w:color w:val="000000"/>
                <w:kern w:val="0"/>
                <w:sz w:val="21"/>
                <w:szCs w:val="21"/>
              </w:rPr>
            </w:pPr>
          </w:p>
        </w:tc>
        <w:tc>
          <w:tcPr>
            <w:tcW w:w="721"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1577"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w:t>
            </w:r>
            <w:r>
              <w:rPr>
                <w:rFonts w:hint="eastAsia" w:ascii="宋体" w:hAnsi="宋体" w:eastAsia="宋体"/>
                <w:bCs/>
                <w:color w:val="000000"/>
                <w:kern w:val="0"/>
                <w:sz w:val="21"/>
                <w:szCs w:val="21"/>
              </w:rPr>
              <w:t>推广大型复式智能高效机械占比达30%，农作物耕种收综合机械化率达95%</w:t>
            </w:r>
          </w:p>
        </w:tc>
      </w:tr>
      <w:tr>
        <w:tblPrEx>
          <w:tblCellMar>
            <w:top w:w="0" w:type="dxa"/>
            <w:left w:w="108" w:type="dxa"/>
            <w:bottom w:w="0" w:type="dxa"/>
            <w:right w:w="108" w:type="dxa"/>
          </w:tblCellMar>
        </w:tblPrEx>
        <w:trPr>
          <w:trHeight w:val="776" w:hRule="atLeast"/>
          <w:jc w:val="center"/>
        </w:trPr>
        <w:tc>
          <w:tcPr>
            <w:tcW w:w="347" w:type="pct"/>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5</w:t>
            </w:r>
          </w:p>
        </w:tc>
        <w:tc>
          <w:tcPr>
            <w:tcW w:w="780"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hint="eastAsia" w:ascii="宋体" w:hAnsi="宋体" w:eastAsia="宋体"/>
                <w:bCs/>
                <w:color w:val="000000"/>
                <w:kern w:val="0"/>
                <w:sz w:val="21"/>
                <w:szCs w:val="21"/>
              </w:rPr>
              <w:t>数字赋“农”建设项目</w:t>
            </w:r>
          </w:p>
        </w:tc>
        <w:tc>
          <w:tcPr>
            <w:tcW w:w="1572"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积极参加全省农业产业互联网建设，推进高岳、铁佛等数字乡村试点镇建设，推动电子商务与乡村产业加速融合。</w:t>
            </w:r>
          </w:p>
        </w:tc>
        <w:tc>
          <w:tcPr>
            <w:tcW w:w="721"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p>
        </w:tc>
        <w:tc>
          <w:tcPr>
            <w:tcW w:w="1577"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w:t>
            </w:r>
            <w:r>
              <w:rPr>
                <w:rFonts w:hint="eastAsia" w:ascii="宋体" w:hAnsi="宋体" w:eastAsia="宋体"/>
                <w:bCs/>
                <w:color w:val="000000"/>
                <w:kern w:val="0"/>
                <w:sz w:val="21"/>
                <w:szCs w:val="21"/>
              </w:rPr>
              <w:t>以蔬菜、水果、畜禽标准园为重点，建设数字农业工厂 8个、数字农业应用场景8个。网络销售额达5.5亿元。</w:t>
            </w:r>
          </w:p>
        </w:tc>
      </w:tr>
      <w:tr>
        <w:tblPrEx>
          <w:tblCellMar>
            <w:top w:w="0" w:type="dxa"/>
            <w:left w:w="108" w:type="dxa"/>
            <w:bottom w:w="0" w:type="dxa"/>
            <w:right w:w="108" w:type="dxa"/>
          </w:tblCellMar>
        </w:tblPrEx>
        <w:trPr>
          <w:trHeight w:val="400" w:hRule="atLeast"/>
          <w:jc w:val="center"/>
        </w:trPr>
        <w:tc>
          <w:tcPr>
            <w:tcW w:w="347" w:type="pct"/>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6</w:t>
            </w:r>
          </w:p>
        </w:tc>
        <w:tc>
          <w:tcPr>
            <w:tcW w:w="780"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hint="eastAsia" w:ascii="宋体" w:hAnsi="宋体" w:eastAsia="宋体"/>
                <w:bCs/>
                <w:color w:val="000000"/>
                <w:kern w:val="0"/>
                <w:sz w:val="21"/>
                <w:szCs w:val="21"/>
              </w:rPr>
              <w:t>农技推广服务体系建设项目</w:t>
            </w:r>
          </w:p>
        </w:tc>
        <w:tc>
          <w:tcPr>
            <w:tcW w:w="1572"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left"/>
              <w:rPr>
                <w:rFonts w:ascii="宋体" w:hAnsi="宋体" w:eastAsia="宋体"/>
                <w:bCs/>
                <w:color w:val="000000"/>
                <w:kern w:val="0"/>
                <w:sz w:val="21"/>
                <w:szCs w:val="21"/>
              </w:rPr>
            </w:pPr>
            <w:r>
              <w:rPr>
                <w:rFonts w:ascii="宋体" w:hAnsi="宋体" w:eastAsia="宋体"/>
                <w:bCs/>
                <w:color w:val="000000"/>
                <w:kern w:val="0"/>
                <w:sz w:val="21"/>
                <w:szCs w:val="21"/>
              </w:rPr>
              <w:t>优化农机装备资源配置，提升农机社会化服务能力，培育提升农机社会化服务主体，实现管供需智能化对接。</w:t>
            </w:r>
          </w:p>
        </w:tc>
        <w:tc>
          <w:tcPr>
            <w:tcW w:w="721"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1577" w:type="pct"/>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到2025年，新增全程机械化综合农事服务中心 8个，实现农业乡镇全覆盖。</w:t>
            </w:r>
          </w:p>
        </w:tc>
      </w:tr>
    </w:tbl>
    <w:p>
      <w:pPr>
        <w:pStyle w:val="4"/>
        <w:keepNext w:val="0"/>
        <w:keepLines w:val="0"/>
        <w:spacing w:before="0" w:after="0"/>
        <w:ind w:firstLine="640" w:firstLineChars="200"/>
        <w:rPr>
          <w:rFonts w:ascii="Times New Roman" w:hAnsi="Times New Roman" w:eastAsia="黑体"/>
          <w:b w:val="0"/>
          <w:color w:val="000000"/>
          <w:szCs w:val="32"/>
        </w:rPr>
      </w:pPr>
      <w:r>
        <w:rPr>
          <w:rFonts w:ascii="Times New Roman" w:hAnsi="Times New Roman" w:eastAsia="黑体"/>
          <w:b w:val="0"/>
          <w:color w:val="000000"/>
          <w:szCs w:val="32"/>
        </w:rPr>
        <w:t>六、</w:t>
      </w:r>
      <w:r>
        <w:rPr>
          <w:rFonts w:hint="eastAsia" w:ascii="Times New Roman" w:hAnsi="Times New Roman" w:eastAsia="黑体"/>
          <w:b w:val="0"/>
          <w:color w:val="000000"/>
          <w:szCs w:val="32"/>
        </w:rPr>
        <w:t>农民收入增长</w:t>
      </w:r>
      <w:r>
        <w:rPr>
          <w:rFonts w:ascii="Times New Roman" w:hAnsi="Times New Roman" w:eastAsia="黑体"/>
          <w:b w:val="0"/>
          <w:color w:val="000000"/>
          <w:szCs w:val="32"/>
        </w:rPr>
        <w:t>工程</w:t>
      </w:r>
    </w:p>
    <w:p>
      <w:pPr>
        <w:spacing w:before="0" w:after="0"/>
        <w:ind w:firstLine="640"/>
        <w:rPr>
          <w:rFonts w:ascii="Times New Roman" w:hAnsi="Times New Roman" w:eastAsia="仿宋_GB2312"/>
          <w:color w:val="000000"/>
          <w:sz w:val="32"/>
          <w:szCs w:val="32"/>
        </w:rPr>
      </w:pPr>
      <w:r>
        <w:rPr>
          <w:rFonts w:hint="eastAsia" w:ascii="Times New Roman" w:hAnsi="Times New Roman" w:eastAsia="仿宋_GB2312"/>
          <w:color w:val="000000"/>
          <w:sz w:val="32"/>
          <w:szCs w:val="32"/>
        </w:rPr>
        <w:t>坚持走共同富裕之路，聚焦农民收入短板，因地制宜、精准施策，健全各类生产要素由市场决定报酬的机制，多途径拓宽增收渠道，在高质量发展中扎实推进农民收入大幅度增长，促进城乡居民人均收入倍差持续缩小。</w:t>
      </w:r>
      <w:r>
        <w:rPr>
          <w:rFonts w:ascii="Times New Roman" w:hAnsi="Times New Roman" w:eastAsia="仿宋_GB2312"/>
          <w:color w:val="000000"/>
          <w:sz w:val="32"/>
          <w:szCs w:val="32"/>
        </w:rPr>
        <w:t>具体项目如下：</w:t>
      </w:r>
    </w:p>
    <w:p>
      <w:pPr>
        <w:spacing w:before="0" w:after="0"/>
        <w:ind w:firstLine="643"/>
        <w:jc w:val="center"/>
        <w:rPr>
          <w:rFonts w:ascii="Times New Roman" w:hAnsi="Times New Roman" w:eastAsia="仿宋_GB2312"/>
          <w:b/>
          <w:bCs/>
          <w:color w:val="000000"/>
          <w:sz w:val="32"/>
          <w:szCs w:val="32"/>
        </w:rPr>
      </w:pPr>
      <w:r>
        <w:rPr>
          <w:rFonts w:ascii="Times New Roman" w:hAnsi="Times New Roman" w:eastAsia="仿宋_GB2312"/>
          <w:b/>
          <w:bCs/>
          <w:color w:val="000000"/>
          <w:sz w:val="32"/>
          <w:szCs w:val="32"/>
        </w:rPr>
        <w:t>表7.6 农民收入增长</w:t>
      </w:r>
      <w:r>
        <w:rPr>
          <w:rFonts w:hint="eastAsia" w:ascii="Times New Roman" w:hAnsi="Times New Roman" w:eastAsia="仿宋_GB2312"/>
          <w:b/>
          <w:bCs/>
          <w:color w:val="000000"/>
          <w:sz w:val="32"/>
          <w:szCs w:val="32"/>
        </w:rPr>
        <w:t>工程</w:t>
      </w:r>
    </w:p>
    <w:tbl>
      <w:tblPr>
        <w:tblStyle w:val="27"/>
        <w:tblW w:w="9187" w:type="dxa"/>
        <w:jc w:val="center"/>
        <w:tblLayout w:type="autofit"/>
        <w:tblCellMar>
          <w:top w:w="0" w:type="dxa"/>
          <w:left w:w="108" w:type="dxa"/>
          <w:bottom w:w="0" w:type="dxa"/>
          <w:right w:w="108" w:type="dxa"/>
        </w:tblCellMar>
      </w:tblPr>
      <w:tblGrid>
        <w:gridCol w:w="594"/>
        <w:gridCol w:w="1475"/>
        <w:gridCol w:w="3130"/>
        <w:gridCol w:w="715"/>
        <w:gridCol w:w="3273"/>
      </w:tblGrid>
      <w:tr>
        <w:tblPrEx>
          <w:tblCellMar>
            <w:top w:w="0" w:type="dxa"/>
            <w:left w:w="108" w:type="dxa"/>
            <w:bottom w:w="0" w:type="dxa"/>
            <w:right w:w="108" w:type="dxa"/>
          </w:tblCellMar>
        </w:tblPrEx>
        <w:trPr>
          <w:trHeight w:val="696" w:hRule="atLeast"/>
          <w:jc w:val="center"/>
        </w:trPr>
        <w:tc>
          <w:tcPr>
            <w:tcW w:w="594"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序号</w:t>
            </w:r>
          </w:p>
        </w:tc>
        <w:tc>
          <w:tcPr>
            <w:tcW w:w="147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项目名称</w:t>
            </w:r>
          </w:p>
        </w:tc>
        <w:tc>
          <w:tcPr>
            <w:tcW w:w="3130"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主要建设内容</w:t>
            </w:r>
          </w:p>
        </w:tc>
        <w:tc>
          <w:tcPr>
            <w:tcW w:w="71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建设地点</w:t>
            </w:r>
          </w:p>
        </w:tc>
        <w:tc>
          <w:tcPr>
            <w:tcW w:w="3273"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建设目标</w:t>
            </w:r>
          </w:p>
        </w:tc>
      </w:tr>
      <w:tr>
        <w:tblPrEx>
          <w:tblCellMar>
            <w:top w:w="0" w:type="dxa"/>
            <w:left w:w="108" w:type="dxa"/>
            <w:bottom w:w="0" w:type="dxa"/>
            <w:right w:w="108" w:type="dxa"/>
          </w:tblCellMar>
        </w:tblPrEx>
        <w:trPr>
          <w:trHeight w:val="696" w:hRule="atLeast"/>
          <w:jc w:val="center"/>
        </w:trPr>
        <w:tc>
          <w:tcPr>
            <w:tcW w:w="594"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w:t>
            </w:r>
          </w:p>
        </w:tc>
        <w:tc>
          <w:tcPr>
            <w:tcW w:w="147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基层农技推广人员能力提升项目</w:t>
            </w:r>
          </w:p>
        </w:tc>
        <w:tc>
          <w:tcPr>
            <w:tcW w:w="3130"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left"/>
              <w:rPr>
                <w:rFonts w:ascii="宋体" w:hAnsi="宋体" w:eastAsia="宋体"/>
                <w:bCs/>
                <w:color w:val="000000"/>
                <w:kern w:val="0"/>
                <w:sz w:val="21"/>
                <w:szCs w:val="21"/>
              </w:rPr>
            </w:pPr>
            <w:r>
              <w:rPr>
                <w:rFonts w:ascii="宋体" w:hAnsi="宋体" w:eastAsia="宋体"/>
                <w:bCs/>
                <w:color w:val="000000"/>
                <w:kern w:val="0"/>
                <w:sz w:val="21"/>
                <w:szCs w:val="21"/>
              </w:rPr>
              <w:t>加强县（区）、镇（</w:t>
            </w:r>
            <w:r>
              <w:rPr>
                <w:rFonts w:hint="eastAsia" w:ascii="宋体" w:hAnsi="宋体" w:eastAsia="宋体"/>
                <w:bCs/>
                <w:color w:val="000000"/>
                <w:kern w:val="0"/>
                <w:sz w:val="21"/>
                <w:szCs w:val="21"/>
              </w:rPr>
              <w:t>街道</w:t>
            </w:r>
            <w:r>
              <w:rPr>
                <w:rFonts w:ascii="宋体" w:hAnsi="宋体" w:eastAsia="宋体"/>
                <w:bCs/>
                <w:color w:val="000000"/>
                <w:kern w:val="0"/>
                <w:sz w:val="21"/>
                <w:szCs w:val="21"/>
              </w:rPr>
              <w:t>）农技队伍建设。保障农业科技服务人员增值服务合理取酬。</w:t>
            </w:r>
          </w:p>
        </w:tc>
        <w:tc>
          <w:tcPr>
            <w:tcW w:w="71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3273"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left"/>
              <w:rPr>
                <w:rFonts w:ascii="宋体" w:hAnsi="宋体" w:eastAsia="宋体"/>
                <w:bCs/>
                <w:color w:val="000000"/>
                <w:kern w:val="0"/>
                <w:sz w:val="21"/>
                <w:szCs w:val="21"/>
              </w:rPr>
            </w:pPr>
            <w:r>
              <w:rPr>
                <w:rFonts w:hint="eastAsia" w:ascii="宋体" w:hAnsi="宋体" w:eastAsia="宋体"/>
                <w:bCs/>
                <w:color w:val="000000"/>
                <w:kern w:val="0"/>
                <w:sz w:val="21"/>
                <w:szCs w:val="21"/>
              </w:rPr>
              <w:t>到2025年</w:t>
            </w:r>
            <w:r>
              <w:rPr>
                <w:rFonts w:ascii="宋体" w:hAnsi="宋体" w:eastAsia="宋体"/>
                <w:bCs/>
                <w:color w:val="000000"/>
                <w:kern w:val="0"/>
                <w:sz w:val="21"/>
                <w:szCs w:val="21"/>
              </w:rPr>
              <w:t>科技特派员发展到300名以上，实现行政村服务全覆盖。</w:t>
            </w:r>
          </w:p>
        </w:tc>
      </w:tr>
      <w:tr>
        <w:tblPrEx>
          <w:tblCellMar>
            <w:top w:w="0" w:type="dxa"/>
            <w:left w:w="108" w:type="dxa"/>
            <w:bottom w:w="0" w:type="dxa"/>
            <w:right w:w="108" w:type="dxa"/>
          </w:tblCellMar>
        </w:tblPrEx>
        <w:trPr>
          <w:trHeight w:val="1086" w:hRule="atLeast"/>
          <w:jc w:val="center"/>
        </w:trPr>
        <w:tc>
          <w:tcPr>
            <w:tcW w:w="594"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2</w:t>
            </w:r>
          </w:p>
        </w:tc>
        <w:tc>
          <w:tcPr>
            <w:tcW w:w="147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left"/>
              <w:rPr>
                <w:rFonts w:ascii="宋体" w:hAnsi="宋体" w:eastAsia="宋体"/>
                <w:bCs/>
                <w:color w:val="000000"/>
                <w:kern w:val="0"/>
                <w:sz w:val="21"/>
                <w:szCs w:val="21"/>
              </w:rPr>
            </w:pPr>
            <w:r>
              <w:rPr>
                <w:rFonts w:hint="eastAsia" w:ascii="宋体" w:hAnsi="宋体" w:eastAsia="宋体"/>
                <w:bCs/>
                <w:color w:val="000000"/>
                <w:kern w:val="0"/>
                <w:sz w:val="21"/>
                <w:szCs w:val="21"/>
              </w:rPr>
              <w:t>乡村振兴人才培育项目</w:t>
            </w:r>
          </w:p>
        </w:tc>
        <w:tc>
          <w:tcPr>
            <w:tcW w:w="3130"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hint="eastAsia" w:ascii="宋体" w:hAnsi="宋体" w:eastAsia="宋体"/>
                <w:bCs/>
                <w:color w:val="000000"/>
                <w:kern w:val="0"/>
                <w:sz w:val="21"/>
                <w:szCs w:val="21"/>
              </w:rPr>
              <w:t>培育高素质农民、农业发展带头人，提升农村实用人才能力、农业技能人才技能等级。</w:t>
            </w:r>
          </w:p>
        </w:tc>
        <w:tc>
          <w:tcPr>
            <w:tcW w:w="71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3273"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w:t>
            </w:r>
            <w:r>
              <w:rPr>
                <w:rFonts w:hint="eastAsia" w:ascii="宋体" w:hAnsi="宋体" w:eastAsia="宋体"/>
                <w:bCs/>
                <w:color w:val="000000"/>
                <w:kern w:val="0"/>
                <w:sz w:val="21"/>
                <w:szCs w:val="21"/>
              </w:rPr>
              <w:t>培训高素质农民 5000人，农机合作社理事长120名、农机手2800名。</w:t>
            </w:r>
          </w:p>
        </w:tc>
      </w:tr>
      <w:tr>
        <w:tblPrEx>
          <w:tblCellMar>
            <w:top w:w="0" w:type="dxa"/>
            <w:left w:w="108" w:type="dxa"/>
            <w:bottom w:w="0" w:type="dxa"/>
            <w:right w:w="108" w:type="dxa"/>
          </w:tblCellMar>
        </w:tblPrEx>
        <w:trPr>
          <w:trHeight w:val="1280" w:hRule="atLeast"/>
          <w:jc w:val="center"/>
        </w:trPr>
        <w:tc>
          <w:tcPr>
            <w:tcW w:w="594"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3</w:t>
            </w:r>
          </w:p>
        </w:tc>
        <w:tc>
          <w:tcPr>
            <w:tcW w:w="147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left"/>
              <w:rPr>
                <w:rFonts w:ascii="宋体" w:hAnsi="宋体" w:eastAsia="宋体"/>
                <w:bCs/>
                <w:color w:val="000000"/>
                <w:kern w:val="0"/>
                <w:sz w:val="21"/>
                <w:szCs w:val="21"/>
              </w:rPr>
            </w:pPr>
            <w:r>
              <w:rPr>
                <w:rFonts w:ascii="宋体" w:hAnsi="宋体" w:eastAsia="宋体"/>
                <w:bCs/>
                <w:color w:val="000000"/>
                <w:kern w:val="0"/>
                <w:sz w:val="21"/>
                <w:szCs w:val="21"/>
              </w:rPr>
              <w:t>农村新型经营主体培育项目</w:t>
            </w:r>
          </w:p>
        </w:tc>
        <w:tc>
          <w:tcPr>
            <w:tcW w:w="3130"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培育新型农业经营主体，强化经营主体的创新创业带头作用。</w:t>
            </w:r>
          </w:p>
        </w:tc>
        <w:tc>
          <w:tcPr>
            <w:tcW w:w="71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3273"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w:t>
            </w:r>
            <w:r>
              <w:rPr>
                <w:rFonts w:hint="eastAsia" w:ascii="宋体" w:hAnsi="宋体" w:eastAsia="宋体"/>
                <w:bCs/>
                <w:color w:val="000000"/>
                <w:kern w:val="0"/>
                <w:sz w:val="21"/>
                <w:szCs w:val="21"/>
              </w:rPr>
              <w:t>培育家庭农场达7400个、农民合作社稳定在1500个、农业社会化服务组织达1525个。</w:t>
            </w:r>
            <w:r>
              <w:rPr>
                <w:rFonts w:ascii="宋体" w:hAnsi="宋体" w:eastAsia="宋体"/>
                <w:bCs/>
                <w:color w:val="000000"/>
                <w:kern w:val="0"/>
                <w:sz w:val="21"/>
                <w:szCs w:val="21"/>
              </w:rPr>
              <w:t>争创</w:t>
            </w:r>
            <w:r>
              <w:rPr>
                <w:rFonts w:hint="eastAsia" w:ascii="宋体" w:hAnsi="宋体" w:eastAsia="宋体"/>
                <w:bCs/>
                <w:color w:val="000000"/>
                <w:kern w:val="0"/>
                <w:sz w:val="21"/>
                <w:szCs w:val="21"/>
              </w:rPr>
              <w:t>省级及以上农民专业合作社示范社</w:t>
            </w:r>
            <w:r>
              <w:rPr>
                <w:rFonts w:ascii="宋体" w:hAnsi="宋体" w:eastAsia="宋体"/>
                <w:bCs/>
                <w:color w:val="000000"/>
                <w:kern w:val="0"/>
                <w:sz w:val="21"/>
                <w:szCs w:val="21"/>
              </w:rPr>
              <w:t>60家、示范家庭农场120家，新增社会化服务组织200家。</w:t>
            </w:r>
          </w:p>
        </w:tc>
      </w:tr>
      <w:tr>
        <w:tblPrEx>
          <w:tblCellMar>
            <w:top w:w="0" w:type="dxa"/>
            <w:left w:w="108" w:type="dxa"/>
            <w:bottom w:w="0" w:type="dxa"/>
            <w:right w:w="108" w:type="dxa"/>
          </w:tblCellMar>
        </w:tblPrEx>
        <w:trPr>
          <w:trHeight w:val="1280" w:hRule="atLeast"/>
          <w:jc w:val="center"/>
        </w:trPr>
        <w:tc>
          <w:tcPr>
            <w:tcW w:w="594"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4</w:t>
            </w:r>
          </w:p>
        </w:tc>
        <w:tc>
          <w:tcPr>
            <w:tcW w:w="147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hint="eastAsia" w:ascii="宋体" w:hAnsi="宋体" w:eastAsia="宋体"/>
                <w:bCs/>
                <w:color w:val="000000"/>
                <w:kern w:val="0"/>
                <w:sz w:val="21"/>
                <w:szCs w:val="21"/>
              </w:rPr>
              <w:t>促进农民增收项目</w:t>
            </w:r>
          </w:p>
        </w:tc>
        <w:tc>
          <w:tcPr>
            <w:tcW w:w="3130"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color w:val="000000"/>
                <w:sz w:val="21"/>
                <w:szCs w:val="21"/>
              </w:rPr>
            </w:pPr>
            <w:r>
              <w:rPr>
                <w:rFonts w:hint="eastAsia" w:ascii="宋体" w:hAnsi="宋体" w:eastAsia="宋体"/>
                <w:bCs/>
                <w:color w:val="000000"/>
                <w:kern w:val="0"/>
                <w:sz w:val="21"/>
                <w:szCs w:val="21"/>
              </w:rPr>
              <w:t>实施工资性收入倍增、</w:t>
            </w:r>
            <w:r>
              <w:rPr>
                <w:rFonts w:ascii="宋体" w:hAnsi="宋体" w:eastAsia="宋体"/>
                <w:bCs/>
                <w:color w:val="000000"/>
                <w:kern w:val="0"/>
                <w:sz w:val="21"/>
                <w:szCs w:val="21"/>
              </w:rPr>
              <w:t>财产性收入扩量、经营性收入壮大、转移性收入提升等行动。</w:t>
            </w:r>
          </w:p>
        </w:tc>
        <w:tc>
          <w:tcPr>
            <w:tcW w:w="71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3273" w:type="dxa"/>
            <w:tcBorders>
              <w:top w:val="single" w:color="auto" w:sz="4" w:space="0"/>
              <w:left w:val="nil"/>
              <w:bottom w:val="single" w:color="auto" w:sz="4" w:space="0"/>
              <w:right w:val="single" w:color="auto" w:sz="4" w:space="0"/>
            </w:tcBorders>
            <w:vAlign w:val="center"/>
          </w:tcPr>
          <w:p>
            <w:pPr>
              <w:spacing w:line="300" w:lineRule="exact"/>
              <w:ind w:firstLine="600"/>
            </w:pPr>
            <w:r>
              <w:t>农民收入力争超过全省平均水平。</w:t>
            </w:r>
          </w:p>
          <w:p>
            <w:pPr>
              <w:pStyle w:val="2"/>
              <w:ind w:firstLine="422"/>
              <w:rPr>
                <w:rFonts w:eastAsia="宋体"/>
              </w:rPr>
            </w:pPr>
            <w:r>
              <w:rPr>
                <w:rFonts w:hint="eastAsia" w:ascii="宋体" w:hAnsi="宋体" w:eastAsia="宋体"/>
                <w:bCs/>
                <w:color w:val="000000"/>
                <w:kern w:val="0"/>
                <w:sz w:val="21"/>
                <w:szCs w:val="21"/>
              </w:rPr>
              <w:t>3</w:t>
            </w:r>
          </w:p>
        </w:tc>
      </w:tr>
    </w:tbl>
    <w:p>
      <w:pPr>
        <w:pStyle w:val="4"/>
        <w:keepNext w:val="0"/>
        <w:keepLines w:val="0"/>
        <w:spacing w:before="0" w:after="0"/>
        <w:ind w:firstLine="640" w:firstLineChars="200"/>
        <w:rPr>
          <w:rFonts w:ascii="Times New Roman" w:hAnsi="Times New Roman" w:eastAsia="黑体"/>
          <w:b w:val="0"/>
          <w:color w:val="000000"/>
          <w:szCs w:val="32"/>
        </w:rPr>
      </w:pPr>
      <w:r>
        <w:rPr>
          <w:rFonts w:ascii="Times New Roman" w:hAnsi="Times New Roman" w:eastAsia="黑体"/>
          <w:b w:val="0"/>
          <w:color w:val="000000"/>
          <w:szCs w:val="32"/>
        </w:rPr>
        <w:t>七、</w:t>
      </w:r>
      <w:r>
        <w:rPr>
          <w:rFonts w:hint="eastAsia" w:ascii="Times New Roman" w:hAnsi="Times New Roman" w:eastAsia="黑体"/>
          <w:b w:val="0"/>
          <w:color w:val="000000"/>
          <w:szCs w:val="32"/>
        </w:rPr>
        <w:t>农业综合改革深化工程</w:t>
      </w:r>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实施农业农村改革深化工程，着力聚焦现阶段农业农村中出现的实际问题，重点在“农业生产托管”、“购买式服务”、“农业特色保险”等方面取得突破，具体项目包括：</w:t>
      </w:r>
    </w:p>
    <w:p>
      <w:pPr>
        <w:spacing w:before="0" w:after="0"/>
        <w:ind w:firstLine="643"/>
        <w:jc w:val="center"/>
        <w:rPr>
          <w:rFonts w:ascii="Times New Roman" w:hAnsi="Times New Roman" w:eastAsia="仿宋_GB2312"/>
          <w:b/>
          <w:bCs/>
          <w:color w:val="000000"/>
          <w:sz w:val="32"/>
          <w:szCs w:val="32"/>
        </w:rPr>
      </w:pPr>
      <w:r>
        <w:rPr>
          <w:rFonts w:ascii="Times New Roman" w:hAnsi="Times New Roman" w:eastAsia="仿宋_GB2312"/>
          <w:b/>
          <w:bCs/>
          <w:color w:val="000000"/>
          <w:sz w:val="32"/>
          <w:szCs w:val="32"/>
        </w:rPr>
        <w:t xml:space="preserve">表7.7 </w:t>
      </w:r>
      <w:r>
        <w:rPr>
          <w:rFonts w:hint="eastAsia" w:ascii="Times New Roman" w:hAnsi="Times New Roman" w:eastAsia="仿宋_GB2312"/>
          <w:b/>
          <w:bCs/>
          <w:color w:val="000000"/>
          <w:sz w:val="32"/>
          <w:szCs w:val="32"/>
        </w:rPr>
        <w:t>农业综合改革深化</w:t>
      </w:r>
      <w:r>
        <w:rPr>
          <w:rFonts w:ascii="Times New Roman" w:hAnsi="Times New Roman" w:eastAsia="仿宋_GB2312"/>
          <w:b/>
          <w:bCs/>
          <w:color w:val="000000"/>
          <w:sz w:val="32"/>
          <w:szCs w:val="32"/>
        </w:rPr>
        <w:t>工程</w:t>
      </w:r>
    </w:p>
    <w:tbl>
      <w:tblPr>
        <w:tblStyle w:val="27"/>
        <w:tblW w:w="5014" w:type="pct"/>
        <w:jc w:val="center"/>
        <w:tblLayout w:type="autofit"/>
        <w:tblCellMar>
          <w:top w:w="0" w:type="dxa"/>
          <w:left w:w="108" w:type="dxa"/>
          <w:bottom w:w="0" w:type="dxa"/>
          <w:right w:w="108" w:type="dxa"/>
        </w:tblCellMar>
      </w:tblPr>
      <w:tblGrid>
        <w:gridCol w:w="813"/>
        <w:gridCol w:w="1452"/>
        <w:gridCol w:w="3100"/>
        <w:gridCol w:w="1134"/>
        <w:gridCol w:w="2586"/>
      </w:tblGrid>
      <w:tr>
        <w:tblPrEx>
          <w:tblCellMar>
            <w:top w:w="0" w:type="dxa"/>
            <w:left w:w="108" w:type="dxa"/>
            <w:bottom w:w="0" w:type="dxa"/>
            <w:right w:w="108" w:type="dxa"/>
          </w:tblCellMar>
        </w:tblPrEx>
        <w:trPr>
          <w:trHeight w:val="552" w:hRule="atLeast"/>
          <w:tblHeader/>
          <w:jc w:val="center"/>
        </w:trPr>
        <w:tc>
          <w:tcPr>
            <w:tcW w:w="448"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序号</w:t>
            </w:r>
          </w:p>
        </w:tc>
        <w:tc>
          <w:tcPr>
            <w:tcW w:w="799"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项目名称</w:t>
            </w:r>
          </w:p>
        </w:tc>
        <w:tc>
          <w:tcPr>
            <w:tcW w:w="1706"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主要建设内容</w:t>
            </w:r>
          </w:p>
        </w:tc>
        <w:tc>
          <w:tcPr>
            <w:tcW w:w="624"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建设地点</w:t>
            </w:r>
          </w:p>
        </w:tc>
        <w:tc>
          <w:tcPr>
            <w:tcW w:w="1423"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建设目标</w:t>
            </w:r>
          </w:p>
        </w:tc>
      </w:tr>
      <w:tr>
        <w:tblPrEx>
          <w:tblCellMar>
            <w:top w:w="0" w:type="dxa"/>
            <w:left w:w="108" w:type="dxa"/>
            <w:bottom w:w="0" w:type="dxa"/>
            <w:right w:w="108" w:type="dxa"/>
          </w:tblCellMar>
        </w:tblPrEx>
        <w:trPr>
          <w:trHeight w:val="1732" w:hRule="atLeast"/>
          <w:jc w:val="center"/>
        </w:trPr>
        <w:tc>
          <w:tcPr>
            <w:tcW w:w="448"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w:t>
            </w:r>
          </w:p>
        </w:tc>
        <w:tc>
          <w:tcPr>
            <w:tcW w:w="799"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jc w:val="left"/>
              <w:rPr>
                <w:rFonts w:ascii="宋体" w:hAnsi="宋体" w:eastAsia="宋体"/>
                <w:bCs/>
                <w:color w:val="000000"/>
                <w:kern w:val="0"/>
                <w:sz w:val="21"/>
                <w:szCs w:val="21"/>
              </w:rPr>
            </w:pPr>
            <w:r>
              <w:rPr>
                <w:rFonts w:ascii="宋体" w:hAnsi="宋体" w:eastAsia="宋体"/>
                <w:bCs/>
                <w:color w:val="000000"/>
                <w:kern w:val="0"/>
                <w:sz w:val="21"/>
                <w:szCs w:val="21"/>
              </w:rPr>
              <w:t>农村土地制度改革深化工程</w:t>
            </w:r>
          </w:p>
        </w:tc>
        <w:tc>
          <w:tcPr>
            <w:tcW w:w="1706"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贯彻农村土地承包关系稳定并长久不变政策完善农民闲置宅基地和闲置农房政策，探索农户宅基地使用权的自愿有偿退出和规范有序流转机制。</w:t>
            </w:r>
          </w:p>
        </w:tc>
        <w:tc>
          <w:tcPr>
            <w:tcW w:w="624"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1423"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扎实推进第二轮土地承包到期后再延长30年工作，严格落实农村宅地管理，确保违法占地建房“零增长”。</w:t>
            </w:r>
          </w:p>
        </w:tc>
      </w:tr>
      <w:tr>
        <w:tblPrEx>
          <w:tblCellMar>
            <w:top w:w="0" w:type="dxa"/>
            <w:left w:w="108" w:type="dxa"/>
            <w:bottom w:w="0" w:type="dxa"/>
            <w:right w:w="108" w:type="dxa"/>
          </w:tblCellMar>
        </w:tblPrEx>
        <w:trPr>
          <w:trHeight w:val="465" w:hRule="atLeast"/>
          <w:jc w:val="center"/>
        </w:trPr>
        <w:tc>
          <w:tcPr>
            <w:tcW w:w="448"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2</w:t>
            </w:r>
          </w:p>
        </w:tc>
        <w:tc>
          <w:tcPr>
            <w:tcW w:w="799"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jc w:val="left"/>
              <w:rPr>
                <w:rFonts w:ascii="宋体" w:hAnsi="宋体" w:eastAsia="宋体"/>
                <w:bCs/>
                <w:color w:val="000000"/>
                <w:kern w:val="0"/>
                <w:sz w:val="21"/>
                <w:szCs w:val="21"/>
              </w:rPr>
            </w:pPr>
            <w:r>
              <w:rPr>
                <w:rFonts w:ascii="宋体" w:hAnsi="宋体" w:eastAsia="宋体"/>
                <w:bCs/>
                <w:color w:val="000000"/>
                <w:kern w:val="0"/>
                <w:sz w:val="21"/>
                <w:szCs w:val="21"/>
              </w:rPr>
              <w:t>农村集体产权制度深化改革工程</w:t>
            </w:r>
          </w:p>
        </w:tc>
        <w:tc>
          <w:tcPr>
            <w:tcW w:w="1706"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深入推进农村“三变”改革，完善集体资产管理制度</w:t>
            </w:r>
          </w:p>
        </w:tc>
        <w:tc>
          <w:tcPr>
            <w:tcW w:w="624"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1423"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巩固提升农村集体产权制度改革和农村“三变”改革成果</w:t>
            </w:r>
            <w:r>
              <w:rPr>
                <w:rFonts w:hint="eastAsia" w:ascii="宋体" w:hAnsi="宋体" w:eastAsia="宋体"/>
                <w:bCs/>
                <w:color w:val="000000"/>
                <w:kern w:val="0"/>
                <w:sz w:val="21"/>
                <w:szCs w:val="21"/>
              </w:rPr>
              <w:t>，“三变”改革的村达90%。</w:t>
            </w:r>
            <w:r>
              <w:rPr>
                <w:rFonts w:ascii="宋体" w:hAnsi="宋体" w:eastAsia="宋体"/>
                <w:bCs/>
                <w:color w:val="000000"/>
                <w:kern w:val="0"/>
                <w:sz w:val="21"/>
                <w:szCs w:val="21"/>
              </w:rPr>
              <w:t>。</w:t>
            </w:r>
          </w:p>
        </w:tc>
      </w:tr>
      <w:tr>
        <w:tblPrEx>
          <w:tblCellMar>
            <w:top w:w="0" w:type="dxa"/>
            <w:left w:w="108" w:type="dxa"/>
            <w:bottom w:w="0" w:type="dxa"/>
            <w:right w:w="108" w:type="dxa"/>
          </w:tblCellMar>
        </w:tblPrEx>
        <w:trPr>
          <w:trHeight w:val="465" w:hRule="atLeast"/>
          <w:jc w:val="center"/>
        </w:trPr>
        <w:tc>
          <w:tcPr>
            <w:tcW w:w="448"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3</w:t>
            </w:r>
          </w:p>
        </w:tc>
        <w:tc>
          <w:tcPr>
            <w:tcW w:w="799"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jc w:val="left"/>
              <w:rPr>
                <w:rFonts w:ascii="宋体" w:hAnsi="宋体" w:eastAsia="宋体"/>
                <w:bCs/>
                <w:color w:val="000000"/>
                <w:kern w:val="0"/>
                <w:sz w:val="21"/>
                <w:szCs w:val="21"/>
              </w:rPr>
            </w:pPr>
            <w:r>
              <w:rPr>
                <w:rFonts w:ascii="宋体" w:hAnsi="宋体" w:eastAsia="宋体"/>
                <w:bCs/>
                <w:color w:val="000000"/>
                <w:kern w:val="0"/>
                <w:sz w:val="21"/>
                <w:szCs w:val="21"/>
              </w:rPr>
              <w:t>农业支持保护制度完善工程</w:t>
            </w:r>
          </w:p>
        </w:tc>
        <w:tc>
          <w:tcPr>
            <w:tcW w:w="1706"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完善农业支持保护制度，重点加强农业保险落地工作</w:t>
            </w:r>
          </w:p>
        </w:tc>
        <w:tc>
          <w:tcPr>
            <w:tcW w:w="624"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1423"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完善农业支持保护制度，落实农业保险。</w:t>
            </w:r>
          </w:p>
        </w:tc>
      </w:tr>
      <w:tr>
        <w:tblPrEx>
          <w:tblCellMar>
            <w:top w:w="0" w:type="dxa"/>
            <w:left w:w="108" w:type="dxa"/>
            <w:bottom w:w="0" w:type="dxa"/>
            <w:right w:w="108" w:type="dxa"/>
          </w:tblCellMar>
        </w:tblPrEx>
        <w:trPr>
          <w:trHeight w:val="465" w:hRule="atLeast"/>
          <w:jc w:val="center"/>
        </w:trPr>
        <w:tc>
          <w:tcPr>
            <w:tcW w:w="448"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4</w:t>
            </w:r>
          </w:p>
        </w:tc>
        <w:tc>
          <w:tcPr>
            <w:tcW w:w="799"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jc w:val="left"/>
              <w:rPr>
                <w:rFonts w:ascii="宋体" w:hAnsi="宋体" w:eastAsia="宋体"/>
                <w:bCs/>
                <w:color w:val="000000"/>
                <w:kern w:val="0"/>
                <w:sz w:val="21"/>
                <w:szCs w:val="21"/>
              </w:rPr>
            </w:pPr>
            <w:r>
              <w:rPr>
                <w:rFonts w:ascii="宋体" w:hAnsi="宋体" w:eastAsia="宋体"/>
                <w:bCs/>
                <w:color w:val="000000"/>
                <w:kern w:val="0"/>
                <w:sz w:val="21"/>
                <w:szCs w:val="21"/>
              </w:rPr>
              <w:t>村级集体经济壮大工程</w:t>
            </w:r>
          </w:p>
        </w:tc>
        <w:tc>
          <w:tcPr>
            <w:tcW w:w="1706"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通过创新模式、党建引领、政策扶持，壮大村集体经济</w:t>
            </w:r>
          </w:p>
        </w:tc>
        <w:tc>
          <w:tcPr>
            <w:tcW w:w="624"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1423" w:type="pct"/>
            <w:tcBorders>
              <w:top w:val="single" w:color="000000" w:sz="4" w:space="0"/>
              <w:left w:val="single" w:color="000000" w:sz="4" w:space="0"/>
              <w:bottom w:val="single" w:color="000000" w:sz="4" w:space="0"/>
              <w:right w:val="single" w:color="000000"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到2025年，经营性收入50万元以上的村达</w:t>
            </w:r>
            <w:r>
              <w:rPr>
                <w:rFonts w:hint="eastAsia" w:ascii="宋体" w:hAnsi="宋体" w:eastAsia="宋体"/>
                <w:bCs/>
                <w:color w:val="000000"/>
                <w:kern w:val="0"/>
                <w:sz w:val="21"/>
                <w:szCs w:val="21"/>
              </w:rPr>
              <w:t>30</w:t>
            </w:r>
            <w:r>
              <w:rPr>
                <w:rFonts w:ascii="宋体" w:hAnsi="宋体" w:eastAsia="宋体"/>
                <w:bCs/>
                <w:color w:val="000000"/>
                <w:kern w:val="0"/>
                <w:sz w:val="21"/>
                <w:szCs w:val="21"/>
              </w:rPr>
              <w:t>%。</w:t>
            </w:r>
          </w:p>
        </w:tc>
      </w:tr>
    </w:tbl>
    <w:p>
      <w:pPr>
        <w:pStyle w:val="4"/>
        <w:keepNext w:val="0"/>
        <w:keepLines w:val="0"/>
        <w:spacing w:before="0" w:after="0"/>
        <w:ind w:firstLine="640" w:firstLineChars="200"/>
        <w:rPr>
          <w:rFonts w:ascii="Times New Roman" w:hAnsi="Times New Roman" w:eastAsia="黑体"/>
          <w:b w:val="0"/>
          <w:color w:val="000000"/>
          <w:szCs w:val="32"/>
        </w:rPr>
      </w:pPr>
      <w:bookmarkStart w:id="250" w:name="_Toc27357"/>
      <w:r>
        <w:rPr>
          <w:rFonts w:ascii="Times New Roman" w:hAnsi="Times New Roman" w:eastAsia="黑体"/>
          <w:b w:val="0"/>
          <w:color w:val="000000"/>
          <w:szCs w:val="32"/>
        </w:rPr>
        <w:t>八、美丽乡村建设工程</w:t>
      </w:r>
      <w:bookmarkEnd w:id="250"/>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推进美丽乡村建设，统筹生产、生活、生态和山水林田湖草系统治理，加快补齐农村人居环境突出短板、全面改善农村生活条件，让广大农民平等参与现代化进程，具体项目如下：</w:t>
      </w:r>
    </w:p>
    <w:p>
      <w:pPr>
        <w:spacing w:before="0" w:after="0"/>
        <w:ind w:firstLine="643"/>
        <w:jc w:val="center"/>
        <w:rPr>
          <w:rFonts w:ascii="Times New Roman" w:hAnsi="Times New Roman" w:eastAsia="仿宋_GB2312"/>
          <w:b/>
          <w:bCs/>
          <w:color w:val="000000"/>
          <w:sz w:val="32"/>
          <w:szCs w:val="32"/>
        </w:rPr>
      </w:pPr>
      <w:r>
        <w:rPr>
          <w:rFonts w:ascii="Times New Roman" w:hAnsi="Times New Roman" w:eastAsia="仿宋_GB2312"/>
          <w:b/>
          <w:bCs/>
          <w:color w:val="000000"/>
          <w:sz w:val="32"/>
          <w:szCs w:val="32"/>
        </w:rPr>
        <w:t>表7.8 美丽乡村建设工程</w:t>
      </w:r>
    </w:p>
    <w:tbl>
      <w:tblPr>
        <w:tblStyle w:val="27"/>
        <w:tblW w:w="8922" w:type="dxa"/>
        <w:jc w:val="center"/>
        <w:tblLayout w:type="autofit"/>
        <w:tblCellMar>
          <w:top w:w="0" w:type="dxa"/>
          <w:left w:w="108" w:type="dxa"/>
          <w:bottom w:w="0" w:type="dxa"/>
          <w:right w:w="108" w:type="dxa"/>
        </w:tblCellMar>
      </w:tblPr>
      <w:tblGrid>
        <w:gridCol w:w="546"/>
        <w:gridCol w:w="1464"/>
        <w:gridCol w:w="4085"/>
        <w:gridCol w:w="708"/>
        <w:gridCol w:w="2119"/>
      </w:tblGrid>
      <w:tr>
        <w:tblPrEx>
          <w:tblCellMar>
            <w:top w:w="0" w:type="dxa"/>
            <w:left w:w="108" w:type="dxa"/>
            <w:bottom w:w="0" w:type="dxa"/>
            <w:right w:w="108" w:type="dxa"/>
          </w:tblCellMar>
        </w:tblPrEx>
        <w:trPr>
          <w:trHeight w:val="750" w:hRule="atLeast"/>
          <w:jc w:val="center"/>
        </w:trPr>
        <w:tc>
          <w:tcPr>
            <w:tcW w:w="546"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序号</w:t>
            </w:r>
          </w:p>
        </w:tc>
        <w:tc>
          <w:tcPr>
            <w:tcW w:w="1464"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项目名称</w:t>
            </w:r>
          </w:p>
        </w:tc>
        <w:tc>
          <w:tcPr>
            <w:tcW w:w="408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主要建设区域</w:t>
            </w:r>
          </w:p>
        </w:tc>
        <w:tc>
          <w:tcPr>
            <w:tcW w:w="708"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建设地点</w:t>
            </w:r>
          </w:p>
        </w:tc>
        <w:tc>
          <w:tcPr>
            <w:tcW w:w="2119"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
                <w:bCs/>
                <w:color w:val="000000"/>
                <w:kern w:val="0"/>
                <w:sz w:val="21"/>
                <w:szCs w:val="21"/>
              </w:rPr>
            </w:pPr>
            <w:r>
              <w:rPr>
                <w:rFonts w:ascii="宋体" w:hAnsi="宋体" w:eastAsia="宋体"/>
                <w:b/>
                <w:bCs/>
                <w:color w:val="000000"/>
                <w:kern w:val="0"/>
                <w:sz w:val="21"/>
                <w:szCs w:val="21"/>
              </w:rPr>
              <w:t>建设目标</w:t>
            </w:r>
          </w:p>
        </w:tc>
      </w:tr>
      <w:tr>
        <w:tblPrEx>
          <w:tblCellMar>
            <w:top w:w="0" w:type="dxa"/>
            <w:left w:w="108" w:type="dxa"/>
            <w:bottom w:w="0" w:type="dxa"/>
            <w:right w:w="108" w:type="dxa"/>
          </w:tblCellMar>
        </w:tblPrEx>
        <w:trPr>
          <w:trHeight w:val="750" w:hRule="atLeast"/>
          <w:jc w:val="center"/>
        </w:trPr>
        <w:tc>
          <w:tcPr>
            <w:tcW w:w="546"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1</w:t>
            </w:r>
          </w:p>
        </w:tc>
        <w:tc>
          <w:tcPr>
            <w:tcW w:w="1464"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农村基础设施提升工程</w:t>
            </w:r>
          </w:p>
        </w:tc>
        <w:tc>
          <w:tcPr>
            <w:tcW w:w="408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强化农村公路建设提升、农村物流基础设施网络建设、农村水利基础设施、网络建设、新一轮农村电网改造升级、农村宽带提升、农业设施装备提升</w:t>
            </w:r>
          </w:p>
        </w:tc>
        <w:tc>
          <w:tcPr>
            <w:tcW w:w="708"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2119"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到2025年，农村基础设施进一步提升。</w:t>
            </w:r>
          </w:p>
        </w:tc>
      </w:tr>
      <w:tr>
        <w:tblPrEx>
          <w:tblCellMar>
            <w:top w:w="0" w:type="dxa"/>
            <w:left w:w="108" w:type="dxa"/>
            <w:bottom w:w="0" w:type="dxa"/>
            <w:right w:w="108" w:type="dxa"/>
          </w:tblCellMar>
        </w:tblPrEx>
        <w:trPr>
          <w:trHeight w:val="750" w:hRule="atLeast"/>
          <w:jc w:val="center"/>
        </w:trPr>
        <w:tc>
          <w:tcPr>
            <w:tcW w:w="546"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2</w:t>
            </w:r>
          </w:p>
        </w:tc>
        <w:tc>
          <w:tcPr>
            <w:tcW w:w="1464"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农村改厕提升工程</w:t>
            </w:r>
          </w:p>
        </w:tc>
        <w:tc>
          <w:tcPr>
            <w:tcW w:w="408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hint="eastAsia" w:ascii="宋体" w:hAnsi="宋体" w:eastAsia="宋体"/>
                <w:bCs/>
                <w:color w:val="000000"/>
                <w:kern w:val="0"/>
                <w:sz w:val="21"/>
                <w:szCs w:val="21"/>
              </w:rPr>
              <w:t>推广农村改厕“一站两体系”管护机制，完善农村厕具维修服务体系和粪污清掏及资源化利用体系。</w:t>
            </w:r>
          </w:p>
        </w:tc>
        <w:tc>
          <w:tcPr>
            <w:tcW w:w="708"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2119"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到2025年，农村卫生厕所基本普及，实现农村厕所长效管护。</w:t>
            </w:r>
          </w:p>
        </w:tc>
      </w:tr>
      <w:tr>
        <w:tblPrEx>
          <w:tblCellMar>
            <w:top w:w="0" w:type="dxa"/>
            <w:left w:w="108" w:type="dxa"/>
            <w:bottom w:w="0" w:type="dxa"/>
            <w:right w:w="108" w:type="dxa"/>
          </w:tblCellMar>
        </w:tblPrEx>
        <w:trPr>
          <w:trHeight w:val="494" w:hRule="atLeast"/>
          <w:jc w:val="center"/>
        </w:trPr>
        <w:tc>
          <w:tcPr>
            <w:tcW w:w="546"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3</w:t>
            </w:r>
          </w:p>
        </w:tc>
        <w:tc>
          <w:tcPr>
            <w:tcW w:w="1464"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农村污水处理工程项目</w:t>
            </w:r>
          </w:p>
        </w:tc>
        <w:tc>
          <w:tcPr>
            <w:tcW w:w="408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治理水污染，并建设生活污水处理站，对生活污水进行处理</w:t>
            </w:r>
          </w:p>
        </w:tc>
        <w:tc>
          <w:tcPr>
            <w:tcW w:w="708"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2119"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到2025年，黑臭水体基本消除，生活污水治理率35%。</w:t>
            </w:r>
          </w:p>
        </w:tc>
      </w:tr>
      <w:tr>
        <w:tblPrEx>
          <w:tblCellMar>
            <w:top w:w="0" w:type="dxa"/>
            <w:left w:w="108" w:type="dxa"/>
            <w:bottom w:w="0" w:type="dxa"/>
            <w:right w:w="108" w:type="dxa"/>
          </w:tblCellMar>
        </w:tblPrEx>
        <w:trPr>
          <w:trHeight w:val="1576" w:hRule="atLeast"/>
          <w:jc w:val="center"/>
        </w:trPr>
        <w:tc>
          <w:tcPr>
            <w:tcW w:w="546"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4</w:t>
            </w:r>
          </w:p>
        </w:tc>
        <w:tc>
          <w:tcPr>
            <w:tcW w:w="1464"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美丽乡村中心村升级建设项目</w:t>
            </w:r>
          </w:p>
        </w:tc>
        <w:tc>
          <w:tcPr>
            <w:tcW w:w="408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重点开展垃圾处理、改厕治污、饮水安全、庭院环境整治提升、道路畅通、河沟渠塘疏浚清淤、公共服务设施建设、公共环境整治提升、长效管护机制、产业发展等10项升级建设任务。</w:t>
            </w:r>
          </w:p>
        </w:tc>
        <w:tc>
          <w:tcPr>
            <w:tcW w:w="708"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2119"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到2025年，到2025年，创建</w:t>
            </w:r>
            <w:r>
              <w:rPr>
                <w:rFonts w:hint="eastAsia" w:ascii="宋体" w:hAnsi="宋体" w:eastAsia="宋体"/>
                <w:bCs/>
                <w:color w:val="000000"/>
                <w:kern w:val="0"/>
                <w:sz w:val="21"/>
                <w:szCs w:val="21"/>
              </w:rPr>
              <w:t>100</w:t>
            </w:r>
            <w:r>
              <w:rPr>
                <w:rFonts w:ascii="宋体" w:hAnsi="宋体" w:eastAsia="宋体"/>
                <w:bCs/>
                <w:color w:val="000000"/>
                <w:kern w:val="0"/>
                <w:sz w:val="21"/>
                <w:szCs w:val="21"/>
              </w:rPr>
              <w:t>个</w:t>
            </w:r>
            <w:r>
              <w:rPr>
                <w:rFonts w:hint="eastAsia" w:ascii="宋体" w:hAnsi="宋体" w:eastAsia="宋体"/>
                <w:bCs/>
                <w:color w:val="000000"/>
                <w:kern w:val="0"/>
                <w:sz w:val="21"/>
                <w:szCs w:val="21"/>
              </w:rPr>
              <w:t>以上省级</w:t>
            </w:r>
            <w:r>
              <w:rPr>
                <w:rFonts w:ascii="宋体" w:hAnsi="宋体" w:eastAsia="宋体"/>
                <w:bCs/>
                <w:color w:val="000000"/>
                <w:kern w:val="0"/>
                <w:sz w:val="21"/>
                <w:szCs w:val="21"/>
              </w:rPr>
              <w:t>美丽乡村中心村；垃圾无害化处理率稳定在98%以上。</w:t>
            </w:r>
          </w:p>
        </w:tc>
      </w:tr>
      <w:tr>
        <w:tblPrEx>
          <w:tblCellMar>
            <w:top w:w="0" w:type="dxa"/>
            <w:left w:w="108" w:type="dxa"/>
            <w:bottom w:w="0" w:type="dxa"/>
            <w:right w:w="108" w:type="dxa"/>
          </w:tblCellMar>
        </w:tblPrEx>
        <w:trPr>
          <w:trHeight w:val="1124" w:hRule="atLeast"/>
          <w:jc w:val="center"/>
        </w:trPr>
        <w:tc>
          <w:tcPr>
            <w:tcW w:w="546" w:type="dxa"/>
            <w:tcBorders>
              <w:top w:val="single" w:color="auto" w:sz="4" w:space="0"/>
              <w:left w:val="single" w:color="auto" w:sz="4" w:space="0"/>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5</w:t>
            </w:r>
          </w:p>
        </w:tc>
        <w:tc>
          <w:tcPr>
            <w:tcW w:w="1464"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乡镇政府驻地建成区服务功能提升外延项目</w:t>
            </w:r>
          </w:p>
        </w:tc>
        <w:tc>
          <w:tcPr>
            <w:tcW w:w="4085"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加强生活污水处理、建筑风貌、特色景观建设，推进“两治理一加强”向城乡结合部村庄、乡镇政府驻地建成区外延村庄覆盖延伸。</w:t>
            </w:r>
          </w:p>
        </w:tc>
        <w:tc>
          <w:tcPr>
            <w:tcW w:w="708"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jc w:val="center"/>
              <w:rPr>
                <w:rFonts w:ascii="宋体" w:hAnsi="宋体" w:eastAsia="宋体"/>
                <w:bCs/>
                <w:color w:val="000000"/>
                <w:kern w:val="0"/>
                <w:sz w:val="21"/>
                <w:szCs w:val="21"/>
              </w:rPr>
            </w:pPr>
            <w:r>
              <w:rPr>
                <w:rFonts w:ascii="宋体" w:hAnsi="宋体" w:eastAsia="宋体"/>
                <w:bCs/>
                <w:color w:val="000000"/>
                <w:kern w:val="0"/>
                <w:sz w:val="21"/>
                <w:szCs w:val="21"/>
              </w:rPr>
              <w:t>全市</w:t>
            </w:r>
          </w:p>
        </w:tc>
        <w:tc>
          <w:tcPr>
            <w:tcW w:w="2119" w:type="dxa"/>
            <w:tcBorders>
              <w:top w:val="single" w:color="auto" w:sz="4" w:space="0"/>
              <w:left w:val="nil"/>
              <w:bottom w:val="single" w:color="auto" w:sz="4" w:space="0"/>
              <w:right w:val="single" w:color="auto" w:sz="4" w:space="0"/>
            </w:tcBorders>
            <w:vAlign w:val="center"/>
          </w:tcPr>
          <w:p>
            <w:pPr>
              <w:spacing w:before="0" w:after="0" w:line="300" w:lineRule="exact"/>
              <w:ind w:firstLine="0" w:firstLineChars="0"/>
              <w:rPr>
                <w:rFonts w:ascii="宋体" w:hAnsi="宋体" w:eastAsia="宋体"/>
                <w:bCs/>
                <w:color w:val="000000"/>
                <w:kern w:val="0"/>
                <w:sz w:val="21"/>
                <w:szCs w:val="21"/>
              </w:rPr>
            </w:pPr>
            <w:r>
              <w:rPr>
                <w:rFonts w:ascii="宋体" w:hAnsi="宋体" w:eastAsia="宋体"/>
                <w:bCs/>
                <w:color w:val="000000"/>
                <w:kern w:val="0"/>
                <w:sz w:val="21"/>
                <w:szCs w:val="21"/>
              </w:rPr>
              <w:t>到2025年，建设16个美丽乡镇服务工程提升外延。</w:t>
            </w:r>
          </w:p>
        </w:tc>
      </w:tr>
    </w:tbl>
    <w:p>
      <w:pPr>
        <w:pStyle w:val="4"/>
        <w:keepNext w:val="0"/>
        <w:keepLines w:val="0"/>
        <w:spacing w:before="0" w:after="0"/>
        <w:jc w:val="center"/>
        <w:rPr>
          <w:rFonts w:ascii="Times New Roman" w:hAnsi="Times New Roman" w:eastAsia="黑体"/>
          <w:b w:val="0"/>
          <w:color w:val="000000"/>
          <w:szCs w:val="32"/>
        </w:rPr>
      </w:pPr>
      <w:bookmarkStart w:id="251" w:name="_Toc6640"/>
      <w:bookmarkStart w:id="252" w:name="_Toc3271"/>
      <w:r>
        <w:rPr>
          <w:rFonts w:ascii="Times New Roman" w:hAnsi="Times New Roman" w:eastAsia="黑体"/>
          <w:b w:val="0"/>
          <w:color w:val="000000"/>
          <w:szCs w:val="32"/>
        </w:rPr>
        <w:t>第八章  保障措施</w:t>
      </w:r>
      <w:bookmarkEnd w:id="244"/>
      <w:bookmarkEnd w:id="245"/>
      <w:bookmarkEnd w:id="251"/>
      <w:bookmarkEnd w:id="252"/>
      <w:bookmarkStart w:id="253" w:name="_Toc22086"/>
      <w:bookmarkStart w:id="254" w:name="_Toc10582"/>
      <w:bookmarkStart w:id="255" w:name="_Toc16123"/>
      <w:bookmarkStart w:id="256" w:name="_Toc1853"/>
    </w:p>
    <w:p>
      <w:pPr>
        <w:pStyle w:val="4"/>
        <w:keepNext w:val="0"/>
        <w:keepLines w:val="0"/>
        <w:spacing w:before="0" w:after="0"/>
        <w:ind w:firstLine="640" w:firstLineChars="200"/>
        <w:rPr>
          <w:rFonts w:ascii="Times New Roman" w:hAnsi="Times New Roman" w:eastAsia="黑体"/>
          <w:b w:val="0"/>
          <w:color w:val="000000"/>
          <w:szCs w:val="32"/>
        </w:rPr>
      </w:pPr>
      <w:r>
        <w:rPr>
          <w:rFonts w:ascii="Times New Roman" w:hAnsi="Times New Roman" w:eastAsia="黑体"/>
          <w:b w:val="0"/>
          <w:color w:val="000000"/>
          <w:szCs w:val="32"/>
        </w:rPr>
        <w:t>一、组织保障</w:t>
      </w:r>
      <w:bookmarkEnd w:id="253"/>
      <w:bookmarkEnd w:id="254"/>
      <w:bookmarkEnd w:id="255"/>
      <w:bookmarkEnd w:id="256"/>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深入贯彻落实《中国共产党农村工作条例》，强化党组织的领导核心作用，坚持和加强党对农村工作的全面领导，建立健全农业农村现代化建设重大事项、重要问题、重要工作由党组织讨论决定的机制。严格落实责任制，推进链长制，压紧压实五级书记抓乡村振兴责任。加强政策衔接和工作协调，建立农业农村部门牵头抓总、相关部门协同配合、社会力量积极支持、农民群众广泛参与的推进机制。做好乡村产业发展重大改革、重大政策、重点工程和重点指标动态监测，推进乡村产业高质量发展。</w:t>
      </w:r>
    </w:p>
    <w:p>
      <w:pPr>
        <w:pStyle w:val="4"/>
        <w:keepNext w:val="0"/>
        <w:keepLines w:val="0"/>
        <w:spacing w:before="0" w:after="0"/>
        <w:ind w:firstLine="640" w:firstLineChars="200"/>
        <w:rPr>
          <w:rFonts w:ascii="Times New Roman" w:hAnsi="Times New Roman" w:eastAsia="黑体"/>
          <w:b w:val="0"/>
          <w:color w:val="000000"/>
          <w:szCs w:val="32"/>
        </w:rPr>
      </w:pPr>
      <w:bookmarkStart w:id="257" w:name="_Toc9306"/>
      <w:bookmarkStart w:id="258" w:name="_Toc9050"/>
      <w:bookmarkStart w:id="259" w:name="_Toc20014"/>
      <w:r>
        <w:rPr>
          <w:rFonts w:ascii="Times New Roman" w:hAnsi="Times New Roman" w:eastAsia="黑体"/>
          <w:b w:val="0"/>
          <w:color w:val="000000"/>
          <w:szCs w:val="32"/>
        </w:rPr>
        <w:t>二、</w:t>
      </w:r>
      <w:bookmarkEnd w:id="257"/>
      <w:r>
        <w:rPr>
          <w:rFonts w:ascii="Times New Roman" w:hAnsi="Times New Roman" w:eastAsia="黑体"/>
          <w:b w:val="0"/>
          <w:color w:val="000000"/>
          <w:szCs w:val="32"/>
        </w:rPr>
        <w:t>用地保障</w:t>
      </w:r>
      <w:bookmarkEnd w:id="258"/>
      <w:bookmarkEnd w:id="259"/>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加强农业农村建设用地统筹规划，构建农业农村重大项目用地机制，新编县、乡级国土空间规划确保安排不低于10％的新增建设用地规模，重点保障乡村产业发展用地。完善乡村产业发展用地政策体系，在符合国土空间规划前提下，通过村庄整治、土地整理等方式</w:t>
      </w:r>
      <w:r>
        <w:rPr>
          <w:rFonts w:hint="eastAsia" w:ascii="Times New Roman" w:hAnsi="Times New Roman" w:eastAsia="仿宋_GB2312"/>
          <w:color w:val="000000"/>
          <w:sz w:val="32"/>
          <w:szCs w:val="32"/>
        </w:rPr>
        <w:t>，将</w:t>
      </w:r>
      <w:r>
        <w:rPr>
          <w:rFonts w:ascii="Times New Roman" w:hAnsi="Times New Roman" w:eastAsia="仿宋_GB2312"/>
          <w:color w:val="000000"/>
          <w:sz w:val="32"/>
          <w:szCs w:val="32"/>
        </w:rPr>
        <w:t>节余的农村集体建设用地优先用于发展乡村产业项目。</w:t>
      </w:r>
      <w:r>
        <w:rPr>
          <w:rFonts w:hint="eastAsia" w:ascii="Times New Roman" w:hAnsi="Times New Roman" w:eastAsia="仿宋_GB2312"/>
          <w:color w:val="000000"/>
          <w:sz w:val="32"/>
          <w:szCs w:val="32"/>
        </w:rPr>
        <w:t>种植业项目用地面积的 5%、养殖业项目用地面积的 15%，可直接用于辅助设施建设。</w:t>
      </w:r>
      <w:r>
        <w:rPr>
          <w:rFonts w:ascii="Times New Roman" w:hAnsi="Times New Roman" w:eastAsia="仿宋_GB2312"/>
          <w:color w:val="000000"/>
          <w:sz w:val="32"/>
          <w:szCs w:val="32"/>
        </w:rPr>
        <w:t>落实农业设施用地政策，简化农村集体建设用地审批审核程序，鼓励和支持农村集体建设用地通过入股、租用等方式直接用于发展乡村产业。</w:t>
      </w:r>
    </w:p>
    <w:p>
      <w:pPr>
        <w:pStyle w:val="4"/>
        <w:keepNext w:val="0"/>
        <w:keepLines w:val="0"/>
        <w:spacing w:before="0" w:after="0"/>
        <w:ind w:firstLine="640" w:firstLineChars="200"/>
        <w:rPr>
          <w:rFonts w:ascii="Times New Roman" w:hAnsi="Times New Roman" w:eastAsia="黑体"/>
          <w:b w:val="0"/>
          <w:color w:val="000000"/>
          <w:szCs w:val="32"/>
        </w:rPr>
      </w:pPr>
      <w:bookmarkStart w:id="260" w:name="_Toc27325"/>
      <w:bookmarkStart w:id="261" w:name="_Toc20711"/>
      <w:bookmarkStart w:id="262" w:name="_Toc24630"/>
      <w:bookmarkStart w:id="263" w:name="_Toc10017"/>
      <w:r>
        <w:rPr>
          <w:rFonts w:ascii="Times New Roman" w:hAnsi="Times New Roman" w:eastAsia="黑体"/>
          <w:b w:val="0"/>
          <w:color w:val="000000"/>
          <w:szCs w:val="32"/>
        </w:rPr>
        <w:t>三、资金保障</w:t>
      </w:r>
      <w:bookmarkEnd w:id="260"/>
      <w:bookmarkEnd w:id="261"/>
      <w:bookmarkEnd w:id="262"/>
      <w:bookmarkEnd w:id="263"/>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建立健全农业财政投入稳定增长机制，落实提高土地收益用于农业农村</w:t>
      </w:r>
      <w:r>
        <w:rPr>
          <w:rFonts w:hint="eastAsia" w:ascii="Times New Roman" w:hAnsi="Times New Roman" w:eastAsia="仿宋_GB2312"/>
          <w:color w:val="000000"/>
          <w:sz w:val="32"/>
          <w:szCs w:val="32"/>
        </w:rPr>
        <w:t>比例</w:t>
      </w:r>
      <w:r>
        <w:rPr>
          <w:rFonts w:ascii="Times New Roman" w:hAnsi="Times New Roman" w:eastAsia="仿宋_GB2312"/>
          <w:color w:val="000000"/>
          <w:sz w:val="32"/>
          <w:szCs w:val="32"/>
        </w:rPr>
        <w:t>的政策，“十四五”期间，分年度稳步提高土地出让收入用于农业农村</w:t>
      </w:r>
      <w:r>
        <w:rPr>
          <w:rFonts w:hint="eastAsia" w:ascii="Times New Roman" w:hAnsi="Times New Roman" w:eastAsia="仿宋_GB2312"/>
          <w:color w:val="000000"/>
          <w:sz w:val="32"/>
          <w:szCs w:val="32"/>
        </w:rPr>
        <w:t>比例</w:t>
      </w:r>
      <w:r>
        <w:rPr>
          <w:rFonts w:ascii="Times New Roman" w:hAnsi="Times New Roman" w:eastAsia="仿宋_GB2312"/>
          <w:color w:val="000000"/>
          <w:sz w:val="32"/>
          <w:szCs w:val="32"/>
        </w:rPr>
        <w:t>，2022年实现土地出让收入用于农业农村资金</w:t>
      </w:r>
      <w:r>
        <w:rPr>
          <w:rFonts w:hint="eastAsia" w:ascii="Times New Roman" w:hAnsi="Times New Roman" w:eastAsia="仿宋_GB2312"/>
          <w:color w:val="000000"/>
          <w:sz w:val="32"/>
          <w:szCs w:val="32"/>
        </w:rPr>
        <w:t>比例</w:t>
      </w:r>
      <w:r>
        <w:rPr>
          <w:rFonts w:ascii="Times New Roman" w:hAnsi="Times New Roman" w:eastAsia="仿宋_GB2312"/>
          <w:color w:val="000000"/>
          <w:sz w:val="32"/>
          <w:szCs w:val="32"/>
        </w:rPr>
        <w:t>达</w:t>
      </w:r>
      <w:r>
        <w:rPr>
          <w:rFonts w:hint="eastAsia" w:ascii="Times New Roman" w:hAnsi="Times New Roman" w:eastAsia="仿宋_GB2312"/>
          <w:color w:val="000000"/>
          <w:sz w:val="32"/>
          <w:szCs w:val="32"/>
        </w:rPr>
        <w:t>9.4</w:t>
      </w:r>
      <w:r>
        <w:rPr>
          <w:rFonts w:ascii="Times New Roman" w:hAnsi="Times New Roman" w:eastAsia="仿宋_GB2312"/>
          <w:color w:val="000000"/>
          <w:sz w:val="32"/>
          <w:szCs w:val="32"/>
        </w:rPr>
        <w:t>%以上，以后每年增加0.2个百分点以上。到“十四五”期末，土地出让收入用于农业农村</w:t>
      </w:r>
      <w:r>
        <w:rPr>
          <w:rFonts w:hint="eastAsia" w:ascii="Times New Roman" w:hAnsi="Times New Roman" w:eastAsia="仿宋_GB2312"/>
          <w:color w:val="000000"/>
          <w:sz w:val="32"/>
          <w:szCs w:val="32"/>
        </w:rPr>
        <w:t>比例</w:t>
      </w:r>
      <w:r>
        <w:rPr>
          <w:rFonts w:ascii="Times New Roman" w:hAnsi="Times New Roman" w:eastAsia="仿宋_GB2312"/>
          <w:color w:val="000000"/>
          <w:sz w:val="32"/>
          <w:szCs w:val="32"/>
        </w:rPr>
        <w:t xml:space="preserve">达10%以上。设立产业发展重大专项资金，在政策投入总量稳定增长的情况下，逐步转变涉农政策扶持方式，提高现代农业发展扶持引导资金使用效能。强化金融扶持政策，引导金融机构将吸收的存款主要用于本地，建立健全“银税互动”“银信互动”贷款机制。充分发挥财政资金引导和撬动作用，灵活运用PPP、先建后补、以奖代补、贷款贴息等方式，积极争取社会资金多元化投资于农业领域，加快形成财政优先保障、金融重点倾斜、社会积极参与的多元格局。 </w:t>
      </w:r>
    </w:p>
    <w:p>
      <w:pPr>
        <w:pStyle w:val="4"/>
        <w:keepNext w:val="0"/>
        <w:keepLines w:val="0"/>
        <w:spacing w:before="0" w:after="0"/>
        <w:ind w:firstLine="640" w:firstLineChars="200"/>
        <w:rPr>
          <w:rFonts w:ascii="Times New Roman" w:hAnsi="Times New Roman" w:eastAsia="黑体"/>
          <w:b w:val="0"/>
          <w:color w:val="000000"/>
          <w:szCs w:val="32"/>
        </w:rPr>
      </w:pPr>
      <w:bookmarkStart w:id="264" w:name="_Toc30171"/>
      <w:bookmarkStart w:id="265" w:name="_Toc18198"/>
      <w:bookmarkStart w:id="266" w:name="_Toc18114"/>
      <w:bookmarkStart w:id="267" w:name="_Toc11128"/>
      <w:r>
        <w:rPr>
          <w:rFonts w:ascii="Times New Roman" w:hAnsi="Times New Roman" w:eastAsia="黑体"/>
          <w:b w:val="0"/>
          <w:color w:val="000000"/>
          <w:szCs w:val="32"/>
        </w:rPr>
        <w:t>四、人才保障</w:t>
      </w:r>
      <w:bookmarkEnd w:id="264"/>
      <w:bookmarkEnd w:id="265"/>
      <w:bookmarkEnd w:id="266"/>
      <w:bookmarkEnd w:id="267"/>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深入实施农村创业带头人培育行动，引导大学生、退役军人、企业家等到农村干事创业，培育招引一批创新创业群体。落实县域内人才统筹培养使用制度，持续组织各类人才下乡服务，探索建立柔性引进专业实用人才机制。继续实施农业科技特派员制度，加强基层农技推广服务和人才培养体系建设，充实乡镇农经、农技干部队伍。充分用好乡村本土人才，加大对新型职业农民培育力度，引导各类人才资源向农村流动。</w:t>
      </w:r>
    </w:p>
    <w:p>
      <w:pPr>
        <w:pStyle w:val="4"/>
        <w:keepNext w:val="0"/>
        <w:keepLines w:val="0"/>
        <w:spacing w:before="0" w:after="0"/>
        <w:ind w:firstLine="640" w:firstLineChars="200"/>
        <w:rPr>
          <w:rFonts w:ascii="Times New Roman" w:hAnsi="Times New Roman" w:eastAsia="黑体"/>
          <w:b w:val="0"/>
          <w:color w:val="000000"/>
          <w:szCs w:val="32"/>
        </w:rPr>
      </w:pPr>
      <w:bookmarkStart w:id="268" w:name="_Toc25569"/>
      <w:bookmarkStart w:id="269" w:name="_Toc11540"/>
      <w:bookmarkStart w:id="270" w:name="_Toc8971"/>
      <w:bookmarkStart w:id="271" w:name="_Toc31315"/>
      <w:r>
        <w:rPr>
          <w:rFonts w:ascii="Times New Roman" w:hAnsi="Times New Roman" w:eastAsia="黑体"/>
          <w:b w:val="0"/>
          <w:color w:val="000000"/>
          <w:szCs w:val="32"/>
        </w:rPr>
        <w:t>五、协同保障</w:t>
      </w:r>
      <w:bookmarkEnd w:id="268"/>
      <w:bookmarkEnd w:id="269"/>
      <w:bookmarkEnd w:id="270"/>
      <w:bookmarkEnd w:id="271"/>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着力搭建社会监督参与平台，加大规划宣传力度，深度解读目标任务和政策措施，广泛征求社会各界对规划实施的意见和建议。注重发挥农民群众的主体作用，发挥工会、共青团、妇联、科协、残联等群团组织的优势和力量，凝聚乡村发展强大合力。深化农业领域“放管服”改革，创新优化政府服务，激发农民及新型农业经营主体参与质量兴农的积极性创造性。充分尊重群众意愿，激发乡村发展内生动力。</w:t>
      </w:r>
    </w:p>
    <w:p>
      <w:pPr>
        <w:pStyle w:val="4"/>
        <w:keepNext w:val="0"/>
        <w:keepLines w:val="0"/>
        <w:spacing w:before="0" w:after="0"/>
        <w:ind w:firstLine="640" w:firstLineChars="200"/>
        <w:rPr>
          <w:rFonts w:ascii="Times New Roman" w:hAnsi="Times New Roman" w:eastAsia="黑体"/>
          <w:b w:val="0"/>
          <w:color w:val="000000"/>
          <w:szCs w:val="32"/>
        </w:rPr>
      </w:pPr>
      <w:bookmarkStart w:id="272" w:name="_Toc26636"/>
      <w:bookmarkStart w:id="273" w:name="_Toc19229"/>
      <w:bookmarkStart w:id="274" w:name="_Toc6186"/>
      <w:bookmarkStart w:id="275" w:name="_Toc25314"/>
      <w:r>
        <w:rPr>
          <w:rFonts w:ascii="Times New Roman" w:hAnsi="Times New Roman" w:eastAsia="黑体"/>
          <w:b w:val="0"/>
          <w:color w:val="000000"/>
          <w:szCs w:val="32"/>
        </w:rPr>
        <w:t>六、</w:t>
      </w:r>
      <w:bookmarkEnd w:id="272"/>
      <w:bookmarkEnd w:id="273"/>
      <w:r>
        <w:rPr>
          <w:rFonts w:ascii="Times New Roman" w:hAnsi="Times New Roman" w:eastAsia="黑体"/>
          <w:b w:val="0"/>
          <w:color w:val="000000"/>
          <w:szCs w:val="32"/>
        </w:rPr>
        <w:t>考核保障</w:t>
      </w:r>
      <w:bookmarkEnd w:id="274"/>
      <w:bookmarkEnd w:id="275"/>
    </w:p>
    <w:p>
      <w:pPr>
        <w:spacing w:before="0" w:after="0"/>
        <w:ind w:firstLine="640"/>
        <w:rPr>
          <w:rFonts w:eastAsia="仿宋_GB2312"/>
          <w:color w:val="000000"/>
          <w:sz w:val="32"/>
          <w:szCs w:val="32"/>
        </w:rPr>
      </w:pPr>
      <w:r>
        <w:rPr>
          <w:rFonts w:ascii="Times New Roman" w:hAnsi="Times New Roman" w:eastAsia="仿宋_GB2312"/>
          <w:color w:val="000000"/>
          <w:sz w:val="32"/>
          <w:szCs w:val="32"/>
        </w:rPr>
        <w:t>强化规划落实，明确责任主体和进度要求，强化对规划落实情况的监督与考核。强化绩效评价结果应用，建立与用地指标、涉农资金安排“双挂钩”的“赛马”激励机制。将农业农村现代化规划实施成效纳入各级党委、政府及有关部门的年度绩效考评内容，考核结果作为各级党政干部年度考核、选拔任用的重要依据，确保各项目标任务完成。强化动态管理，完善规划指标统计制度，努力提高规划实施的效果。</w:t>
      </w:r>
      <w:bookmarkStart w:id="276" w:name="_Toc8074"/>
    </w:p>
    <w:p>
      <w:pPr>
        <w:spacing w:before="0" w:after="0"/>
        <w:ind w:firstLine="0" w:firstLineChars="0"/>
        <w:outlineLvl w:val="0"/>
        <w:rPr>
          <w:rFonts w:ascii="Times New Roman" w:hAnsi="Times New Roman" w:eastAsia="黑体"/>
          <w:color w:val="000000"/>
          <w:sz w:val="32"/>
          <w:szCs w:val="32"/>
        </w:rPr>
      </w:pPr>
      <w:bookmarkStart w:id="277" w:name="_Toc5431"/>
      <w:bookmarkStart w:id="278" w:name="_Toc6017"/>
      <w:r>
        <w:rPr>
          <w:rFonts w:ascii="Times New Roman" w:hAnsi="Times New Roman" w:eastAsia="仿宋_GB2312"/>
          <w:color w:val="000000"/>
          <w:sz w:val="32"/>
          <w:szCs w:val="32"/>
        </w:rPr>
        <w:br w:type="page"/>
      </w:r>
      <w:r>
        <w:rPr>
          <w:rFonts w:ascii="Times New Roman" w:hAnsi="Times New Roman" w:eastAsia="黑体"/>
          <w:color w:val="000000"/>
          <w:sz w:val="32"/>
          <w:szCs w:val="32"/>
        </w:rPr>
        <w:t>附件</w:t>
      </w:r>
    </w:p>
    <w:p>
      <w:pPr>
        <w:spacing w:before="0" w:after="0"/>
        <w:ind w:firstLine="0" w:firstLineChars="0"/>
        <w:jc w:val="center"/>
        <w:outlineLvl w:val="0"/>
        <w:rPr>
          <w:rFonts w:ascii="Times New Roman" w:hAnsi="Times New Roman" w:eastAsia="方正小标宋简体"/>
          <w:color w:val="000000"/>
          <w:sz w:val="44"/>
          <w:szCs w:val="44"/>
        </w:rPr>
      </w:pPr>
    </w:p>
    <w:p>
      <w:pPr>
        <w:spacing w:before="0" w:after="0"/>
        <w:ind w:firstLine="0" w:firstLineChars="0"/>
        <w:jc w:val="center"/>
        <w:outlineLvl w:val="0"/>
        <w:rPr>
          <w:rFonts w:ascii="Times New Roman" w:hAnsi="Times New Roman" w:eastAsia="方正小标宋简体"/>
          <w:color w:val="000000"/>
          <w:sz w:val="44"/>
          <w:szCs w:val="44"/>
        </w:rPr>
      </w:pPr>
      <w:r>
        <w:rPr>
          <w:rFonts w:ascii="Times New Roman" w:hAnsi="Times New Roman" w:eastAsia="方正小标宋简体"/>
          <w:color w:val="000000"/>
          <w:sz w:val="44"/>
          <w:szCs w:val="44"/>
        </w:rPr>
        <w:t>美丽乡村建设规划</w:t>
      </w:r>
      <w:bookmarkEnd w:id="276"/>
      <w:bookmarkEnd w:id="277"/>
      <w:bookmarkEnd w:id="278"/>
    </w:p>
    <w:p>
      <w:pPr>
        <w:spacing w:before="0" w:after="0"/>
        <w:ind w:firstLine="0" w:firstLineChars="0"/>
        <w:jc w:val="center"/>
        <w:outlineLvl w:val="0"/>
        <w:rPr>
          <w:rFonts w:ascii="Times New Roman" w:hAnsi="Times New Roman" w:eastAsia="方正小标宋简体"/>
          <w:color w:val="000000"/>
          <w:sz w:val="44"/>
          <w:szCs w:val="44"/>
        </w:rPr>
      </w:pPr>
    </w:p>
    <w:p>
      <w:pPr>
        <w:pStyle w:val="3"/>
        <w:keepNext w:val="0"/>
        <w:keepLines w:val="0"/>
        <w:spacing w:before="0" w:after="0" w:line="570" w:lineRule="exact"/>
        <w:ind w:firstLine="640" w:firstLineChars="200"/>
        <w:jc w:val="both"/>
        <w:rPr>
          <w:rFonts w:ascii="Times New Roman" w:hAnsi="Times New Roman" w:eastAsia="黑体"/>
          <w:b w:val="0"/>
          <w:color w:val="000000"/>
          <w:sz w:val="32"/>
          <w:szCs w:val="32"/>
        </w:rPr>
      </w:pPr>
      <w:bookmarkStart w:id="279" w:name="_Toc32302"/>
      <w:bookmarkStart w:id="280" w:name="_Toc22997"/>
      <w:bookmarkStart w:id="281" w:name="_Toc13557"/>
      <w:r>
        <w:rPr>
          <w:rFonts w:ascii="Times New Roman" w:hAnsi="Times New Roman" w:eastAsia="黑体"/>
          <w:b w:val="0"/>
          <w:color w:val="000000"/>
          <w:sz w:val="32"/>
          <w:szCs w:val="32"/>
        </w:rPr>
        <w:t>一、成就回顾</w:t>
      </w:r>
      <w:bookmarkEnd w:id="279"/>
      <w:bookmarkEnd w:id="280"/>
      <w:bookmarkEnd w:id="281"/>
    </w:p>
    <w:p>
      <w:pPr>
        <w:spacing w:before="0" w:after="0" w:line="570" w:lineRule="exact"/>
        <w:ind w:firstLine="640"/>
        <w:rPr>
          <w:rFonts w:ascii="Times New Roman" w:hAnsi="Times New Roman" w:eastAsia="仿宋_GB2312"/>
          <w:color w:val="000000"/>
          <w:sz w:val="32"/>
          <w:szCs w:val="32"/>
        </w:rPr>
      </w:pPr>
      <w:r>
        <w:rPr>
          <w:rFonts w:hint="eastAsia" w:ascii="Times New Roman" w:hAnsi="Times New Roman" w:eastAsia="仿宋_GB2312"/>
          <w:color w:val="000000"/>
          <w:sz w:val="32"/>
          <w:szCs w:val="32"/>
        </w:rPr>
        <w:t>淮北</w:t>
      </w:r>
      <w:r>
        <w:rPr>
          <w:rFonts w:ascii="Times New Roman" w:hAnsi="Times New Roman" w:eastAsia="仿宋_GB2312"/>
          <w:color w:val="000000"/>
          <w:sz w:val="32"/>
          <w:szCs w:val="32"/>
        </w:rPr>
        <w:t>市深入贯彻落实习近平总书记关于建设美丽宜居乡村的重要指示精神，按照省委、省政府统一决策部署，始终把美丽乡村建设作为“三农”工作的重要抓手、统筹城乡发展的有效路径、推进生态文明建设的重点内容，打造一批再现皖北记忆、彰显淮北特色的美丽乡村。</w:t>
      </w:r>
    </w:p>
    <w:p>
      <w:pPr>
        <w:pStyle w:val="4"/>
        <w:keepNext w:val="0"/>
        <w:keepLines w:val="0"/>
        <w:spacing w:before="0" w:after="0" w:line="570" w:lineRule="exact"/>
        <w:ind w:firstLine="642" w:firstLineChars="200"/>
        <w:rPr>
          <w:rFonts w:ascii="Times New Roman" w:hAnsi="Times New Roman" w:eastAsia="楷体_GB2312"/>
          <w:color w:val="000000"/>
          <w:szCs w:val="32"/>
        </w:rPr>
      </w:pPr>
      <w:bookmarkStart w:id="282" w:name="_Toc7272"/>
      <w:bookmarkStart w:id="283" w:name="_Toc13464"/>
      <w:bookmarkStart w:id="284" w:name="_Toc3643"/>
      <w:r>
        <w:rPr>
          <w:rFonts w:ascii="Times New Roman" w:hAnsi="Times New Roman" w:eastAsia="楷体_GB2312"/>
          <w:color w:val="000000"/>
          <w:szCs w:val="32"/>
        </w:rPr>
        <w:t>（一）</w:t>
      </w:r>
      <w:bookmarkEnd w:id="282"/>
      <w:r>
        <w:rPr>
          <w:rFonts w:ascii="Times New Roman" w:hAnsi="Times New Roman" w:eastAsia="楷体_GB2312"/>
          <w:color w:val="000000"/>
          <w:szCs w:val="32"/>
        </w:rPr>
        <w:t>规划蓝图强引领</w:t>
      </w:r>
      <w:bookmarkEnd w:id="283"/>
      <w:bookmarkEnd w:id="284"/>
    </w:p>
    <w:p>
      <w:pPr>
        <w:spacing w:before="0" w:after="0" w:line="570" w:lineRule="exact"/>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注重规划先行，从实际出发，促进实用性与艺术性相统一，历史性与前瞻性相协调。坚持问题导向、目标导向和效果导向，因地制宜、分类指导，针对不同发展阶段、不同地区类型的主要矛盾问题，制定解决方案和阶段性工作任务。</w:t>
      </w:r>
      <w:r>
        <w:rPr>
          <w:rFonts w:hint="eastAsia" w:ascii="Times New Roman" w:hAnsi="Times New Roman" w:eastAsia="仿宋_GB2312"/>
          <w:color w:val="000000"/>
          <w:sz w:val="32"/>
          <w:szCs w:val="32"/>
        </w:rPr>
        <w:t>编制</w:t>
      </w:r>
      <w:r>
        <w:rPr>
          <w:rFonts w:ascii="Times New Roman" w:hAnsi="Times New Roman" w:eastAsia="仿宋_GB2312"/>
          <w:color w:val="000000"/>
          <w:sz w:val="32"/>
          <w:szCs w:val="32"/>
        </w:rPr>
        <w:t>了《淮北市“十三五”美丽乡村建设规划》等相关规划及技术导则，实现了县（市、区）域村庄布点规划全覆盖，完成了乡镇政府驻地建成区整治和中心村建设规划编制，初步建立美丽乡村建设规划管理体系，一系列管用实用的规划和导则标准为</w:t>
      </w:r>
      <w:r>
        <w:rPr>
          <w:rFonts w:hint="eastAsia" w:ascii="Times New Roman" w:hAnsi="Times New Roman" w:eastAsia="仿宋_GB2312"/>
          <w:color w:val="000000"/>
          <w:sz w:val="32"/>
          <w:szCs w:val="32"/>
        </w:rPr>
        <w:t>淮北市</w:t>
      </w:r>
      <w:r>
        <w:rPr>
          <w:rFonts w:ascii="Times New Roman" w:hAnsi="Times New Roman" w:eastAsia="仿宋_GB2312"/>
          <w:color w:val="000000"/>
          <w:sz w:val="32"/>
          <w:szCs w:val="32"/>
        </w:rPr>
        <w:t>美丽乡村建设工作提供了强有力的支撑。</w:t>
      </w:r>
    </w:p>
    <w:p>
      <w:pPr>
        <w:pStyle w:val="4"/>
        <w:keepNext w:val="0"/>
        <w:keepLines w:val="0"/>
        <w:spacing w:before="0" w:after="0" w:line="570" w:lineRule="exact"/>
        <w:ind w:firstLine="642" w:firstLineChars="200"/>
        <w:rPr>
          <w:rFonts w:ascii="Times New Roman" w:hAnsi="Times New Roman" w:eastAsia="楷体_GB2312"/>
          <w:color w:val="000000"/>
          <w:szCs w:val="32"/>
        </w:rPr>
      </w:pPr>
      <w:bookmarkStart w:id="285" w:name="_Toc32254"/>
      <w:bookmarkStart w:id="286" w:name="_Toc22183"/>
      <w:bookmarkStart w:id="287" w:name="_Toc23747"/>
      <w:r>
        <w:rPr>
          <w:rFonts w:ascii="Times New Roman" w:hAnsi="Times New Roman" w:eastAsia="楷体_GB2312"/>
          <w:color w:val="000000"/>
          <w:szCs w:val="32"/>
        </w:rPr>
        <w:t>（二）</w:t>
      </w:r>
      <w:bookmarkEnd w:id="285"/>
      <w:r>
        <w:rPr>
          <w:rFonts w:ascii="Times New Roman" w:hAnsi="Times New Roman" w:eastAsia="楷体_GB2312"/>
          <w:color w:val="000000"/>
          <w:szCs w:val="32"/>
        </w:rPr>
        <w:t>打牢基础美环境</w:t>
      </w:r>
      <w:bookmarkEnd w:id="286"/>
      <w:bookmarkEnd w:id="287"/>
    </w:p>
    <w:p>
      <w:pPr>
        <w:spacing w:before="0" w:after="0" w:line="570" w:lineRule="exact"/>
        <w:ind w:firstLine="640"/>
        <w:rPr>
          <w:rFonts w:ascii="Times New Roman" w:hAnsi="Times New Roman" w:eastAsia="仿宋_GB2312"/>
          <w:color w:val="000000"/>
          <w:sz w:val="32"/>
          <w:szCs w:val="32"/>
          <w:lang w:val="zh-CN"/>
        </w:rPr>
      </w:pPr>
      <w:r>
        <w:rPr>
          <w:rFonts w:ascii="Times New Roman" w:hAnsi="Times New Roman" w:eastAsia="仿宋_GB2312"/>
          <w:color w:val="000000"/>
          <w:sz w:val="32"/>
          <w:szCs w:val="32"/>
          <w:lang w:val="zh-CN"/>
        </w:rPr>
        <w:t>乡村基础设施建设成效显著，乡村道路更加通畅，农村文化、教育、医疗卫生、养老等综合服务配套</w:t>
      </w:r>
      <w:r>
        <w:rPr>
          <w:rFonts w:ascii="Times New Roman" w:hAnsi="Times New Roman" w:eastAsia="仿宋_GB2312"/>
          <w:color w:val="000000"/>
          <w:sz w:val="32"/>
          <w:szCs w:val="32"/>
        </w:rPr>
        <w:t>设施逐步健全</w:t>
      </w:r>
      <w:r>
        <w:rPr>
          <w:rFonts w:ascii="Times New Roman" w:hAnsi="Times New Roman" w:eastAsia="仿宋_GB2312"/>
          <w:color w:val="000000"/>
          <w:sz w:val="32"/>
          <w:szCs w:val="32"/>
          <w:lang w:val="zh-CN"/>
        </w:rPr>
        <w:t>，基本公共服务更多地深入农村、惠及农民。农村生活垃圾无害化处理率达98%以上。大范围推广砖砌三格式化粪池户厕改造模式，受到农民群众普遍欢迎。农村人居环境得到有效提升，以“五清一改”为主要内容的村庄清洁行动全</w:t>
      </w:r>
      <w:r>
        <w:rPr>
          <w:rFonts w:ascii="Times New Roman" w:hAnsi="Times New Roman" w:eastAsia="仿宋_GB2312"/>
          <w:color w:val="000000"/>
          <w:sz w:val="32"/>
          <w:szCs w:val="32"/>
        </w:rPr>
        <w:t>市</w:t>
      </w:r>
      <w:r>
        <w:rPr>
          <w:rFonts w:ascii="Times New Roman" w:hAnsi="Times New Roman" w:eastAsia="仿宋_GB2312"/>
          <w:color w:val="000000"/>
          <w:sz w:val="32"/>
          <w:szCs w:val="32"/>
          <w:lang w:val="zh-CN"/>
        </w:rPr>
        <w:t>行政村全覆盖，村容村貌明显改观。全市316个行政村（农村社区）全部开展了村庄清洁行动，17.7万多人次参加行动；开展清洁卫生宣传教育活动5000余次，参加教育5万人次；清理村内沟塘1279口、农村生活垃圾20.8万吨、农业生产废弃物1.79万吨、乱搭乱建3890户、废旧广告牌4487个、无功能建筑2.74万平米。</w:t>
      </w:r>
      <w:r>
        <w:rPr>
          <w:rFonts w:ascii="Times New Roman" w:hAnsi="Times New Roman" w:eastAsia="仿宋_GB2312"/>
          <w:color w:val="000000"/>
          <w:sz w:val="32"/>
          <w:szCs w:val="32"/>
        </w:rPr>
        <w:t>“十三五”末，</w:t>
      </w:r>
      <w:r>
        <w:rPr>
          <w:rFonts w:ascii="Times New Roman" w:hAnsi="Times New Roman" w:eastAsia="仿宋_GB2312"/>
          <w:color w:val="000000"/>
          <w:sz w:val="32"/>
          <w:szCs w:val="32"/>
          <w:lang w:val="zh-CN"/>
        </w:rPr>
        <w:t>全市已建和在建省、市、县级美丽乡村中心村202个（其中省级中心村82个），占规划布点中心村的83.5%，超过省、市乡村振兴战略规划（2018－2022年）规定的80%。</w:t>
      </w:r>
    </w:p>
    <w:p>
      <w:pPr>
        <w:pStyle w:val="4"/>
        <w:keepNext w:val="0"/>
        <w:keepLines w:val="0"/>
        <w:spacing w:before="0" w:after="0" w:line="570" w:lineRule="exact"/>
        <w:ind w:firstLine="642" w:firstLineChars="200"/>
        <w:rPr>
          <w:rFonts w:ascii="Times New Roman" w:hAnsi="Times New Roman" w:eastAsia="楷体_GB2312"/>
          <w:color w:val="000000"/>
          <w:szCs w:val="32"/>
        </w:rPr>
      </w:pPr>
      <w:bookmarkStart w:id="288" w:name="_Toc25502"/>
      <w:bookmarkStart w:id="289" w:name="_Toc5346"/>
      <w:bookmarkStart w:id="290" w:name="_Toc21586"/>
      <w:r>
        <w:rPr>
          <w:rFonts w:ascii="Times New Roman" w:hAnsi="Times New Roman" w:eastAsia="楷体_GB2312"/>
          <w:color w:val="000000"/>
          <w:szCs w:val="32"/>
        </w:rPr>
        <w:t>（三）</w:t>
      </w:r>
      <w:bookmarkEnd w:id="288"/>
      <w:r>
        <w:rPr>
          <w:rFonts w:ascii="Times New Roman" w:hAnsi="Times New Roman" w:eastAsia="楷体_GB2312"/>
          <w:color w:val="000000"/>
          <w:szCs w:val="32"/>
        </w:rPr>
        <w:t>文明乡风共树立</w:t>
      </w:r>
      <w:bookmarkEnd w:id="289"/>
      <w:bookmarkEnd w:id="290"/>
    </w:p>
    <w:p>
      <w:pPr>
        <w:spacing w:before="0" w:after="0" w:line="570" w:lineRule="exact"/>
        <w:ind w:firstLine="640"/>
        <w:rPr>
          <w:rFonts w:ascii="Times New Roman" w:hAnsi="Times New Roman" w:eastAsia="仿宋_GB2312"/>
          <w:color w:val="000000"/>
          <w:sz w:val="32"/>
          <w:szCs w:val="32"/>
          <w:lang w:val="zh-CN"/>
        </w:rPr>
      </w:pPr>
      <w:r>
        <w:rPr>
          <w:rFonts w:ascii="Times New Roman" w:hAnsi="Times New Roman" w:eastAsia="仿宋_GB2312"/>
          <w:color w:val="000000"/>
          <w:sz w:val="32"/>
          <w:szCs w:val="32"/>
          <w:lang w:val="zh-CN"/>
        </w:rPr>
        <w:t>通过传统媒体、新媒体，采取简报、宣传片等多种方式，搭建了多元融合的宣传发动网络，使群众对农村人居环境政策由一无所知到入心入脑，对农村人居环境整治工作由袖手旁观到义不容辞。以建设美丽乡村为主题，深入开展文明村镇、星级文明户创建活动，刘桥镇、榴园村等15个村镇被评为“全国文明村镇”。濉溪县铁佛镇、相山区渠沟镇、杜集区石台镇、烈山区古饶镇</w:t>
      </w:r>
      <w:r>
        <w:rPr>
          <w:rFonts w:ascii="Times New Roman" w:hAnsi="Times New Roman" w:eastAsia="仿宋_GB2312"/>
          <w:color w:val="000000"/>
          <w:sz w:val="32"/>
          <w:szCs w:val="32"/>
        </w:rPr>
        <w:t>入选乡村治理试点示范三级创建（2020－2022）单位。</w:t>
      </w:r>
      <w:r>
        <w:rPr>
          <w:rFonts w:ascii="Times New Roman" w:hAnsi="Times New Roman" w:eastAsia="仿宋_GB2312"/>
          <w:color w:val="000000"/>
          <w:sz w:val="32"/>
          <w:szCs w:val="32"/>
          <w:lang w:val="zh-CN"/>
        </w:rPr>
        <w:t>开展“践行核心价值</w:t>
      </w:r>
      <w:r>
        <w:rPr>
          <w:rFonts w:ascii="Times New Roman" w:hAnsi="Times New Roman" w:eastAsia="宋体"/>
          <w:color w:val="000000"/>
          <w:sz w:val="32"/>
          <w:szCs w:val="32"/>
          <w:lang w:val="zh-CN"/>
        </w:rPr>
        <w:t>•</w:t>
      </w:r>
      <w:r>
        <w:rPr>
          <w:rFonts w:ascii="Times New Roman" w:hAnsi="Times New Roman" w:eastAsia="仿宋_GB2312"/>
          <w:color w:val="000000"/>
          <w:sz w:val="32"/>
          <w:szCs w:val="32"/>
          <w:lang w:val="zh-CN"/>
        </w:rPr>
        <w:t>打造好人淮北”主题实践活动，上榜“中国好人”1</w:t>
      </w:r>
      <w:r>
        <w:rPr>
          <w:rFonts w:hint="eastAsia" w:ascii="Times New Roman" w:hAnsi="Times New Roman" w:eastAsia="仿宋_GB2312"/>
          <w:color w:val="000000"/>
          <w:sz w:val="32"/>
          <w:szCs w:val="32"/>
        </w:rPr>
        <w:t>65</w:t>
      </w:r>
      <w:r>
        <w:rPr>
          <w:rFonts w:ascii="Times New Roman" w:hAnsi="Times New Roman" w:eastAsia="仿宋_GB2312"/>
          <w:color w:val="000000"/>
          <w:sz w:val="32"/>
          <w:szCs w:val="32"/>
          <w:lang w:val="zh-CN"/>
        </w:rPr>
        <w:t>名，比例位居全省前列。</w:t>
      </w:r>
    </w:p>
    <w:p>
      <w:pPr>
        <w:pStyle w:val="4"/>
        <w:keepNext w:val="0"/>
        <w:keepLines w:val="0"/>
        <w:spacing w:before="0" w:after="0" w:line="570" w:lineRule="exact"/>
        <w:ind w:firstLine="642" w:firstLineChars="200"/>
        <w:rPr>
          <w:rFonts w:ascii="Times New Roman" w:hAnsi="Times New Roman" w:eastAsia="楷体_GB2312"/>
          <w:color w:val="000000"/>
          <w:szCs w:val="32"/>
        </w:rPr>
      </w:pPr>
      <w:bookmarkStart w:id="291" w:name="_Toc23812"/>
      <w:bookmarkStart w:id="292" w:name="_Toc26274"/>
      <w:bookmarkStart w:id="293" w:name="_Toc31401"/>
      <w:r>
        <w:rPr>
          <w:rFonts w:ascii="Times New Roman" w:hAnsi="Times New Roman" w:eastAsia="楷体_GB2312"/>
          <w:color w:val="000000"/>
          <w:szCs w:val="32"/>
        </w:rPr>
        <w:t>（四）</w:t>
      </w:r>
      <w:bookmarkEnd w:id="291"/>
      <w:r>
        <w:rPr>
          <w:rFonts w:ascii="Times New Roman" w:hAnsi="Times New Roman" w:eastAsia="楷体_GB2312"/>
          <w:color w:val="000000"/>
          <w:szCs w:val="32"/>
        </w:rPr>
        <w:t>持续投入促发展</w:t>
      </w:r>
      <w:bookmarkEnd w:id="292"/>
      <w:bookmarkEnd w:id="293"/>
    </w:p>
    <w:p>
      <w:pPr>
        <w:spacing w:before="0" w:after="0" w:line="570" w:lineRule="exact"/>
        <w:ind w:firstLine="640"/>
        <w:rPr>
          <w:rFonts w:ascii="Times New Roman" w:hAnsi="Times New Roman" w:eastAsia="仿宋_GB2312"/>
          <w:color w:val="000000"/>
          <w:sz w:val="32"/>
          <w:szCs w:val="32"/>
        </w:rPr>
      </w:pPr>
      <w:r>
        <w:rPr>
          <w:rFonts w:ascii="Times New Roman" w:hAnsi="Times New Roman" w:eastAsia="仿宋_GB2312"/>
          <w:color w:val="000000"/>
          <w:sz w:val="32"/>
          <w:szCs w:val="32"/>
          <w:lang w:val="zh-CN"/>
        </w:rPr>
        <w:t>将产业规划同步融入中心村建设规划，推进乡村产业高质量发展。依托各类农业示范园区建设，着力扩大“一村一品”覆盖面，促进农村一二三产融合发展。产业化经营水平显著提高，新型农业经营体系构建加快，返乡创业人口不断增加。村级集体经济不断发展壮大，新时代脱贫攻坚目标任务如期完成，农村常住居民人均可支配收入从2015年</w:t>
      </w:r>
      <w:r>
        <w:rPr>
          <w:rFonts w:ascii="Times New Roman" w:hAnsi="Times New Roman" w:eastAsia="仿宋_GB2312"/>
          <w:color w:val="000000"/>
          <w:sz w:val="32"/>
          <w:szCs w:val="32"/>
        </w:rPr>
        <w:t>9882</w:t>
      </w:r>
      <w:r>
        <w:rPr>
          <w:rFonts w:ascii="Times New Roman" w:hAnsi="Times New Roman" w:eastAsia="仿宋_GB2312"/>
          <w:color w:val="000000"/>
          <w:sz w:val="32"/>
          <w:szCs w:val="32"/>
          <w:lang w:val="zh-CN"/>
        </w:rPr>
        <w:t>元增长至2020年</w:t>
      </w:r>
      <w:r>
        <w:rPr>
          <w:rFonts w:ascii="Times New Roman" w:hAnsi="Times New Roman" w:eastAsia="仿宋_GB2312"/>
          <w:color w:val="000000"/>
          <w:sz w:val="32"/>
          <w:szCs w:val="32"/>
        </w:rPr>
        <w:t>15218</w:t>
      </w:r>
      <w:r>
        <w:rPr>
          <w:rFonts w:ascii="Times New Roman" w:hAnsi="Times New Roman" w:eastAsia="仿宋_GB2312"/>
          <w:color w:val="000000"/>
          <w:sz w:val="32"/>
          <w:szCs w:val="32"/>
          <w:lang w:val="zh-CN"/>
        </w:rPr>
        <w:t>元，农民收入实现较快增长，城乡居民人均可支配收入比逐渐缩小。</w:t>
      </w:r>
    </w:p>
    <w:p>
      <w:pPr>
        <w:pStyle w:val="3"/>
        <w:keepNext w:val="0"/>
        <w:keepLines w:val="0"/>
        <w:spacing w:before="0" w:after="0" w:line="570" w:lineRule="exact"/>
        <w:ind w:firstLine="640" w:firstLineChars="200"/>
        <w:jc w:val="both"/>
        <w:rPr>
          <w:rFonts w:ascii="Times New Roman" w:hAnsi="Times New Roman" w:eastAsia="黑体"/>
          <w:b w:val="0"/>
          <w:color w:val="000000"/>
          <w:sz w:val="32"/>
          <w:szCs w:val="32"/>
        </w:rPr>
      </w:pPr>
      <w:bookmarkStart w:id="294" w:name="_Toc7527"/>
      <w:bookmarkStart w:id="295" w:name="_Toc21938"/>
      <w:bookmarkStart w:id="296" w:name="_Toc32474"/>
      <w:r>
        <w:rPr>
          <w:rFonts w:ascii="Times New Roman" w:hAnsi="Times New Roman" w:eastAsia="黑体"/>
          <w:b w:val="0"/>
          <w:color w:val="000000"/>
          <w:sz w:val="32"/>
          <w:szCs w:val="32"/>
        </w:rPr>
        <w:t>二、形势分析</w:t>
      </w:r>
      <w:bookmarkEnd w:id="294"/>
      <w:bookmarkEnd w:id="295"/>
      <w:bookmarkEnd w:id="296"/>
    </w:p>
    <w:p>
      <w:pPr>
        <w:spacing w:before="0" w:after="0" w:line="570" w:lineRule="exact"/>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十四五”时期，是开启新阶段现代化美好淮北建设新征程的第一个五年，也是全面推进乡村振兴，实施乡村建设行动的关键时期。深入推进美丽乡村建设再升级，是全面推进乡村振兴战略的重要抓手，是推动城乡融合发展的关键举措，是实现广大农民对美好生活向往的具体任务。</w:t>
      </w:r>
    </w:p>
    <w:p>
      <w:pPr>
        <w:spacing w:before="0" w:after="0" w:line="570" w:lineRule="exact"/>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然而，</w:t>
      </w:r>
      <w:r>
        <w:rPr>
          <w:rFonts w:hint="eastAsia" w:ascii="Times New Roman" w:hAnsi="Times New Roman" w:eastAsia="仿宋_GB2312"/>
          <w:color w:val="000000"/>
          <w:sz w:val="32"/>
          <w:szCs w:val="32"/>
        </w:rPr>
        <w:t>全</w:t>
      </w:r>
      <w:r>
        <w:rPr>
          <w:rFonts w:ascii="Times New Roman" w:hAnsi="Times New Roman" w:eastAsia="仿宋_GB2312"/>
          <w:color w:val="000000"/>
          <w:sz w:val="32"/>
          <w:szCs w:val="32"/>
        </w:rPr>
        <w:t>市美丽乡村建设也面临不少困难和问题。</w:t>
      </w:r>
      <w:r>
        <w:rPr>
          <w:rFonts w:ascii="Times New Roman" w:hAnsi="Times New Roman" w:eastAsia="仿宋_GB2312"/>
          <w:b/>
          <w:bCs/>
          <w:color w:val="000000"/>
          <w:sz w:val="32"/>
          <w:szCs w:val="32"/>
        </w:rPr>
        <w:t>一是乡村规划建设水平有待进一步提高。</w:t>
      </w:r>
      <w:r>
        <w:rPr>
          <w:rFonts w:ascii="Times New Roman" w:hAnsi="Times New Roman" w:eastAsia="仿宋_GB2312"/>
          <w:color w:val="000000"/>
          <w:sz w:val="32"/>
          <w:szCs w:val="32"/>
        </w:rPr>
        <w:t>存在调查研究不够深入，群众意见征求不够广泛，乡村风貌特色体现不足，部分建设技术标准不够适用等问题。</w:t>
      </w:r>
      <w:r>
        <w:rPr>
          <w:rFonts w:ascii="Times New Roman" w:hAnsi="Times New Roman" w:eastAsia="仿宋_GB2312"/>
          <w:b/>
          <w:bCs/>
          <w:color w:val="000000"/>
          <w:sz w:val="32"/>
          <w:szCs w:val="32"/>
        </w:rPr>
        <w:t>二是建设覆盖面有待进一步加大。</w:t>
      </w:r>
      <w:r>
        <w:rPr>
          <w:rFonts w:ascii="Times New Roman" w:hAnsi="Times New Roman" w:eastAsia="仿宋_GB2312"/>
          <w:color w:val="000000"/>
          <w:sz w:val="32"/>
          <w:szCs w:val="32"/>
        </w:rPr>
        <w:t>没有列入美丽乡村中心村建设和自然村环境整治的村庄短板明显，亟需加快全域推进步伐。</w:t>
      </w:r>
      <w:r>
        <w:rPr>
          <w:rFonts w:ascii="Times New Roman" w:hAnsi="Times New Roman" w:eastAsia="仿宋_GB2312"/>
          <w:b/>
          <w:bCs/>
          <w:color w:val="000000"/>
          <w:sz w:val="32"/>
          <w:szCs w:val="32"/>
        </w:rPr>
        <w:t>三是</w:t>
      </w:r>
      <w:r>
        <w:rPr>
          <w:rFonts w:ascii="Times New Roman" w:hAnsi="Times New Roman" w:eastAsia="仿宋_GB2312"/>
          <w:b/>
          <w:snapToGrid w:val="0"/>
          <w:color w:val="000000"/>
          <w:kern w:val="0"/>
          <w:sz w:val="32"/>
          <w:szCs w:val="32"/>
        </w:rPr>
        <w:t>建设管理机制</w:t>
      </w:r>
      <w:r>
        <w:rPr>
          <w:rFonts w:ascii="Times New Roman" w:hAnsi="Times New Roman" w:eastAsia="仿宋_GB2312"/>
          <w:b/>
          <w:bCs/>
          <w:color w:val="000000"/>
          <w:sz w:val="32"/>
          <w:szCs w:val="32"/>
        </w:rPr>
        <w:t>有待进一步完善。</w:t>
      </w:r>
      <w:r>
        <w:rPr>
          <w:rFonts w:ascii="Times New Roman" w:hAnsi="Times New Roman" w:eastAsia="仿宋_GB2312"/>
          <w:color w:val="000000"/>
          <w:sz w:val="32"/>
          <w:szCs w:val="32"/>
        </w:rPr>
        <w:t>部分地区长效管护机制不健全，重建轻管现象仍然存在，影响设施持续发挥效益，小型村庄基础设施项目建设程序过于繁琐，简易审批要求未得到有效落实。</w:t>
      </w:r>
      <w:r>
        <w:rPr>
          <w:rFonts w:ascii="Times New Roman" w:hAnsi="Times New Roman" w:eastAsia="仿宋_GB2312"/>
          <w:b/>
          <w:bCs/>
          <w:color w:val="000000"/>
          <w:sz w:val="32"/>
          <w:szCs w:val="32"/>
        </w:rPr>
        <w:t>四是持续发展动力有待进一步加强。</w:t>
      </w:r>
      <w:r>
        <w:rPr>
          <w:rFonts w:ascii="Times New Roman" w:hAnsi="Times New Roman" w:eastAsia="仿宋_GB2312"/>
          <w:color w:val="000000"/>
          <w:sz w:val="32"/>
          <w:szCs w:val="32"/>
        </w:rPr>
        <w:t>有些地方资金筹措渠道比较单一，市场和社会力量参与不够，中心村建设外在形象较好，但村庄产业培育、内生动力不足。</w:t>
      </w:r>
      <w:r>
        <w:rPr>
          <w:rFonts w:ascii="Times New Roman" w:hAnsi="Times New Roman" w:eastAsia="仿宋_GB2312"/>
          <w:b/>
          <w:bCs/>
          <w:color w:val="000000"/>
          <w:sz w:val="32"/>
          <w:szCs w:val="32"/>
        </w:rPr>
        <w:t>五是乡村治理能力有待进一步提高。</w:t>
      </w:r>
      <w:r>
        <w:rPr>
          <w:rFonts w:ascii="Times New Roman" w:hAnsi="Times New Roman" w:eastAsia="仿宋_GB2312"/>
          <w:color w:val="000000"/>
          <w:sz w:val="32"/>
          <w:szCs w:val="32"/>
        </w:rPr>
        <w:t>乡村治理队伍需进一步加强，乡村治理机制需进一步完善，乡村人才比较匮乏，地域文化特色挖掘不够，乡风文明和治理能力有待提升。</w:t>
      </w:r>
    </w:p>
    <w:p>
      <w:pPr>
        <w:spacing w:before="0" w:after="0" w:line="570" w:lineRule="exact"/>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“十四五”时期，将美丽乡村建设摆在全市社会主义现代化建设的重要位置，坚定不移以前瞻性思考、全局性谋划、战略性布局、整体性推进新时代美丽乡村建设。</w:t>
      </w:r>
    </w:p>
    <w:p>
      <w:pPr>
        <w:pStyle w:val="3"/>
        <w:keepNext w:val="0"/>
        <w:keepLines w:val="0"/>
        <w:spacing w:before="0" w:after="0" w:line="570" w:lineRule="exact"/>
        <w:ind w:firstLine="640" w:firstLineChars="200"/>
        <w:jc w:val="both"/>
        <w:rPr>
          <w:rFonts w:ascii="Times New Roman" w:hAnsi="Times New Roman" w:eastAsia="黑体"/>
          <w:b w:val="0"/>
          <w:color w:val="000000"/>
          <w:sz w:val="32"/>
          <w:szCs w:val="32"/>
        </w:rPr>
      </w:pPr>
      <w:bookmarkStart w:id="297" w:name="_Toc20984"/>
      <w:bookmarkStart w:id="298" w:name="_Toc19688"/>
      <w:bookmarkStart w:id="299" w:name="_Toc26091"/>
      <w:r>
        <w:rPr>
          <w:rFonts w:ascii="Times New Roman" w:hAnsi="Times New Roman" w:eastAsia="黑体"/>
          <w:b w:val="0"/>
          <w:color w:val="000000"/>
          <w:sz w:val="32"/>
          <w:szCs w:val="32"/>
        </w:rPr>
        <w:t>三、总体要求</w:t>
      </w:r>
      <w:bookmarkEnd w:id="297"/>
      <w:bookmarkEnd w:id="298"/>
      <w:bookmarkEnd w:id="299"/>
    </w:p>
    <w:p>
      <w:pPr>
        <w:pStyle w:val="4"/>
        <w:keepNext w:val="0"/>
        <w:keepLines w:val="0"/>
        <w:spacing w:before="0" w:after="0" w:line="570" w:lineRule="exact"/>
        <w:ind w:firstLine="642" w:firstLineChars="200"/>
        <w:rPr>
          <w:rFonts w:ascii="Times New Roman" w:hAnsi="Times New Roman" w:eastAsia="楷体_GB2312"/>
          <w:color w:val="000000"/>
          <w:szCs w:val="32"/>
        </w:rPr>
      </w:pPr>
      <w:bookmarkStart w:id="300" w:name="_Toc25625"/>
      <w:bookmarkStart w:id="301" w:name="_Toc30390"/>
      <w:bookmarkStart w:id="302" w:name="_Toc8525"/>
      <w:bookmarkStart w:id="303" w:name="_Toc11113"/>
      <w:bookmarkStart w:id="304" w:name="_Toc7328"/>
      <w:bookmarkStart w:id="305" w:name="_Toc62414592"/>
      <w:r>
        <w:rPr>
          <w:rFonts w:ascii="Times New Roman" w:hAnsi="Times New Roman" w:eastAsia="楷体_GB2312"/>
          <w:color w:val="000000"/>
          <w:szCs w:val="32"/>
        </w:rPr>
        <w:t>（一）指导思想</w:t>
      </w:r>
      <w:bookmarkEnd w:id="300"/>
      <w:bookmarkEnd w:id="301"/>
      <w:bookmarkEnd w:id="302"/>
      <w:bookmarkEnd w:id="303"/>
      <w:bookmarkEnd w:id="304"/>
      <w:bookmarkEnd w:id="305"/>
    </w:p>
    <w:p>
      <w:pPr>
        <w:spacing w:before="0" w:after="0" w:line="570" w:lineRule="exact"/>
        <w:ind w:firstLine="640"/>
        <w:rPr>
          <w:rFonts w:ascii="Times New Roman" w:hAnsi="Times New Roman" w:eastAsia="仿宋_GB2312"/>
          <w:color w:val="000000"/>
          <w:sz w:val="32"/>
          <w:szCs w:val="32"/>
        </w:rPr>
      </w:pPr>
      <w:bookmarkStart w:id="306" w:name="_Toc62414593"/>
      <w:r>
        <w:rPr>
          <w:rFonts w:ascii="Times New Roman" w:hAnsi="Times New Roman" w:eastAsia="仿宋_GB2312"/>
          <w:color w:val="000000"/>
          <w:sz w:val="32"/>
          <w:szCs w:val="32"/>
        </w:rPr>
        <w:t>认真贯彻落实习近平总书记关于“三农”工作重要论述和考察安徽重要讲话指示精神，按照省第十一次党代会</w:t>
      </w:r>
      <w:r>
        <w:rPr>
          <w:rFonts w:hint="eastAsia" w:ascii="Times New Roman" w:hAnsi="Times New Roman" w:eastAsia="仿宋_GB2312"/>
          <w:color w:val="000000"/>
          <w:sz w:val="32"/>
          <w:szCs w:val="32"/>
        </w:rPr>
        <w:t>和市</w:t>
      </w:r>
      <w:bookmarkStart w:id="368" w:name="_GoBack"/>
      <w:bookmarkEnd w:id="368"/>
      <w:r>
        <w:rPr>
          <w:rFonts w:hint="eastAsia" w:ascii="Times New Roman" w:hAnsi="Times New Roman" w:eastAsia="仿宋_GB2312"/>
          <w:color w:val="000000"/>
          <w:sz w:val="32"/>
          <w:szCs w:val="32"/>
        </w:rPr>
        <w:t>第九次党代会</w:t>
      </w:r>
      <w:r>
        <w:rPr>
          <w:rFonts w:ascii="Times New Roman" w:hAnsi="Times New Roman" w:eastAsia="仿宋_GB2312"/>
          <w:color w:val="000000"/>
          <w:sz w:val="32"/>
          <w:szCs w:val="32"/>
        </w:rPr>
        <w:t>要求，坚定不移推进乡村全面振兴，实施乡村建设行动，接续推进农村环境“三大革命”“三大行动”，用“绣花”功夫建设美丽乡村，加快推进乡村治理能力和治理体系现代化，实现区域乡村“生活空间宜居适度、生产空间集约高效、生态空间山清水秀”。</w:t>
      </w:r>
    </w:p>
    <w:p>
      <w:pPr>
        <w:pStyle w:val="4"/>
        <w:keepNext w:val="0"/>
        <w:keepLines w:val="0"/>
        <w:spacing w:before="0" w:after="0" w:line="570" w:lineRule="exact"/>
        <w:ind w:firstLine="642" w:firstLineChars="200"/>
        <w:rPr>
          <w:rFonts w:ascii="Times New Roman" w:hAnsi="Times New Roman" w:eastAsia="楷体_GB2312"/>
          <w:color w:val="000000"/>
          <w:szCs w:val="32"/>
        </w:rPr>
      </w:pPr>
      <w:bookmarkStart w:id="307" w:name="_Toc26743"/>
      <w:bookmarkStart w:id="308" w:name="_Toc15654"/>
      <w:bookmarkStart w:id="309" w:name="_Toc28858"/>
      <w:bookmarkStart w:id="310" w:name="_Toc29313"/>
      <w:bookmarkStart w:id="311" w:name="_Toc18382"/>
      <w:r>
        <w:rPr>
          <w:rFonts w:ascii="Times New Roman" w:hAnsi="Times New Roman" w:eastAsia="楷体_GB2312"/>
          <w:color w:val="000000"/>
          <w:szCs w:val="32"/>
        </w:rPr>
        <w:t>（二）主要目标</w:t>
      </w:r>
      <w:bookmarkEnd w:id="306"/>
      <w:bookmarkEnd w:id="307"/>
      <w:bookmarkEnd w:id="308"/>
      <w:bookmarkEnd w:id="309"/>
      <w:bookmarkEnd w:id="310"/>
      <w:bookmarkEnd w:id="311"/>
    </w:p>
    <w:p>
      <w:pPr>
        <w:spacing w:before="0" w:after="0" w:line="570" w:lineRule="exact"/>
        <w:ind w:firstLine="640"/>
        <w:rPr>
          <w:rFonts w:ascii="Times New Roman" w:hAnsi="Times New Roman" w:eastAsia="仿宋_GB2312"/>
          <w:color w:val="000000"/>
          <w:sz w:val="32"/>
          <w:szCs w:val="32"/>
        </w:rPr>
      </w:pPr>
      <w:bookmarkStart w:id="312" w:name="_Toc13964"/>
      <w:bookmarkStart w:id="313" w:name="_Toc21263"/>
      <w:r>
        <w:rPr>
          <w:rFonts w:ascii="Times New Roman" w:hAnsi="Times New Roman" w:eastAsia="仿宋_GB2312"/>
          <w:color w:val="000000"/>
          <w:sz w:val="32"/>
          <w:szCs w:val="32"/>
        </w:rPr>
        <w:t>展望2035年，广大农村全域建成美丽乡村，全面补齐“三农”基础设施短板，全面实现城乡基本公共服务均等化目标，基本实现农业农村现代化远景目标，农民基本生活保障水平与长三角平均水平大体相当，打造“产业强、生态美、乡风好、治理优、百姓福”的新时代幸福新农村。</w:t>
      </w:r>
      <w:bookmarkEnd w:id="312"/>
      <w:bookmarkEnd w:id="313"/>
    </w:p>
    <w:p>
      <w:pPr>
        <w:spacing w:before="0" w:after="0" w:line="570" w:lineRule="exact"/>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十四五”时期锚定2035年远景目标，坚持因地制宜、彰显特色，串点成线、连线成片，形成以县域、乡镇、行政村或跨行政区片区整体推进和中心村带动周边自然村面上全域推进的美丽乡村建设新格局。到2025年，乡村建设取得阶段性成果，制度框架和政策体系初步健全，形成若干具有淮北特色的乡村建设新模式新路径。</w:t>
      </w:r>
    </w:p>
    <w:p>
      <w:pPr>
        <w:spacing w:before="0" w:after="0" w:line="570" w:lineRule="exact"/>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——共同富裕的城乡发展格局基本形成。</w:t>
      </w:r>
      <w:r>
        <w:rPr>
          <w:rFonts w:ascii="Times New Roman" w:hAnsi="Times New Roman" w:eastAsia="仿宋_GB2312"/>
          <w:color w:val="000000"/>
          <w:sz w:val="32"/>
          <w:szCs w:val="32"/>
        </w:rPr>
        <w:t>农村居民收入继续增长，城乡收入差距稳步缩小，城乡基本公共服务总体实现均衡。</w:t>
      </w:r>
    </w:p>
    <w:p>
      <w:pPr>
        <w:spacing w:before="0" w:after="0" w:line="570" w:lineRule="exact"/>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——人与自然和谐共生的人居环境基本建成。</w:t>
      </w:r>
      <w:r>
        <w:rPr>
          <w:rFonts w:ascii="Times New Roman" w:hAnsi="Times New Roman" w:eastAsia="仿宋_GB2312"/>
          <w:color w:val="000000"/>
          <w:sz w:val="32"/>
          <w:szCs w:val="32"/>
        </w:rPr>
        <w:t>基础设施条件持续改善，基本公共服务水平显著提升，乡村生态环境明显好转。</w:t>
      </w:r>
    </w:p>
    <w:p>
      <w:pPr>
        <w:spacing w:before="0" w:after="0" w:line="570" w:lineRule="exact"/>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——风清气正的文明乡风基本形成。</w:t>
      </w:r>
      <w:r>
        <w:rPr>
          <w:rFonts w:ascii="Times New Roman" w:hAnsi="Times New Roman" w:eastAsia="仿宋_GB2312"/>
          <w:color w:val="000000"/>
          <w:sz w:val="32"/>
          <w:szCs w:val="32"/>
        </w:rPr>
        <w:t>社会主义核心价值观深入人心，优秀传统文化焕发新的活力，农村居民思想觉悟、道德水准、文明素养、诚信意识、法制意识显著增强。</w:t>
      </w:r>
    </w:p>
    <w:p>
      <w:pPr>
        <w:spacing w:before="0" w:after="0" w:line="570" w:lineRule="exact"/>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——良性互动的现代乡村治理体系基本形成。</w:t>
      </w:r>
      <w:r>
        <w:rPr>
          <w:rFonts w:ascii="Times New Roman" w:hAnsi="Times New Roman" w:eastAsia="仿宋_GB2312"/>
          <w:color w:val="000000"/>
          <w:sz w:val="32"/>
          <w:szCs w:val="32"/>
        </w:rPr>
        <w:t>自治、法治、德治相结合的乡村治理体系初步确立，基层治理能力现代化水平明显提升。</w:t>
      </w:r>
    </w:p>
    <w:p>
      <w:pPr>
        <w:spacing w:before="0" w:after="0" w:line="570" w:lineRule="exact"/>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——深入实施美丽乡村“</w:t>
      </w:r>
      <w:r>
        <w:rPr>
          <w:rFonts w:hint="eastAsia" w:ascii="Times New Roman" w:hAnsi="Times New Roman" w:eastAsia="仿宋_GB2312"/>
          <w:b/>
          <w:bCs/>
          <w:color w:val="000000"/>
          <w:sz w:val="32"/>
          <w:szCs w:val="32"/>
        </w:rPr>
        <w:t>168</w:t>
      </w:r>
      <w:r>
        <w:rPr>
          <w:rFonts w:ascii="Times New Roman" w:hAnsi="Times New Roman" w:eastAsia="仿宋_GB2312"/>
          <w:b/>
          <w:bCs/>
          <w:color w:val="000000"/>
          <w:sz w:val="32"/>
          <w:szCs w:val="32"/>
        </w:rPr>
        <w:t>16工程”。</w:t>
      </w:r>
      <w:bookmarkStart w:id="314" w:name="_Toc62414594"/>
      <w:r>
        <w:rPr>
          <w:rFonts w:ascii="Times New Roman" w:hAnsi="Times New Roman" w:eastAsia="仿宋_GB2312"/>
          <w:color w:val="000000"/>
          <w:sz w:val="32"/>
          <w:szCs w:val="32"/>
        </w:rPr>
        <w:t>围绕生态宜居村庄美、兴业富民生活美、文明和谐乡风美，以农村生活垃圾污水治理、厕所革命、村容村貌提升为主攻方向，组织实施农村人居环境整治提升五年行动，</w:t>
      </w:r>
      <w:r>
        <w:rPr>
          <w:rFonts w:hint="eastAsia" w:ascii="Times New Roman" w:hAnsi="Times New Roman" w:eastAsia="仿宋_GB2312"/>
          <w:color w:val="000000"/>
          <w:sz w:val="32"/>
          <w:szCs w:val="32"/>
        </w:rPr>
        <w:t>建设</w:t>
      </w:r>
      <w:r>
        <w:rPr>
          <w:rFonts w:ascii="Times New Roman" w:hAnsi="Times New Roman" w:eastAsia="仿宋_GB2312"/>
          <w:color w:val="000000"/>
          <w:sz w:val="32"/>
          <w:szCs w:val="32"/>
        </w:rPr>
        <w:t>100个左右美丽乡村省级中心村、60个左右美丽乡村市级中心村和800个左右美丽宜居自然村，提升16个镇政府驻地建成区建设水平。</w:t>
      </w:r>
    </w:p>
    <w:p>
      <w:pPr>
        <w:spacing w:before="0" w:after="0"/>
        <w:ind w:firstLine="643"/>
        <w:rPr>
          <w:rFonts w:ascii="Times New Roman" w:hAnsi="Times New Roman" w:eastAsia="仿宋_GB2312"/>
          <w:b/>
          <w:bCs/>
          <w:color w:val="000000"/>
          <w:kern w:val="0"/>
          <w:sz w:val="32"/>
          <w:szCs w:val="32"/>
        </w:rPr>
      </w:pPr>
      <w:r>
        <w:rPr>
          <w:rFonts w:ascii="Times New Roman" w:hAnsi="Times New Roman" w:eastAsia="仿宋_GB2312"/>
          <w:b/>
          <w:bCs/>
          <w:color w:val="000000"/>
          <w:kern w:val="0"/>
          <w:sz w:val="32"/>
          <w:szCs w:val="32"/>
        </w:rPr>
        <w:t>表3.1 “十四五”期间淮北市美丽乡村建设主要目标</w:t>
      </w:r>
    </w:p>
    <w:tbl>
      <w:tblPr>
        <w:tblStyle w:val="27"/>
        <w:tblW w:w="436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
        <w:gridCol w:w="4620"/>
        <w:gridCol w:w="23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583" w:type="pct"/>
            <w:tcBorders>
              <w:top w:val="single" w:color="auto" w:sz="4" w:space="0"/>
              <w:left w:val="single" w:color="auto" w:sz="4" w:space="0"/>
              <w:bottom w:val="single" w:color="auto" w:sz="4" w:space="0"/>
              <w:right w:val="single" w:color="auto" w:sz="4" w:space="0"/>
            </w:tcBorders>
            <w:noWrap/>
            <w:vAlign w:val="center"/>
          </w:tcPr>
          <w:p>
            <w:pPr>
              <w:spacing w:before="0" w:after="0" w:line="400" w:lineRule="exact"/>
              <w:ind w:firstLine="0" w:firstLineChars="0"/>
              <w:jc w:val="center"/>
              <w:rPr>
                <w:rFonts w:ascii="宋体" w:hAnsi="宋体" w:eastAsia="宋体"/>
                <w:b/>
                <w:bCs/>
                <w:color w:val="000000"/>
                <w:kern w:val="0"/>
                <w:sz w:val="24"/>
                <w:szCs w:val="24"/>
              </w:rPr>
            </w:pPr>
            <w:bookmarkStart w:id="315" w:name="_Toc17330"/>
            <w:bookmarkStart w:id="316" w:name="_Toc5076"/>
            <w:bookmarkStart w:id="317" w:name="_Toc4510"/>
            <w:bookmarkStart w:id="318" w:name="_Toc24691"/>
            <w:bookmarkStart w:id="319" w:name="_Toc13460"/>
            <w:r>
              <w:rPr>
                <w:rFonts w:ascii="宋体" w:hAnsi="宋体" w:eastAsia="宋体"/>
                <w:b/>
                <w:bCs/>
                <w:color w:val="000000"/>
                <w:kern w:val="0"/>
                <w:sz w:val="24"/>
                <w:szCs w:val="24"/>
              </w:rPr>
              <w:t>序号</w:t>
            </w:r>
          </w:p>
        </w:tc>
        <w:tc>
          <w:tcPr>
            <w:tcW w:w="2922" w:type="pct"/>
            <w:tcBorders>
              <w:top w:val="single" w:color="auto" w:sz="4" w:space="0"/>
              <w:left w:val="single" w:color="auto" w:sz="4" w:space="0"/>
              <w:bottom w:val="single" w:color="auto" w:sz="4" w:space="0"/>
              <w:right w:val="single" w:color="auto" w:sz="4" w:space="0"/>
            </w:tcBorders>
            <w:noWrap/>
            <w:vAlign w:val="center"/>
          </w:tcPr>
          <w:p>
            <w:pPr>
              <w:spacing w:before="0" w:after="0" w:line="400" w:lineRule="exact"/>
              <w:ind w:firstLine="0" w:firstLineChars="0"/>
              <w:jc w:val="center"/>
              <w:rPr>
                <w:rFonts w:ascii="宋体" w:hAnsi="宋体" w:eastAsia="宋体"/>
                <w:b/>
                <w:bCs/>
                <w:color w:val="000000"/>
                <w:kern w:val="0"/>
                <w:sz w:val="24"/>
                <w:szCs w:val="24"/>
              </w:rPr>
            </w:pPr>
            <w:r>
              <w:rPr>
                <w:rFonts w:ascii="宋体" w:hAnsi="宋体" w:eastAsia="宋体"/>
                <w:b/>
                <w:bCs/>
                <w:color w:val="000000"/>
                <w:kern w:val="0"/>
                <w:sz w:val="24"/>
                <w:szCs w:val="24"/>
              </w:rPr>
              <w:t>指</w:t>
            </w:r>
            <w:r>
              <w:rPr>
                <w:rFonts w:hint="eastAsia" w:ascii="宋体" w:hAnsi="宋体" w:eastAsia="宋体"/>
                <w:b/>
                <w:bCs/>
                <w:color w:val="000000"/>
                <w:kern w:val="0"/>
                <w:sz w:val="24"/>
                <w:szCs w:val="24"/>
              </w:rPr>
              <w:t xml:space="preserve">  </w:t>
            </w:r>
            <w:r>
              <w:rPr>
                <w:rFonts w:ascii="宋体" w:hAnsi="宋体" w:eastAsia="宋体"/>
                <w:b/>
                <w:bCs/>
                <w:color w:val="000000"/>
                <w:kern w:val="0"/>
                <w:sz w:val="24"/>
                <w:szCs w:val="24"/>
              </w:rPr>
              <w:t>标</w:t>
            </w:r>
          </w:p>
        </w:tc>
        <w:tc>
          <w:tcPr>
            <w:tcW w:w="1495" w:type="pct"/>
            <w:tcBorders>
              <w:top w:val="single" w:color="auto" w:sz="4" w:space="0"/>
              <w:left w:val="single" w:color="auto" w:sz="4" w:space="0"/>
              <w:bottom w:val="single" w:color="auto" w:sz="4" w:space="0"/>
              <w:right w:val="single" w:color="auto" w:sz="4" w:space="0"/>
            </w:tcBorders>
            <w:noWrap/>
            <w:vAlign w:val="center"/>
          </w:tcPr>
          <w:p>
            <w:pPr>
              <w:spacing w:before="0" w:after="0" w:line="400" w:lineRule="exact"/>
              <w:ind w:firstLine="0" w:firstLineChars="0"/>
              <w:jc w:val="center"/>
              <w:rPr>
                <w:rFonts w:ascii="宋体" w:hAnsi="宋体" w:eastAsia="宋体"/>
                <w:b/>
                <w:bCs/>
                <w:color w:val="000000"/>
                <w:kern w:val="0"/>
                <w:sz w:val="24"/>
                <w:szCs w:val="24"/>
              </w:rPr>
            </w:pPr>
            <w:r>
              <w:rPr>
                <w:rFonts w:ascii="宋体" w:hAnsi="宋体" w:eastAsia="宋体"/>
                <w:b/>
                <w:bCs/>
                <w:color w:val="000000"/>
                <w:kern w:val="0"/>
                <w:sz w:val="24"/>
                <w:szCs w:val="24"/>
              </w:rPr>
              <w:t>目标值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583" w:type="pct"/>
            <w:tcBorders>
              <w:top w:val="single" w:color="auto" w:sz="4" w:space="0"/>
              <w:left w:val="single" w:color="auto" w:sz="4" w:space="0"/>
              <w:bottom w:val="single" w:color="auto" w:sz="4" w:space="0"/>
              <w:right w:val="single" w:color="auto" w:sz="4" w:space="0"/>
            </w:tcBorders>
            <w:noWrap/>
            <w:vAlign w:val="center"/>
          </w:tcPr>
          <w:p>
            <w:pPr>
              <w:spacing w:before="0" w:after="0" w:line="400" w:lineRule="exact"/>
              <w:ind w:firstLine="0" w:firstLineChars="0"/>
              <w:jc w:val="center"/>
              <w:rPr>
                <w:rFonts w:ascii="宋体" w:hAnsi="宋体" w:eastAsia="宋体"/>
                <w:bCs/>
                <w:color w:val="000000"/>
                <w:kern w:val="0"/>
                <w:sz w:val="24"/>
                <w:szCs w:val="24"/>
              </w:rPr>
            </w:pPr>
            <w:r>
              <w:rPr>
                <w:rFonts w:ascii="宋体" w:hAnsi="宋体" w:eastAsia="宋体"/>
                <w:bCs/>
                <w:color w:val="000000"/>
                <w:kern w:val="0"/>
                <w:sz w:val="24"/>
                <w:szCs w:val="24"/>
              </w:rPr>
              <w:t>1</w:t>
            </w:r>
          </w:p>
        </w:tc>
        <w:tc>
          <w:tcPr>
            <w:tcW w:w="2922" w:type="pct"/>
            <w:tcBorders>
              <w:top w:val="single" w:color="auto" w:sz="4" w:space="0"/>
              <w:left w:val="single" w:color="auto" w:sz="4" w:space="0"/>
              <w:bottom w:val="single" w:color="auto" w:sz="4" w:space="0"/>
              <w:right w:val="single" w:color="auto" w:sz="4" w:space="0"/>
            </w:tcBorders>
            <w:noWrap/>
            <w:vAlign w:val="center"/>
          </w:tcPr>
          <w:p>
            <w:pPr>
              <w:spacing w:before="0" w:after="0" w:line="400" w:lineRule="exact"/>
              <w:ind w:firstLine="0" w:firstLineChars="0"/>
              <w:rPr>
                <w:rFonts w:ascii="宋体" w:hAnsi="宋体" w:eastAsia="宋体"/>
                <w:bCs/>
                <w:color w:val="000000"/>
                <w:kern w:val="0"/>
                <w:sz w:val="24"/>
                <w:szCs w:val="24"/>
              </w:rPr>
            </w:pPr>
            <w:r>
              <w:rPr>
                <w:rFonts w:ascii="宋体" w:hAnsi="宋体" w:eastAsia="宋体"/>
                <w:bCs/>
                <w:color w:val="000000"/>
                <w:kern w:val="0"/>
                <w:sz w:val="24"/>
                <w:szCs w:val="24"/>
              </w:rPr>
              <w:t>乡镇服务功能提升外延</w:t>
            </w:r>
            <w:r>
              <w:rPr>
                <w:rFonts w:hint="eastAsia" w:ascii="宋体" w:hAnsi="宋体" w:eastAsia="宋体"/>
                <w:bCs/>
                <w:color w:val="000000"/>
                <w:kern w:val="0"/>
                <w:sz w:val="24"/>
                <w:szCs w:val="24"/>
              </w:rPr>
              <w:t>（个）</w:t>
            </w:r>
          </w:p>
        </w:tc>
        <w:tc>
          <w:tcPr>
            <w:tcW w:w="1495" w:type="pct"/>
            <w:tcBorders>
              <w:top w:val="single" w:color="auto" w:sz="4" w:space="0"/>
              <w:left w:val="single" w:color="auto" w:sz="4" w:space="0"/>
              <w:bottom w:val="single" w:color="auto" w:sz="4" w:space="0"/>
              <w:right w:val="single" w:color="auto" w:sz="4" w:space="0"/>
            </w:tcBorders>
            <w:noWrap/>
            <w:vAlign w:val="center"/>
          </w:tcPr>
          <w:p>
            <w:pPr>
              <w:spacing w:before="0" w:after="0" w:line="400" w:lineRule="exact"/>
              <w:ind w:firstLine="0" w:firstLineChars="0"/>
              <w:jc w:val="center"/>
              <w:rPr>
                <w:rFonts w:ascii="宋体" w:hAnsi="宋体" w:eastAsia="宋体"/>
                <w:bCs/>
                <w:color w:val="000000"/>
                <w:kern w:val="0"/>
                <w:sz w:val="24"/>
                <w:szCs w:val="24"/>
              </w:rPr>
            </w:pPr>
            <w:r>
              <w:rPr>
                <w:rFonts w:hint="eastAsia" w:ascii="宋体" w:hAnsi="宋体" w:eastAsia="宋体"/>
                <w:bCs/>
                <w:color w:val="000000"/>
                <w:kern w:val="0"/>
                <w:sz w:val="24"/>
                <w:szCs w:val="24"/>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jc w:val="center"/>
        </w:trPr>
        <w:tc>
          <w:tcPr>
            <w:tcW w:w="583" w:type="pct"/>
            <w:tcBorders>
              <w:top w:val="single" w:color="auto" w:sz="4" w:space="0"/>
              <w:left w:val="single" w:color="auto" w:sz="4" w:space="0"/>
              <w:bottom w:val="single" w:color="auto" w:sz="4" w:space="0"/>
              <w:right w:val="single" w:color="auto" w:sz="4" w:space="0"/>
            </w:tcBorders>
            <w:noWrap/>
            <w:vAlign w:val="center"/>
          </w:tcPr>
          <w:p>
            <w:pPr>
              <w:spacing w:before="0" w:after="0" w:line="400" w:lineRule="exact"/>
              <w:ind w:firstLine="0" w:firstLineChars="0"/>
              <w:jc w:val="center"/>
              <w:rPr>
                <w:rFonts w:ascii="宋体" w:hAnsi="宋体" w:eastAsia="宋体"/>
                <w:bCs/>
                <w:color w:val="000000"/>
                <w:kern w:val="0"/>
                <w:sz w:val="24"/>
                <w:szCs w:val="24"/>
              </w:rPr>
            </w:pPr>
            <w:r>
              <w:rPr>
                <w:rFonts w:ascii="宋体" w:hAnsi="宋体" w:eastAsia="宋体"/>
                <w:bCs/>
                <w:color w:val="000000"/>
                <w:kern w:val="0"/>
                <w:sz w:val="24"/>
                <w:szCs w:val="24"/>
              </w:rPr>
              <w:t>2</w:t>
            </w:r>
          </w:p>
        </w:tc>
        <w:tc>
          <w:tcPr>
            <w:tcW w:w="2922" w:type="pct"/>
            <w:tcBorders>
              <w:top w:val="single" w:color="auto" w:sz="4" w:space="0"/>
              <w:left w:val="single" w:color="auto" w:sz="4" w:space="0"/>
              <w:bottom w:val="single" w:color="auto" w:sz="4" w:space="0"/>
              <w:right w:val="single" w:color="auto" w:sz="4" w:space="0"/>
            </w:tcBorders>
            <w:noWrap/>
            <w:vAlign w:val="center"/>
          </w:tcPr>
          <w:p>
            <w:pPr>
              <w:spacing w:before="0" w:after="0" w:line="400" w:lineRule="exact"/>
              <w:ind w:firstLine="0" w:firstLineChars="0"/>
              <w:rPr>
                <w:rFonts w:ascii="宋体" w:hAnsi="宋体" w:eastAsia="宋体"/>
                <w:bCs/>
                <w:color w:val="000000"/>
                <w:kern w:val="0"/>
                <w:sz w:val="24"/>
                <w:szCs w:val="24"/>
              </w:rPr>
            </w:pPr>
            <w:r>
              <w:rPr>
                <w:rFonts w:ascii="宋体" w:hAnsi="宋体" w:eastAsia="宋体"/>
                <w:bCs/>
                <w:color w:val="000000"/>
                <w:kern w:val="0"/>
                <w:sz w:val="24"/>
                <w:szCs w:val="24"/>
              </w:rPr>
              <w:t>省级美丽乡村中心村建设完成（个）</w:t>
            </w:r>
          </w:p>
        </w:tc>
        <w:tc>
          <w:tcPr>
            <w:tcW w:w="1495" w:type="pct"/>
            <w:tcBorders>
              <w:top w:val="single" w:color="auto" w:sz="4" w:space="0"/>
              <w:left w:val="single" w:color="auto" w:sz="4" w:space="0"/>
              <w:bottom w:val="single" w:color="auto" w:sz="4" w:space="0"/>
              <w:right w:val="single" w:color="auto" w:sz="4" w:space="0"/>
            </w:tcBorders>
            <w:noWrap/>
            <w:vAlign w:val="center"/>
          </w:tcPr>
          <w:p>
            <w:pPr>
              <w:spacing w:before="0" w:after="0" w:line="400" w:lineRule="exact"/>
              <w:ind w:firstLine="0" w:firstLineChars="0"/>
              <w:jc w:val="center"/>
              <w:rPr>
                <w:rFonts w:ascii="宋体" w:hAnsi="宋体" w:eastAsia="宋体"/>
                <w:bCs/>
                <w:color w:val="000000"/>
                <w:kern w:val="0"/>
                <w:sz w:val="24"/>
                <w:szCs w:val="24"/>
              </w:rPr>
            </w:pPr>
            <w:r>
              <w:rPr>
                <w:rFonts w:hint="eastAsia" w:ascii="宋体" w:hAnsi="宋体" w:eastAsia="宋体"/>
                <w:bCs/>
                <w:color w:val="000000"/>
                <w:kern w:val="0"/>
                <w:sz w:val="24"/>
                <w:szCs w:val="24"/>
              </w:rPr>
              <w:t>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 w:hRule="atLeast"/>
          <w:jc w:val="center"/>
        </w:trPr>
        <w:tc>
          <w:tcPr>
            <w:tcW w:w="583" w:type="pct"/>
            <w:tcBorders>
              <w:top w:val="single" w:color="auto" w:sz="4" w:space="0"/>
              <w:left w:val="single" w:color="auto" w:sz="4" w:space="0"/>
              <w:right w:val="single" w:color="auto" w:sz="4" w:space="0"/>
            </w:tcBorders>
            <w:noWrap/>
            <w:vAlign w:val="center"/>
          </w:tcPr>
          <w:p>
            <w:pPr>
              <w:spacing w:before="0" w:after="0" w:line="400" w:lineRule="exact"/>
              <w:ind w:firstLine="0" w:firstLineChars="0"/>
              <w:jc w:val="center"/>
              <w:rPr>
                <w:rFonts w:ascii="宋体" w:hAnsi="宋体" w:eastAsia="宋体"/>
                <w:bCs/>
                <w:color w:val="000000"/>
                <w:kern w:val="0"/>
                <w:sz w:val="24"/>
                <w:szCs w:val="24"/>
              </w:rPr>
            </w:pPr>
            <w:r>
              <w:rPr>
                <w:rFonts w:ascii="宋体" w:hAnsi="宋体" w:eastAsia="宋体"/>
                <w:bCs/>
                <w:color w:val="000000"/>
                <w:kern w:val="0"/>
                <w:sz w:val="24"/>
                <w:szCs w:val="24"/>
              </w:rPr>
              <w:t>3</w:t>
            </w:r>
          </w:p>
        </w:tc>
        <w:tc>
          <w:tcPr>
            <w:tcW w:w="2922" w:type="pct"/>
            <w:tcBorders>
              <w:top w:val="single" w:color="auto" w:sz="4" w:space="0"/>
              <w:left w:val="single" w:color="auto" w:sz="4" w:space="0"/>
              <w:right w:val="single" w:color="auto" w:sz="4" w:space="0"/>
            </w:tcBorders>
            <w:noWrap/>
            <w:vAlign w:val="center"/>
          </w:tcPr>
          <w:p>
            <w:pPr>
              <w:spacing w:before="0" w:after="0" w:line="400" w:lineRule="exact"/>
              <w:ind w:firstLine="0" w:firstLineChars="0"/>
              <w:rPr>
                <w:rFonts w:ascii="宋体" w:hAnsi="宋体" w:eastAsia="宋体"/>
                <w:bCs/>
                <w:color w:val="000000"/>
                <w:kern w:val="0"/>
                <w:sz w:val="24"/>
                <w:szCs w:val="24"/>
              </w:rPr>
            </w:pPr>
            <w:r>
              <w:rPr>
                <w:rFonts w:hint="eastAsia" w:ascii="宋体" w:hAnsi="宋体" w:eastAsia="宋体"/>
                <w:bCs/>
                <w:color w:val="000000"/>
                <w:kern w:val="0"/>
                <w:sz w:val="24"/>
                <w:szCs w:val="24"/>
              </w:rPr>
              <w:t>市</w:t>
            </w:r>
            <w:r>
              <w:rPr>
                <w:rFonts w:ascii="宋体" w:hAnsi="宋体" w:eastAsia="宋体"/>
                <w:bCs/>
                <w:color w:val="000000"/>
                <w:kern w:val="0"/>
                <w:sz w:val="24"/>
                <w:szCs w:val="24"/>
              </w:rPr>
              <w:t>级美丽乡村中心村建设完成（个）</w:t>
            </w:r>
          </w:p>
        </w:tc>
        <w:tc>
          <w:tcPr>
            <w:tcW w:w="1495" w:type="pct"/>
            <w:tcBorders>
              <w:top w:val="single" w:color="auto" w:sz="4" w:space="0"/>
              <w:left w:val="single" w:color="auto" w:sz="4" w:space="0"/>
              <w:bottom w:val="single" w:color="auto" w:sz="4" w:space="0"/>
              <w:right w:val="single" w:color="auto" w:sz="4" w:space="0"/>
            </w:tcBorders>
            <w:noWrap/>
            <w:vAlign w:val="center"/>
          </w:tcPr>
          <w:p>
            <w:pPr>
              <w:spacing w:before="0" w:after="0" w:line="400" w:lineRule="exact"/>
              <w:ind w:firstLine="0" w:firstLineChars="0"/>
              <w:jc w:val="center"/>
              <w:rPr>
                <w:rFonts w:ascii="宋体" w:hAnsi="宋体" w:eastAsia="宋体"/>
                <w:bCs/>
                <w:color w:val="000000"/>
                <w:kern w:val="0"/>
                <w:sz w:val="24"/>
                <w:szCs w:val="24"/>
              </w:rPr>
            </w:pPr>
            <w:r>
              <w:rPr>
                <w:rFonts w:hint="eastAsia" w:ascii="宋体" w:hAnsi="宋体" w:eastAsia="宋体"/>
                <w:bCs/>
                <w:color w:val="000000"/>
                <w:kern w:val="0"/>
                <w:sz w:val="24"/>
                <w:szCs w:val="24"/>
              </w:rPr>
              <w:t>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 w:hRule="atLeast"/>
          <w:jc w:val="center"/>
        </w:trPr>
        <w:tc>
          <w:tcPr>
            <w:tcW w:w="583" w:type="pct"/>
            <w:tcBorders>
              <w:top w:val="single" w:color="auto" w:sz="4" w:space="0"/>
              <w:left w:val="single" w:color="auto" w:sz="4" w:space="0"/>
              <w:right w:val="single" w:color="auto" w:sz="4" w:space="0"/>
            </w:tcBorders>
            <w:noWrap/>
            <w:vAlign w:val="center"/>
          </w:tcPr>
          <w:p>
            <w:pPr>
              <w:spacing w:before="0" w:after="0" w:line="400" w:lineRule="exact"/>
              <w:ind w:firstLine="0" w:firstLineChars="0"/>
              <w:jc w:val="center"/>
              <w:rPr>
                <w:rFonts w:ascii="宋体" w:hAnsi="宋体" w:eastAsia="宋体"/>
                <w:bCs/>
                <w:color w:val="000000"/>
                <w:kern w:val="0"/>
                <w:sz w:val="24"/>
                <w:szCs w:val="24"/>
              </w:rPr>
            </w:pPr>
            <w:r>
              <w:rPr>
                <w:rFonts w:ascii="宋体" w:hAnsi="宋体" w:eastAsia="宋体"/>
                <w:bCs/>
                <w:color w:val="000000"/>
                <w:kern w:val="0"/>
                <w:sz w:val="24"/>
                <w:szCs w:val="24"/>
              </w:rPr>
              <w:t>4</w:t>
            </w:r>
          </w:p>
        </w:tc>
        <w:tc>
          <w:tcPr>
            <w:tcW w:w="2922" w:type="pct"/>
            <w:tcBorders>
              <w:top w:val="single" w:color="auto" w:sz="4" w:space="0"/>
              <w:left w:val="single" w:color="auto" w:sz="4" w:space="0"/>
              <w:right w:val="single" w:color="auto" w:sz="4" w:space="0"/>
            </w:tcBorders>
            <w:noWrap/>
            <w:vAlign w:val="center"/>
          </w:tcPr>
          <w:p>
            <w:pPr>
              <w:spacing w:before="0" w:after="0" w:line="400" w:lineRule="exact"/>
              <w:ind w:firstLine="0" w:firstLineChars="0"/>
              <w:rPr>
                <w:rFonts w:ascii="宋体" w:hAnsi="宋体" w:eastAsia="宋体"/>
                <w:bCs/>
                <w:color w:val="000000"/>
                <w:kern w:val="0"/>
                <w:sz w:val="24"/>
                <w:szCs w:val="24"/>
              </w:rPr>
            </w:pPr>
            <w:r>
              <w:rPr>
                <w:rFonts w:ascii="宋体" w:hAnsi="宋体" w:eastAsia="宋体"/>
                <w:bCs/>
                <w:color w:val="000000"/>
                <w:kern w:val="0"/>
                <w:sz w:val="24"/>
                <w:szCs w:val="24"/>
              </w:rPr>
              <w:t>美丽宜居自然村庄整治完成（个）</w:t>
            </w:r>
          </w:p>
        </w:tc>
        <w:tc>
          <w:tcPr>
            <w:tcW w:w="1495" w:type="pct"/>
            <w:tcBorders>
              <w:top w:val="single" w:color="auto" w:sz="4" w:space="0"/>
              <w:left w:val="single" w:color="auto" w:sz="4" w:space="0"/>
              <w:bottom w:val="single" w:color="auto" w:sz="4" w:space="0"/>
              <w:right w:val="single" w:color="auto" w:sz="4" w:space="0"/>
            </w:tcBorders>
            <w:noWrap/>
            <w:vAlign w:val="center"/>
          </w:tcPr>
          <w:p>
            <w:pPr>
              <w:spacing w:before="0" w:after="0" w:line="400" w:lineRule="exact"/>
              <w:ind w:firstLine="0" w:firstLineChars="0"/>
              <w:jc w:val="center"/>
              <w:rPr>
                <w:rFonts w:ascii="宋体" w:hAnsi="宋体" w:eastAsia="宋体"/>
                <w:bCs/>
                <w:color w:val="000000"/>
                <w:kern w:val="0"/>
                <w:sz w:val="24"/>
                <w:szCs w:val="24"/>
              </w:rPr>
            </w:pPr>
            <w:r>
              <w:rPr>
                <w:rFonts w:hint="eastAsia" w:ascii="宋体" w:hAnsi="宋体" w:eastAsia="宋体"/>
                <w:bCs/>
                <w:color w:val="000000"/>
                <w:kern w:val="0"/>
                <w:sz w:val="24"/>
                <w:szCs w:val="24"/>
              </w:rPr>
              <w:t>765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 w:hRule="atLeast"/>
          <w:jc w:val="center"/>
        </w:trPr>
        <w:tc>
          <w:tcPr>
            <w:tcW w:w="583" w:type="pct"/>
            <w:tcBorders>
              <w:top w:val="single" w:color="auto" w:sz="4" w:space="0"/>
              <w:left w:val="single" w:color="auto" w:sz="4" w:space="0"/>
              <w:right w:val="single" w:color="auto" w:sz="4" w:space="0"/>
            </w:tcBorders>
            <w:noWrap/>
            <w:vAlign w:val="center"/>
          </w:tcPr>
          <w:p>
            <w:pPr>
              <w:spacing w:before="0" w:after="0" w:line="400" w:lineRule="exact"/>
              <w:ind w:firstLine="0" w:firstLineChars="0"/>
              <w:jc w:val="center"/>
              <w:rPr>
                <w:rFonts w:ascii="宋体" w:hAnsi="宋体" w:eastAsia="宋体"/>
                <w:bCs/>
                <w:color w:val="000000"/>
                <w:kern w:val="0"/>
                <w:sz w:val="24"/>
                <w:szCs w:val="24"/>
              </w:rPr>
            </w:pPr>
            <w:r>
              <w:rPr>
                <w:rFonts w:ascii="宋体" w:hAnsi="宋体" w:eastAsia="宋体"/>
                <w:bCs/>
                <w:color w:val="000000"/>
                <w:kern w:val="0"/>
                <w:sz w:val="24"/>
                <w:szCs w:val="24"/>
              </w:rPr>
              <w:t>5</w:t>
            </w:r>
          </w:p>
        </w:tc>
        <w:tc>
          <w:tcPr>
            <w:tcW w:w="2922" w:type="pct"/>
            <w:tcBorders>
              <w:top w:val="single" w:color="auto" w:sz="4" w:space="0"/>
              <w:left w:val="single" w:color="auto" w:sz="4" w:space="0"/>
              <w:right w:val="single" w:color="auto" w:sz="4" w:space="0"/>
            </w:tcBorders>
            <w:noWrap/>
            <w:vAlign w:val="center"/>
          </w:tcPr>
          <w:p>
            <w:pPr>
              <w:spacing w:before="0" w:after="0" w:line="400" w:lineRule="exact"/>
              <w:ind w:firstLine="0" w:firstLineChars="0"/>
              <w:rPr>
                <w:rFonts w:ascii="宋体" w:hAnsi="宋体" w:eastAsia="宋体"/>
                <w:bCs/>
                <w:color w:val="000000"/>
                <w:kern w:val="0"/>
                <w:sz w:val="24"/>
                <w:szCs w:val="24"/>
              </w:rPr>
            </w:pPr>
            <w:r>
              <w:rPr>
                <w:rFonts w:ascii="宋体" w:hAnsi="宋体" w:eastAsia="宋体"/>
                <w:color w:val="000000"/>
                <w:sz w:val="24"/>
                <w:szCs w:val="24"/>
              </w:rPr>
              <w:t>农村生活污水治理率（%）</w:t>
            </w:r>
          </w:p>
        </w:tc>
        <w:tc>
          <w:tcPr>
            <w:tcW w:w="1495" w:type="pct"/>
            <w:tcBorders>
              <w:top w:val="single" w:color="auto" w:sz="4" w:space="0"/>
              <w:left w:val="single" w:color="auto" w:sz="4" w:space="0"/>
              <w:bottom w:val="single" w:color="auto" w:sz="4" w:space="0"/>
              <w:right w:val="single" w:color="auto" w:sz="4" w:space="0"/>
            </w:tcBorders>
            <w:noWrap/>
            <w:vAlign w:val="center"/>
          </w:tcPr>
          <w:p>
            <w:pPr>
              <w:spacing w:before="0" w:after="0" w:line="400" w:lineRule="exact"/>
              <w:ind w:firstLine="0" w:firstLineChars="0"/>
              <w:jc w:val="center"/>
              <w:rPr>
                <w:rFonts w:ascii="宋体" w:hAnsi="宋体" w:eastAsia="宋体"/>
                <w:bCs/>
                <w:color w:val="000000"/>
                <w:kern w:val="0"/>
                <w:sz w:val="24"/>
                <w:szCs w:val="24"/>
              </w:rPr>
            </w:pPr>
            <w:r>
              <w:rPr>
                <w:rFonts w:ascii="宋体" w:hAnsi="宋体" w:eastAsia="宋体"/>
                <w:color w:val="000000"/>
                <w:sz w:val="24"/>
                <w:szCs w:val="24"/>
              </w:rPr>
              <w:t>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 w:hRule="atLeast"/>
          <w:jc w:val="center"/>
        </w:trPr>
        <w:tc>
          <w:tcPr>
            <w:tcW w:w="583" w:type="pct"/>
            <w:tcBorders>
              <w:top w:val="single" w:color="auto" w:sz="4" w:space="0"/>
              <w:left w:val="single" w:color="auto" w:sz="4" w:space="0"/>
              <w:right w:val="single" w:color="auto" w:sz="4" w:space="0"/>
            </w:tcBorders>
            <w:noWrap/>
            <w:vAlign w:val="center"/>
          </w:tcPr>
          <w:p>
            <w:pPr>
              <w:spacing w:before="0" w:after="0" w:line="400" w:lineRule="exact"/>
              <w:ind w:firstLine="0" w:firstLineChars="0"/>
              <w:jc w:val="center"/>
              <w:rPr>
                <w:rFonts w:ascii="宋体" w:hAnsi="宋体" w:eastAsia="宋体"/>
                <w:bCs/>
                <w:color w:val="000000"/>
                <w:kern w:val="0"/>
                <w:sz w:val="24"/>
                <w:szCs w:val="24"/>
              </w:rPr>
            </w:pPr>
            <w:r>
              <w:rPr>
                <w:rFonts w:ascii="宋体" w:hAnsi="宋体" w:eastAsia="宋体"/>
                <w:bCs/>
                <w:color w:val="000000"/>
                <w:kern w:val="0"/>
                <w:sz w:val="24"/>
                <w:szCs w:val="24"/>
              </w:rPr>
              <w:t>6</w:t>
            </w:r>
          </w:p>
        </w:tc>
        <w:tc>
          <w:tcPr>
            <w:tcW w:w="2922" w:type="pct"/>
            <w:tcBorders>
              <w:top w:val="single" w:color="auto" w:sz="4" w:space="0"/>
              <w:left w:val="single" w:color="auto" w:sz="4" w:space="0"/>
              <w:right w:val="single" w:color="auto" w:sz="4" w:space="0"/>
            </w:tcBorders>
            <w:noWrap/>
            <w:vAlign w:val="center"/>
          </w:tcPr>
          <w:p>
            <w:pPr>
              <w:spacing w:before="0" w:after="0" w:line="400" w:lineRule="exact"/>
              <w:ind w:firstLine="0" w:firstLineChars="0"/>
              <w:rPr>
                <w:rFonts w:ascii="宋体" w:hAnsi="宋体" w:eastAsia="宋体"/>
                <w:color w:val="000000"/>
                <w:sz w:val="24"/>
                <w:szCs w:val="24"/>
              </w:rPr>
            </w:pPr>
            <w:r>
              <w:rPr>
                <w:rFonts w:ascii="宋体" w:hAnsi="宋体" w:eastAsia="宋体"/>
                <w:color w:val="000000"/>
                <w:sz w:val="24"/>
                <w:szCs w:val="24"/>
              </w:rPr>
              <w:t>农村</w:t>
            </w:r>
            <w:r>
              <w:rPr>
                <w:rFonts w:hint="eastAsia" w:ascii="宋体" w:hAnsi="宋体" w:eastAsia="宋体"/>
                <w:color w:val="000000"/>
                <w:sz w:val="24"/>
                <w:szCs w:val="24"/>
              </w:rPr>
              <w:t>安全饮水比例</w:t>
            </w:r>
            <w:r>
              <w:rPr>
                <w:rFonts w:ascii="宋体" w:hAnsi="宋体" w:eastAsia="宋体"/>
                <w:color w:val="000000"/>
                <w:sz w:val="24"/>
                <w:szCs w:val="24"/>
              </w:rPr>
              <w:t>（%）</w:t>
            </w:r>
          </w:p>
        </w:tc>
        <w:tc>
          <w:tcPr>
            <w:tcW w:w="1495" w:type="pct"/>
            <w:tcBorders>
              <w:top w:val="single" w:color="auto" w:sz="4" w:space="0"/>
              <w:left w:val="single" w:color="auto" w:sz="4" w:space="0"/>
              <w:bottom w:val="single" w:color="auto" w:sz="4" w:space="0"/>
              <w:right w:val="single" w:color="auto" w:sz="4" w:space="0"/>
            </w:tcBorders>
            <w:noWrap/>
            <w:vAlign w:val="center"/>
          </w:tcPr>
          <w:p>
            <w:pPr>
              <w:spacing w:before="0" w:after="0" w:line="400" w:lineRule="exact"/>
              <w:ind w:firstLine="0" w:firstLineChars="0"/>
              <w:jc w:val="center"/>
              <w:rPr>
                <w:rFonts w:ascii="宋体" w:hAnsi="宋体" w:eastAsia="宋体"/>
                <w:color w:val="000000"/>
                <w:sz w:val="24"/>
                <w:szCs w:val="24"/>
              </w:rPr>
            </w:pPr>
            <w:r>
              <w:rPr>
                <w:rFonts w:hint="eastAsia" w:ascii="宋体" w:hAnsi="宋体" w:eastAsia="宋体"/>
                <w:color w:val="000000"/>
                <w:sz w:val="24"/>
                <w:szCs w:val="24"/>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 w:hRule="atLeast"/>
          <w:jc w:val="center"/>
        </w:trPr>
        <w:tc>
          <w:tcPr>
            <w:tcW w:w="583" w:type="pct"/>
            <w:tcBorders>
              <w:top w:val="single" w:color="auto" w:sz="4" w:space="0"/>
              <w:left w:val="single" w:color="auto" w:sz="4" w:space="0"/>
              <w:right w:val="single" w:color="auto" w:sz="4" w:space="0"/>
            </w:tcBorders>
            <w:noWrap/>
            <w:vAlign w:val="center"/>
          </w:tcPr>
          <w:p>
            <w:pPr>
              <w:spacing w:before="0" w:after="0" w:line="400" w:lineRule="exact"/>
              <w:ind w:firstLine="0" w:firstLineChars="0"/>
              <w:jc w:val="center"/>
              <w:rPr>
                <w:rFonts w:ascii="宋体" w:hAnsi="宋体" w:eastAsia="宋体"/>
                <w:bCs/>
                <w:color w:val="000000"/>
                <w:kern w:val="0"/>
                <w:sz w:val="24"/>
                <w:szCs w:val="24"/>
              </w:rPr>
            </w:pPr>
            <w:r>
              <w:rPr>
                <w:rFonts w:ascii="宋体" w:hAnsi="宋体" w:eastAsia="宋体"/>
                <w:bCs/>
                <w:color w:val="000000"/>
                <w:kern w:val="0"/>
                <w:sz w:val="24"/>
                <w:szCs w:val="24"/>
              </w:rPr>
              <w:t>7</w:t>
            </w:r>
          </w:p>
        </w:tc>
        <w:tc>
          <w:tcPr>
            <w:tcW w:w="2922" w:type="pct"/>
            <w:tcBorders>
              <w:top w:val="single" w:color="auto" w:sz="4" w:space="0"/>
              <w:left w:val="single" w:color="auto" w:sz="4" w:space="0"/>
              <w:right w:val="single" w:color="auto" w:sz="4" w:space="0"/>
            </w:tcBorders>
            <w:noWrap/>
            <w:vAlign w:val="center"/>
          </w:tcPr>
          <w:p>
            <w:pPr>
              <w:spacing w:before="0" w:after="0" w:line="400" w:lineRule="exact"/>
              <w:ind w:firstLine="0" w:firstLineChars="0"/>
              <w:rPr>
                <w:rFonts w:ascii="宋体" w:hAnsi="宋体" w:eastAsia="宋体"/>
                <w:color w:val="000000"/>
                <w:sz w:val="24"/>
                <w:szCs w:val="24"/>
              </w:rPr>
            </w:pPr>
            <w:r>
              <w:rPr>
                <w:rFonts w:ascii="宋体" w:hAnsi="宋体" w:eastAsia="宋体"/>
                <w:color w:val="000000"/>
                <w:sz w:val="24"/>
                <w:szCs w:val="24"/>
              </w:rPr>
              <w:t>农村卫生厕所普及率（%）</w:t>
            </w:r>
          </w:p>
        </w:tc>
        <w:tc>
          <w:tcPr>
            <w:tcW w:w="1495" w:type="pct"/>
            <w:tcBorders>
              <w:top w:val="single" w:color="auto" w:sz="4" w:space="0"/>
              <w:left w:val="single" w:color="auto" w:sz="4" w:space="0"/>
              <w:bottom w:val="single" w:color="auto" w:sz="4" w:space="0"/>
              <w:right w:val="single" w:color="auto" w:sz="4" w:space="0"/>
            </w:tcBorders>
            <w:noWrap/>
            <w:vAlign w:val="center"/>
          </w:tcPr>
          <w:p>
            <w:pPr>
              <w:spacing w:before="0" w:after="0" w:line="400" w:lineRule="exact"/>
              <w:ind w:firstLine="0" w:firstLineChars="0"/>
              <w:jc w:val="center"/>
              <w:rPr>
                <w:rFonts w:ascii="宋体" w:hAnsi="宋体" w:eastAsia="宋体"/>
                <w:color w:val="000000"/>
                <w:sz w:val="24"/>
                <w:szCs w:val="24"/>
              </w:rPr>
            </w:pPr>
            <w:r>
              <w:rPr>
                <w:rFonts w:ascii="宋体" w:hAnsi="宋体" w:eastAsia="宋体"/>
                <w:color w:val="000000"/>
                <w:sz w:val="24"/>
                <w:szCs w:val="24"/>
              </w:rPr>
              <w:t>基本普及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 w:hRule="atLeast"/>
          <w:jc w:val="center"/>
        </w:trPr>
        <w:tc>
          <w:tcPr>
            <w:tcW w:w="583" w:type="pct"/>
            <w:tcBorders>
              <w:top w:val="single" w:color="auto" w:sz="4" w:space="0"/>
              <w:left w:val="single" w:color="auto" w:sz="4" w:space="0"/>
              <w:right w:val="single" w:color="auto" w:sz="4" w:space="0"/>
            </w:tcBorders>
            <w:noWrap/>
            <w:vAlign w:val="center"/>
          </w:tcPr>
          <w:p>
            <w:pPr>
              <w:spacing w:before="0" w:after="0" w:line="400" w:lineRule="exact"/>
              <w:ind w:firstLine="0" w:firstLineChars="0"/>
              <w:jc w:val="center"/>
              <w:rPr>
                <w:rFonts w:ascii="宋体" w:hAnsi="宋体" w:eastAsia="宋体"/>
                <w:bCs/>
                <w:color w:val="000000"/>
                <w:kern w:val="0"/>
                <w:sz w:val="24"/>
                <w:szCs w:val="24"/>
              </w:rPr>
            </w:pPr>
            <w:r>
              <w:rPr>
                <w:rFonts w:ascii="宋体" w:hAnsi="宋体" w:eastAsia="宋体"/>
                <w:bCs/>
                <w:color w:val="000000"/>
                <w:kern w:val="0"/>
                <w:sz w:val="24"/>
                <w:szCs w:val="24"/>
              </w:rPr>
              <w:t>8</w:t>
            </w:r>
          </w:p>
        </w:tc>
        <w:tc>
          <w:tcPr>
            <w:tcW w:w="2922" w:type="pct"/>
            <w:tcBorders>
              <w:top w:val="single" w:color="auto" w:sz="4" w:space="0"/>
              <w:left w:val="single" w:color="auto" w:sz="4" w:space="0"/>
              <w:right w:val="single" w:color="auto" w:sz="4" w:space="0"/>
            </w:tcBorders>
            <w:noWrap/>
            <w:vAlign w:val="center"/>
          </w:tcPr>
          <w:p>
            <w:pPr>
              <w:spacing w:before="0" w:after="0" w:line="400" w:lineRule="exact"/>
              <w:ind w:firstLine="0" w:firstLineChars="0"/>
              <w:rPr>
                <w:rFonts w:ascii="宋体" w:hAnsi="宋体" w:eastAsia="宋体"/>
                <w:color w:val="000000"/>
                <w:sz w:val="24"/>
                <w:szCs w:val="24"/>
              </w:rPr>
            </w:pPr>
            <w:r>
              <w:rPr>
                <w:rFonts w:ascii="宋体" w:hAnsi="宋体" w:eastAsia="宋体"/>
                <w:color w:val="000000"/>
                <w:sz w:val="24"/>
                <w:szCs w:val="24"/>
              </w:rPr>
              <w:t>农村生活垃圾无害化处理率（%）</w:t>
            </w:r>
          </w:p>
        </w:tc>
        <w:tc>
          <w:tcPr>
            <w:tcW w:w="1495" w:type="pct"/>
            <w:tcBorders>
              <w:top w:val="single" w:color="auto" w:sz="4" w:space="0"/>
              <w:left w:val="single" w:color="auto" w:sz="4" w:space="0"/>
              <w:bottom w:val="single" w:color="auto" w:sz="4" w:space="0"/>
              <w:right w:val="single" w:color="auto" w:sz="4" w:space="0"/>
            </w:tcBorders>
            <w:noWrap/>
            <w:vAlign w:val="center"/>
          </w:tcPr>
          <w:p>
            <w:pPr>
              <w:spacing w:before="0" w:after="0" w:line="400" w:lineRule="exact"/>
              <w:ind w:firstLine="0" w:firstLineChars="0"/>
              <w:jc w:val="center"/>
              <w:rPr>
                <w:rFonts w:ascii="宋体" w:hAnsi="宋体" w:eastAsia="宋体"/>
                <w:color w:val="000000"/>
                <w:sz w:val="24"/>
                <w:szCs w:val="24"/>
              </w:rPr>
            </w:pPr>
            <w:r>
              <w:rPr>
                <w:rFonts w:ascii="宋体" w:hAnsi="宋体" w:eastAsia="宋体"/>
                <w:color w:val="000000"/>
                <w:sz w:val="24"/>
                <w:szCs w:val="24"/>
              </w:rPr>
              <w:t>98以上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 w:hRule="atLeast"/>
          <w:jc w:val="center"/>
        </w:trPr>
        <w:tc>
          <w:tcPr>
            <w:tcW w:w="583" w:type="pct"/>
            <w:tcBorders>
              <w:top w:val="single" w:color="auto" w:sz="4" w:space="0"/>
              <w:left w:val="single" w:color="auto" w:sz="4" w:space="0"/>
              <w:right w:val="single" w:color="auto" w:sz="4" w:space="0"/>
            </w:tcBorders>
            <w:noWrap/>
            <w:vAlign w:val="center"/>
          </w:tcPr>
          <w:p>
            <w:pPr>
              <w:spacing w:before="0" w:after="0" w:line="400" w:lineRule="exact"/>
              <w:ind w:firstLine="0" w:firstLineChars="0"/>
              <w:jc w:val="center"/>
              <w:rPr>
                <w:rFonts w:ascii="宋体" w:hAnsi="宋体" w:eastAsia="宋体"/>
                <w:bCs/>
                <w:color w:val="000000"/>
                <w:kern w:val="0"/>
                <w:sz w:val="24"/>
                <w:szCs w:val="24"/>
              </w:rPr>
            </w:pPr>
            <w:r>
              <w:rPr>
                <w:rFonts w:hint="eastAsia" w:ascii="宋体" w:hAnsi="宋体" w:eastAsia="宋体"/>
                <w:bCs/>
                <w:color w:val="000000"/>
                <w:kern w:val="0"/>
                <w:sz w:val="24"/>
                <w:szCs w:val="24"/>
              </w:rPr>
              <w:t>9</w:t>
            </w:r>
          </w:p>
        </w:tc>
        <w:tc>
          <w:tcPr>
            <w:tcW w:w="2922" w:type="pct"/>
            <w:tcBorders>
              <w:top w:val="single" w:color="auto" w:sz="4" w:space="0"/>
              <w:left w:val="single" w:color="auto" w:sz="4" w:space="0"/>
              <w:right w:val="single" w:color="auto" w:sz="4" w:space="0"/>
            </w:tcBorders>
            <w:noWrap/>
            <w:vAlign w:val="center"/>
          </w:tcPr>
          <w:p>
            <w:pPr>
              <w:spacing w:before="0" w:after="0" w:line="400" w:lineRule="exact"/>
              <w:ind w:firstLine="0" w:firstLineChars="0"/>
              <w:rPr>
                <w:rFonts w:ascii="宋体" w:hAnsi="宋体" w:eastAsia="宋体"/>
                <w:color w:val="000000"/>
                <w:sz w:val="24"/>
                <w:szCs w:val="24"/>
              </w:rPr>
            </w:pPr>
            <w:r>
              <w:rPr>
                <w:rFonts w:ascii="宋体" w:hAnsi="宋体" w:eastAsia="宋体"/>
                <w:color w:val="000000"/>
                <w:sz w:val="24"/>
                <w:szCs w:val="24"/>
              </w:rPr>
              <w:t>长效管护机制</w:t>
            </w:r>
          </w:p>
        </w:tc>
        <w:tc>
          <w:tcPr>
            <w:tcW w:w="1495" w:type="pct"/>
            <w:tcBorders>
              <w:top w:val="single" w:color="auto" w:sz="4" w:space="0"/>
              <w:left w:val="single" w:color="auto" w:sz="4" w:space="0"/>
              <w:bottom w:val="single" w:color="auto" w:sz="4" w:space="0"/>
              <w:right w:val="single" w:color="auto" w:sz="4" w:space="0"/>
            </w:tcBorders>
            <w:noWrap/>
            <w:vAlign w:val="center"/>
          </w:tcPr>
          <w:p>
            <w:pPr>
              <w:spacing w:before="0" w:after="0" w:line="400" w:lineRule="exact"/>
              <w:ind w:firstLine="0" w:firstLineChars="0"/>
              <w:jc w:val="center"/>
              <w:rPr>
                <w:rFonts w:ascii="宋体" w:hAnsi="宋体" w:eastAsia="宋体"/>
                <w:color w:val="000000"/>
                <w:sz w:val="24"/>
                <w:szCs w:val="24"/>
              </w:rPr>
            </w:pPr>
            <w:r>
              <w:rPr>
                <w:rFonts w:ascii="宋体" w:hAnsi="宋体" w:eastAsia="宋体"/>
                <w:color w:val="000000"/>
                <w:sz w:val="24"/>
                <w:szCs w:val="24"/>
              </w:rPr>
              <w:t>实现全覆盖</w:t>
            </w:r>
          </w:p>
        </w:tc>
      </w:tr>
    </w:tbl>
    <w:p>
      <w:pPr>
        <w:pStyle w:val="4"/>
        <w:keepNext w:val="0"/>
        <w:keepLines w:val="0"/>
        <w:spacing w:before="0" w:after="0"/>
        <w:ind w:firstLine="642" w:firstLineChars="200"/>
        <w:rPr>
          <w:rFonts w:ascii="Times New Roman" w:hAnsi="Times New Roman" w:eastAsia="楷体_GB2312"/>
          <w:color w:val="000000"/>
          <w:szCs w:val="32"/>
        </w:rPr>
      </w:pPr>
      <w:r>
        <w:rPr>
          <w:rFonts w:ascii="Times New Roman" w:hAnsi="Times New Roman" w:eastAsia="楷体_GB2312"/>
          <w:color w:val="000000"/>
          <w:szCs w:val="32"/>
        </w:rPr>
        <w:t>（三）基本原则</w:t>
      </w:r>
      <w:bookmarkEnd w:id="314"/>
      <w:bookmarkEnd w:id="315"/>
      <w:bookmarkEnd w:id="316"/>
      <w:bookmarkEnd w:id="317"/>
      <w:bookmarkEnd w:id="318"/>
      <w:bookmarkEnd w:id="319"/>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——坚持党的领导，强化农民主体。</w:t>
      </w:r>
      <w:r>
        <w:rPr>
          <w:rFonts w:ascii="Times New Roman" w:hAnsi="Times New Roman" w:eastAsia="仿宋_GB2312"/>
          <w:color w:val="000000"/>
          <w:sz w:val="32"/>
          <w:szCs w:val="32"/>
        </w:rPr>
        <w:t>加强党对“三农”工作的全面领导，把政府引导与农民主体有机结合起来，充分尊重农民意愿，切实维护农民利益，最大限度地调动广大农民群众积极性、主动性和创造性，构建党委政府推动，群众主体，村集体、村民、社会力量等多方共谋共建共管共治共享的新格局。</w:t>
      </w:r>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——坚持规划引领，彰显村庄特色。</w:t>
      </w:r>
      <w:r>
        <w:rPr>
          <w:rFonts w:ascii="Times New Roman" w:hAnsi="Times New Roman" w:eastAsia="仿宋_GB2312"/>
          <w:color w:val="000000"/>
          <w:sz w:val="32"/>
          <w:szCs w:val="32"/>
        </w:rPr>
        <w:t>做好村庄规划编制，推动各类规划在村域层面“多规合一”。规划建设体现乡村特色，遵循乡村发展规律，注重保护生态环境、保护传统村落和乡村风貌，明确生态保护空间和历史文化名村、传统村落及特色风貌保护空间，促进乡村绿色发展。</w:t>
      </w:r>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——坚持底线约束，规范建设管理。</w:t>
      </w:r>
      <w:r>
        <w:rPr>
          <w:rFonts w:ascii="Times New Roman" w:hAnsi="Times New Roman" w:eastAsia="仿宋_GB2312"/>
          <w:color w:val="000000"/>
          <w:sz w:val="32"/>
          <w:szCs w:val="32"/>
        </w:rPr>
        <w:t>坚持不破坏自然环境、不破坏自然水系、不破坏村庄肌理、不破坏传统风貌，严格落实“一户一宅”农村宅基地管理政策。美丽乡村建设过程中充分尊重农民意愿，禁止盲目撤村并居，按要求严格规范村庄撤并工作，不得包办代替、强迫命令。</w:t>
      </w:r>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——坚持因地制宜，实行分类指导。</w:t>
      </w:r>
      <w:r>
        <w:rPr>
          <w:rFonts w:ascii="Times New Roman" w:hAnsi="Times New Roman" w:eastAsia="仿宋_GB2312"/>
          <w:color w:val="000000"/>
          <w:sz w:val="32"/>
          <w:szCs w:val="32"/>
        </w:rPr>
        <w:t>确定建设任务，科学有序开展建设，不搞大拆大建，不搞贪大求洋，不搞层层加码，不搞一刀切，不搞“政绩工程”、“形象工程”，久久为功，扎实推进，着力打造新时代徽风皖韵美丽乡村。</w:t>
      </w:r>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——坚持协调联动，注重统筹推进。</w:t>
      </w:r>
      <w:r>
        <w:rPr>
          <w:rFonts w:ascii="Times New Roman" w:hAnsi="Times New Roman" w:eastAsia="仿宋_GB2312"/>
          <w:color w:val="000000"/>
          <w:sz w:val="32"/>
          <w:szCs w:val="32"/>
        </w:rPr>
        <w:t>把美丽乡村建设与实施乡村建设行动、改善农村人居环境、建设高标准农田、保护传统村落、提升乡村治理现代化水平、开展农村精神文明建设等结合起来，协同谋划，统筹推进，努力形成整体效应，形成政策叠加作用。</w:t>
      </w:r>
    </w:p>
    <w:p>
      <w:pPr>
        <w:pStyle w:val="3"/>
        <w:keepNext w:val="0"/>
        <w:keepLines w:val="0"/>
        <w:spacing w:before="0" w:after="0" w:line="560" w:lineRule="exact"/>
        <w:ind w:firstLine="640" w:firstLineChars="200"/>
        <w:jc w:val="both"/>
        <w:rPr>
          <w:rFonts w:ascii="Times New Roman" w:hAnsi="Times New Roman" w:eastAsia="黑体"/>
          <w:b w:val="0"/>
          <w:color w:val="000000"/>
          <w:sz w:val="32"/>
          <w:szCs w:val="32"/>
        </w:rPr>
      </w:pPr>
      <w:bookmarkStart w:id="320" w:name="_Toc24737"/>
      <w:bookmarkStart w:id="321" w:name="_Toc3122"/>
      <w:bookmarkStart w:id="322" w:name="_Toc26192"/>
      <w:r>
        <w:rPr>
          <w:rFonts w:ascii="Times New Roman" w:hAnsi="Times New Roman" w:eastAsia="黑体"/>
          <w:b w:val="0"/>
          <w:color w:val="000000"/>
          <w:sz w:val="32"/>
          <w:szCs w:val="32"/>
        </w:rPr>
        <w:t>四、总体布局</w:t>
      </w:r>
      <w:bookmarkEnd w:id="320"/>
      <w:bookmarkEnd w:id="321"/>
      <w:bookmarkEnd w:id="322"/>
    </w:p>
    <w:p>
      <w:pPr>
        <w:pStyle w:val="4"/>
        <w:keepNext w:val="0"/>
        <w:keepLines w:val="0"/>
        <w:spacing w:before="0" w:after="0"/>
        <w:ind w:firstLine="642" w:firstLineChars="200"/>
        <w:rPr>
          <w:rFonts w:ascii="Times New Roman" w:hAnsi="Times New Roman" w:eastAsia="楷体_GB2312"/>
          <w:color w:val="000000"/>
          <w:szCs w:val="32"/>
        </w:rPr>
      </w:pPr>
      <w:bookmarkStart w:id="323" w:name="_Toc6514"/>
      <w:bookmarkStart w:id="324" w:name="_Toc24328"/>
      <w:r>
        <w:rPr>
          <w:rFonts w:ascii="Times New Roman" w:hAnsi="Times New Roman" w:eastAsia="楷体_GB2312"/>
          <w:color w:val="000000"/>
          <w:szCs w:val="32"/>
        </w:rPr>
        <w:t>（一）乡村体系</w:t>
      </w:r>
      <w:bookmarkEnd w:id="323"/>
      <w:bookmarkEnd w:id="324"/>
    </w:p>
    <w:p>
      <w:pPr>
        <w:adjustRightInd w:val="0"/>
        <w:snapToGrid w:val="0"/>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加快县域内城乡融合发展，强化县城综合服务能力，增强产业发展、公共服务、吸纳就业、人口集聚功能，辐射带动乡村发展，以城带镇、以镇促村，推动城镇村联动融合发展，构建乡镇、中心村、自然村三个等级的乡村居住体系。把乡镇建成服务农民的区域中心；把中心村建成乡村基本公共服务体系完善的重要载体；把自然村建成具有浓郁乡村特色的基层单元。原则上逐步引导皖北片区中心村集聚人口规模不少于1000人，按照中心村平均服务常住人口规模（皖北片区3000人左右），评估现有中心村设施服务和共享利用情况，根据建设标准确定“十四五”中心村配套设施，保障基本公共服务均等化，提高设施综合利用率。</w:t>
      </w:r>
    </w:p>
    <w:p>
      <w:pPr>
        <w:pStyle w:val="4"/>
        <w:keepNext w:val="0"/>
        <w:keepLines w:val="0"/>
        <w:spacing w:before="0" w:after="0"/>
        <w:ind w:firstLine="642" w:firstLineChars="200"/>
        <w:rPr>
          <w:rFonts w:ascii="Times New Roman" w:hAnsi="Times New Roman" w:eastAsia="楷体_GB2312"/>
          <w:color w:val="000000"/>
          <w:szCs w:val="32"/>
        </w:rPr>
      </w:pPr>
      <w:bookmarkStart w:id="325" w:name="_Toc3046"/>
      <w:bookmarkStart w:id="326" w:name="_Toc10478"/>
      <w:r>
        <w:rPr>
          <w:rFonts w:ascii="Times New Roman" w:hAnsi="Times New Roman" w:eastAsia="楷体_GB2312"/>
          <w:color w:val="000000"/>
          <w:szCs w:val="32"/>
        </w:rPr>
        <w:t>（二）空间分区</w:t>
      </w:r>
      <w:bookmarkEnd w:id="325"/>
      <w:bookmarkEnd w:id="326"/>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依据地理和经济条件，</w:t>
      </w:r>
      <w:r>
        <w:rPr>
          <w:rFonts w:hint="eastAsia" w:ascii="Times New Roman" w:hAnsi="Times New Roman" w:eastAsia="仿宋_GB2312"/>
          <w:color w:val="000000"/>
          <w:sz w:val="32"/>
          <w:szCs w:val="32"/>
        </w:rPr>
        <w:t>全</w:t>
      </w:r>
      <w:r>
        <w:rPr>
          <w:rFonts w:ascii="Times New Roman" w:hAnsi="Times New Roman" w:eastAsia="仿宋_GB2312"/>
          <w:color w:val="000000"/>
          <w:sz w:val="32"/>
          <w:szCs w:val="32"/>
        </w:rPr>
        <w:t>市美丽乡村建设以农村人居环境整治和现代农业发展为重点，打造更具田园风光的平原地区乡村风貌。建筑风貌宜采用中原地区风格。注重保护淮北民居等皖北传统建筑类型；建筑形式敦实、厚重、质朴、方整、规则，庭院围合感强，墙体色彩深厚；屋顶坡度平缓，以深灰色砖瓦为主，沉稳大方。</w:t>
      </w:r>
    </w:p>
    <w:p>
      <w:pPr>
        <w:pStyle w:val="4"/>
        <w:keepNext w:val="0"/>
        <w:keepLines w:val="0"/>
        <w:spacing w:before="0" w:after="0"/>
        <w:ind w:firstLine="642" w:firstLineChars="200"/>
        <w:rPr>
          <w:rFonts w:ascii="Times New Roman" w:hAnsi="Times New Roman" w:eastAsia="楷体_GB2312"/>
          <w:color w:val="000000"/>
          <w:szCs w:val="32"/>
        </w:rPr>
      </w:pPr>
      <w:bookmarkStart w:id="327" w:name="_Toc17123"/>
      <w:bookmarkStart w:id="328" w:name="_Toc9666"/>
      <w:r>
        <w:rPr>
          <w:rFonts w:ascii="Times New Roman" w:hAnsi="Times New Roman" w:eastAsia="楷体_GB2312"/>
          <w:color w:val="000000"/>
          <w:szCs w:val="32"/>
        </w:rPr>
        <w:t>（三）分类推进</w:t>
      </w:r>
      <w:bookmarkEnd w:id="327"/>
      <w:bookmarkEnd w:id="328"/>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完善村庄分类和布局，根据各地经济发展水平、人均国民生产总值和农村人均可支配收入，分类推进美丽乡村建设。</w:t>
      </w:r>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全域推进类：相山区、烈山区为乡村振兴一类先行示范区，其中，相山区、烈山区全部镇办和杜集区的高岳街道、矿山集街道，濉溪县的濉溪镇、刘桥镇为一类先行示范镇（街道），对标</w:t>
      </w:r>
      <w:r>
        <w:rPr>
          <w:rFonts w:ascii="Times New Roman" w:hAnsi="Times New Roman" w:eastAsia="仿宋_GB2312"/>
          <w:color w:val="000000"/>
          <w:spacing w:val="-6"/>
          <w:sz w:val="32"/>
          <w:szCs w:val="32"/>
        </w:rPr>
        <w:t>长三角先进地区，高起点高标准推进乡村振兴，打造乡村振兴典范。</w:t>
      </w:r>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串点成带类:濉溪县、杜集区串点成带推进美丽乡村建设，沿县域主要发展廊道和特色旅游线路上的聚集提升类村庄美丽乡村建设全覆盖，特色保护类村庄得到全面保护，在巩固脱贫攻坚成果的基础上强力推进乡村振兴，达到或超过全省平均水平。</w:t>
      </w:r>
      <w:bookmarkStart w:id="329" w:name="_Toc20608"/>
      <w:bookmarkStart w:id="330" w:name="_Toc31651"/>
      <w:bookmarkStart w:id="331" w:name="_Toc7186"/>
    </w:p>
    <w:p>
      <w:pPr>
        <w:spacing w:before="0" w:after="0"/>
        <w:ind w:firstLine="640"/>
        <w:rPr>
          <w:rFonts w:ascii="Times New Roman" w:hAnsi="Times New Roman" w:eastAsia="黑体"/>
          <w:color w:val="000000"/>
          <w:sz w:val="32"/>
          <w:szCs w:val="32"/>
        </w:rPr>
      </w:pPr>
      <w:r>
        <w:rPr>
          <w:rFonts w:ascii="Times New Roman" w:hAnsi="Times New Roman" w:eastAsia="黑体"/>
          <w:color w:val="000000"/>
          <w:sz w:val="32"/>
          <w:szCs w:val="32"/>
        </w:rPr>
        <w:t>五、重点任务</w:t>
      </w:r>
      <w:bookmarkEnd w:id="329"/>
      <w:bookmarkEnd w:id="330"/>
      <w:bookmarkEnd w:id="331"/>
      <w:bookmarkStart w:id="332" w:name="_Toc16663"/>
      <w:bookmarkStart w:id="333" w:name="_Toc1371"/>
      <w:bookmarkStart w:id="334" w:name="_Toc23171"/>
    </w:p>
    <w:p>
      <w:pPr>
        <w:pStyle w:val="4"/>
        <w:keepNext w:val="0"/>
        <w:keepLines w:val="0"/>
        <w:spacing w:before="0" w:after="0"/>
        <w:ind w:firstLine="642" w:firstLineChars="200"/>
        <w:rPr>
          <w:rFonts w:ascii="Times New Roman" w:hAnsi="Times New Roman" w:eastAsia="楷体_GB2312"/>
          <w:color w:val="000000"/>
          <w:szCs w:val="32"/>
        </w:rPr>
      </w:pPr>
      <w:r>
        <w:rPr>
          <w:rFonts w:ascii="Times New Roman" w:hAnsi="Times New Roman" w:eastAsia="楷体_GB2312"/>
          <w:color w:val="000000"/>
          <w:szCs w:val="32"/>
        </w:rPr>
        <w:t>（一）健全“多规合一”村庄规划</w:t>
      </w:r>
      <w:bookmarkEnd w:id="332"/>
      <w:bookmarkEnd w:id="333"/>
      <w:bookmarkEnd w:id="334"/>
      <w:bookmarkStart w:id="335" w:name="_Toc21362"/>
      <w:bookmarkStart w:id="336" w:name="_Toc22242"/>
      <w:bookmarkStart w:id="337" w:name="_Toc13289"/>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县级人民政府和乡镇人民政府应按照尊重农民意愿、方便群众生产生活、保持乡村功能和特色的原则，优化本行政区域内乡村发展布局，将村庄分类细化到自然村，重点明确保留类、搬迁撤并类自然村及新建居民点数量和布局。村庄分类要充分征求村民意见并公示，严格规范村庄撤并，严禁违背农民意愿、违反法定程序撤并村庄。根据不同类型村庄规划发展需要，依据《安徽省村庄规划三年行动计划（2021－2023 年）》安排，积极有序推进村庄规划编制，2023年底前做到应编尽编；紧邻开发边界的城郊融合类村庄，可与城镇开发边界内的城镇建设用地统一编制城镇控制性详细规划。搬迁撤并类村庄原则上不单独编制村庄规划，纳入乡镇国土空间规划或其他村庄规划，明确管控规则，统筹谋划布局搬迁村民安置用地等。同时，村庄规划编制要以人为本，全面征求村民意见，符合乡村实际、体现乡村特色。加强规划管控，严格实施乡村建设规划许可管理，切实维护规划的权威性，强化规划的约束力，美丽乡村建设等各类村庄建设开发活动，应当符合村庄规划要求。纳入2021年、2022年美丽乡村建设任务的村庄先行编制村庄建设方案，明确村庄建设边界、宅基地建设范围、重点建设项目（工程）、重点区域规划总平面图等内容，后期统筹纳入村庄规划。</w:t>
      </w:r>
    </w:p>
    <w:p>
      <w:pPr>
        <w:pStyle w:val="4"/>
        <w:keepNext w:val="0"/>
        <w:keepLines w:val="0"/>
        <w:spacing w:before="0" w:after="0"/>
        <w:ind w:firstLine="642" w:firstLineChars="200"/>
        <w:rPr>
          <w:rFonts w:ascii="Times New Roman" w:hAnsi="Times New Roman" w:eastAsia="楷体_GB2312"/>
          <w:color w:val="000000"/>
          <w:szCs w:val="32"/>
        </w:rPr>
      </w:pPr>
      <w:r>
        <w:rPr>
          <w:rFonts w:ascii="Times New Roman" w:hAnsi="Times New Roman" w:eastAsia="楷体_GB2312"/>
          <w:color w:val="000000"/>
          <w:szCs w:val="32"/>
        </w:rPr>
        <w:t>（二）提升外延乡镇服务功能</w:t>
      </w:r>
      <w:bookmarkEnd w:id="335"/>
      <w:bookmarkEnd w:id="336"/>
      <w:bookmarkEnd w:id="337"/>
    </w:p>
    <w:p>
      <w:pPr>
        <w:pStyle w:val="26"/>
        <w:spacing w:before="0" w:after="0"/>
        <w:ind w:left="0" w:leftChars="0" w:firstLine="640"/>
        <w:rPr>
          <w:rFonts w:eastAsia="仿宋_GB2312"/>
          <w:color w:val="000000"/>
          <w:kern w:val="2"/>
          <w:sz w:val="32"/>
          <w:szCs w:val="32"/>
        </w:rPr>
      </w:pPr>
      <w:r>
        <w:rPr>
          <w:rFonts w:eastAsia="仿宋_GB2312"/>
          <w:color w:val="000000"/>
          <w:kern w:val="2"/>
          <w:sz w:val="32"/>
          <w:szCs w:val="32"/>
        </w:rPr>
        <w:t>按照《乡镇政府驻地建成区整治建设导则》，全面提升乡镇政府驻地建成区建设水平，提升生活污水处理、建筑风貌、特色景观，推进治脏、治乱、加强基础设施建设和公共服务配套“两治理一加强”向乡镇政府驻地建成区</w:t>
      </w:r>
      <w:r>
        <w:rPr>
          <w:rFonts w:hint="eastAsia" w:eastAsia="仿宋_GB2312"/>
          <w:color w:val="000000"/>
          <w:kern w:val="2"/>
          <w:sz w:val="32"/>
          <w:szCs w:val="32"/>
        </w:rPr>
        <w:t>周边</w:t>
      </w:r>
      <w:r>
        <w:rPr>
          <w:rFonts w:eastAsia="仿宋_GB2312"/>
          <w:color w:val="000000"/>
          <w:kern w:val="2"/>
          <w:sz w:val="32"/>
          <w:szCs w:val="32"/>
        </w:rPr>
        <w:t>村庄覆盖延伸，实现基本公共服务功能均等化。</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2" w:type="dxa"/>
            <w:vAlign w:val="center"/>
          </w:tcPr>
          <w:p>
            <w:pPr>
              <w:spacing w:before="0" w:after="0" w:line="480" w:lineRule="exact"/>
              <w:ind w:firstLine="562"/>
              <w:rPr>
                <w:rFonts w:ascii="Times New Roman" w:hAnsi="Times New Roman" w:eastAsia="仿宋_GB2312"/>
                <w:b/>
                <w:color w:val="000000"/>
                <w:sz w:val="28"/>
                <w:szCs w:val="28"/>
              </w:rPr>
            </w:pPr>
            <w:r>
              <w:rPr>
                <w:rFonts w:ascii="Times New Roman" w:hAnsi="Times New Roman" w:eastAsia="仿宋_GB2312"/>
                <w:b/>
                <w:color w:val="000000"/>
                <w:sz w:val="28"/>
                <w:szCs w:val="28"/>
              </w:rPr>
              <w:t>专栏1乡镇政府驻地建成区服务功能提升外延工程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5" w:hRule="atLeast"/>
          <w:jc w:val="center"/>
        </w:trPr>
        <w:tc>
          <w:tcPr>
            <w:tcW w:w="8522" w:type="dxa"/>
            <w:vAlign w:val="center"/>
          </w:tcPr>
          <w:p>
            <w:pPr>
              <w:adjustRightInd w:val="0"/>
              <w:snapToGrid w:val="0"/>
              <w:spacing w:before="0" w:after="0" w:line="480" w:lineRule="exact"/>
              <w:ind w:firstLine="562"/>
              <w:rPr>
                <w:rFonts w:ascii="Times New Roman" w:hAnsi="Times New Roman" w:eastAsia="仿宋_GB2312"/>
                <w:snapToGrid w:val="0"/>
                <w:color w:val="000000"/>
                <w:kern w:val="0"/>
                <w:sz w:val="28"/>
                <w:szCs w:val="28"/>
              </w:rPr>
            </w:pPr>
            <w:r>
              <w:rPr>
                <w:rFonts w:ascii="Times New Roman" w:hAnsi="Times New Roman" w:eastAsia="仿宋_GB2312"/>
                <w:b/>
                <w:bCs/>
                <w:snapToGrid w:val="0"/>
                <w:color w:val="000000"/>
                <w:kern w:val="0"/>
                <w:sz w:val="28"/>
                <w:szCs w:val="28"/>
              </w:rPr>
              <w:t>乡镇政府驻地建成区整治成果提升行动：</w:t>
            </w:r>
            <w:r>
              <w:rPr>
                <w:rFonts w:ascii="Times New Roman" w:hAnsi="Times New Roman" w:eastAsia="仿宋_GB2312"/>
                <w:snapToGrid w:val="0"/>
                <w:color w:val="000000"/>
                <w:kern w:val="0"/>
                <w:sz w:val="28"/>
                <w:szCs w:val="28"/>
              </w:rPr>
              <w:t>持续巩固乡镇政府驻地建成区整治成果，并着重加强生活污水处理、建筑风貌、特色景观建设。</w:t>
            </w:r>
            <w:r>
              <w:rPr>
                <w:rFonts w:ascii="Times New Roman" w:hAnsi="Times New Roman" w:eastAsia="仿宋_GB2312"/>
                <w:b/>
                <w:bCs/>
                <w:snapToGrid w:val="0"/>
                <w:color w:val="000000"/>
                <w:kern w:val="0"/>
                <w:sz w:val="28"/>
                <w:szCs w:val="28"/>
              </w:rPr>
              <w:t>1.提升风貌景观。</w:t>
            </w:r>
            <w:r>
              <w:rPr>
                <w:rFonts w:ascii="Times New Roman" w:hAnsi="Times New Roman" w:eastAsia="仿宋_GB2312"/>
                <w:snapToGrid w:val="0"/>
                <w:color w:val="000000"/>
                <w:kern w:val="0"/>
                <w:sz w:val="28"/>
                <w:szCs w:val="28"/>
              </w:rPr>
              <w:t>对主要商业街道沿街质量尚好、门窗墙面均未破损的建筑，采取清洗、去污除垢等整治措施；对立面有一定破损、受广告牌等其它构筑物遮挡、使用不当的建筑立面，应结合屋顶、墙身、基座、空调机架、店招店牌、户外广告等进行整治改造，保证建筑外观的整体性，创造良好的商业环境。历史街区传统建筑整治，要尊重历史原貌，以清洗、修葺为主；与建筑风格不协调的建筑，宜专门设计改造方案，进行建筑外观整治。</w:t>
            </w:r>
            <w:r>
              <w:rPr>
                <w:rFonts w:ascii="Times New Roman" w:hAnsi="Times New Roman" w:eastAsia="仿宋_GB2312"/>
                <w:b/>
                <w:bCs/>
                <w:snapToGrid w:val="0"/>
                <w:color w:val="000000"/>
                <w:kern w:val="0"/>
                <w:sz w:val="28"/>
                <w:szCs w:val="28"/>
              </w:rPr>
              <w:t>2.提升公共空间。</w:t>
            </w:r>
            <w:r>
              <w:rPr>
                <w:rFonts w:ascii="Times New Roman" w:hAnsi="Times New Roman" w:eastAsia="仿宋_GB2312"/>
                <w:snapToGrid w:val="0"/>
                <w:color w:val="000000"/>
                <w:kern w:val="0"/>
                <w:sz w:val="28"/>
                <w:szCs w:val="28"/>
              </w:rPr>
              <w:t>滨水空间提倡自然生态设计，推广植物造景，慎用大面积的硬质广场、景观雕塑、修剪绿篱等。有条件的河道宜采用自然缓坡、水下石坎、松木桩、自然叠石等自然生态驳岸形式，推广滨河绿道建设。公园广场加强绿化环境塑造，采取自然式的植物配置手法，以乡土植物群落为主，突出植物造景，满足居民亲近自然的需求。因地制宜，布置环境小品设施，突出地方特色，满足居民休闲娱乐、文化健身的需求。街头游园应以植物造景为主。选择耐踩踏、没有毒性、病虫害少、有地方特色的植物，主干道两侧宜种植绿篱、花灌木，起隔离作用，但应留出透视空间，让行人观赏绿地中的美景。</w:t>
            </w:r>
            <w:r>
              <w:rPr>
                <w:rFonts w:ascii="Times New Roman" w:hAnsi="Times New Roman" w:eastAsia="仿宋_GB2312"/>
                <w:b/>
                <w:bCs/>
                <w:snapToGrid w:val="0"/>
                <w:color w:val="000000"/>
                <w:kern w:val="0"/>
                <w:sz w:val="28"/>
                <w:szCs w:val="28"/>
              </w:rPr>
              <w:t>3.提升生活污水处理能力。</w:t>
            </w:r>
            <w:r>
              <w:rPr>
                <w:rFonts w:ascii="Times New Roman" w:hAnsi="Times New Roman" w:eastAsia="仿宋_GB2312"/>
                <w:snapToGrid w:val="0"/>
                <w:color w:val="000000"/>
                <w:kern w:val="0"/>
                <w:sz w:val="28"/>
                <w:szCs w:val="28"/>
              </w:rPr>
              <w:t>实施乡镇政府驻地生活污水处理设施提质增效。加强排水管网系统建设。新建居民小区应实行雨污分流。污水管网覆盖不到的区域，改水改厕后生活污水可以就地就近资源化利用。有条件地区的周边农村污水应纳入乡镇建成区污水排放系统，污水经处理后达标排放。</w:t>
            </w:r>
          </w:p>
          <w:p>
            <w:pPr>
              <w:pStyle w:val="26"/>
              <w:spacing w:before="0" w:after="0" w:line="480" w:lineRule="exact"/>
              <w:ind w:left="0" w:leftChars="0" w:firstLine="562"/>
              <w:rPr>
                <w:rFonts w:eastAsia="仿宋_GB2312"/>
                <w:color w:val="000000"/>
                <w:sz w:val="28"/>
                <w:szCs w:val="28"/>
              </w:rPr>
            </w:pPr>
            <w:r>
              <w:rPr>
                <w:rFonts w:eastAsia="仿宋_GB2312"/>
                <w:b/>
                <w:bCs/>
                <w:snapToGrid w:val="0"/>
                <w:color w:val="000000"/>
                <w:sz w:val="28"/>
                <w:szCs w:val="28"/>
              </w:rPr>
              <w:t>乡镇政府驻地建成区周边村庄覆盖延伸行动：</w:t>
            </w:r>
            <w:r>
              <w:rPr>
                <w:rFonts w:eastAsia="仿宋_GB2312"/>
                <w:snapToGrid w:val="0"/>
                <w:color w:val="000000"/>
                <w:sz w:val="28"/>
                <w:szCs w:val="28"/>
              </w:rPr>
              <w:t>推进“两治理一加强”向城乡结合部村庄、乡镇政府驻地建成区外延村庄覆盖延伸。</w:t>
            </w:r>
            <w:r>
              <w:rPr>
                <w:rFonts w:eastAsia="仿宋_GB2312"/>
                <w:b/>
                <w:bCs/>
                <w:snapToGrid w:val="0"/>
                <w:color w:val="000000"/>
                <w:sz w:val="28"/>
                <w:szCs w:val="28"/>
              </w:rPr>
              <w:t>1.治脏。</w:t>
            </w:r>
            <w:r>
              <w:rPr>
                <w:rFonts w:eastAsia="仿宋_GB2312"/>
                <w:snapToGrid w:val="0"/>
                <w:color w:val="000000"/>
                <w:sz w:val="28"/>
                <w:szCs w:val="28"/>
              </w:rPr>
              <w:t>整治村庄道路、房前屋后、背街小巷、河塘沟渠、公共空间及周边等区域环境卫生。健全完善村庄环卫保洁长效机制，进一步提升农村生活垃圾治理水平。同步开展建筑垃圾集中整治，防止城市垃圾“下乡”造成二次污染。</w:t>
            </w:r>
            <w:r>
              <w:rPr>
                <w:rFonts w:eastAsia="仿宋_GB2312"/>
                <w:b/>
                <w:bCs/>
                <w:snapToGrid w:val="0"/>
                <w:color w:val="000000"/>
                <w:sz w:val="28"/>
                <w:szCs w:val="28"/>
              </w:rPr>
              <w:t>2.治乱。</w:t>
            </w:r>
            <w:r>
              <w:rPr>
                <w:rFonts w:eastAsia="仿宋_GB2312"/>
                <w:snapToGrid w:val="0"/>
                <w:color w:val="000000"/>
                <w:sz w:val="28"/>
                <w:szCs w:val="28"/>
              </w:rPr>
              <w:t>治理乱搭乱建，严格按规划规范建房审批，加强违法建设整治，依法拆除违法搭建。治理乱停乱放，完善交通标识、导行设施和停车场地，纠正不文明交通行为。治理乱摆乱占，纠正占道摆摊、店外经营现象，清理、规范建筑材料堆场、煤矸石场、废品收购站，同步开展建筑垃圾集中整治。治理乱拉乱挂，整治主次干道杆线，规范过街横幅、店招店牌和户外广告设置。</w:t>
            </w:r>
            <w:r>
              <w:rPr>
                <w:rFonts w:eastAsia="仿宋_GB2312"/>
                <w:b/>
                <w:bCs/>
                <w:snapToGrid w:val="0"/>
                <w:color w:val="000000"/>
                <w:sz w:val="28"/>
                <w:szCs w:val="28"/>
              </w:rPr>
              <w:t>3.强基础。</w:t>
            </w:r>
            <w:r>
              <w:rPr>
                <w:rFonts w:eastAsia="仿宋_GB2312"/>
                <w:snapToGrid w:val="0"/>
                <w:color w:val="000000"/>
                <w:sz w:val="28"/>
                <w:szCs w:val="28"/>
              </w:rPr>
              <w:t>推动乡镇政府驻地建成区周边村庄水、电、路、气、通信、广播电视、物流等基础设施提档升级，促进城乡基础设施互联互通、共建共享。持续推进城乡基本公共服务均等化，促进乡镇政府驻地建成区的公共教育、医疗卫生、公共文化、社会保障、养老设施、殡葬设施等资源向周边村庄覆盖延伸。全面提高抵御各类灾害综合防范能力。因地制宜改造或修建居民文化健身场所。加强信息通信基础设施建设。提升绿化水平，重点强化道路沿线、河塘沟渠沿岸、公共空间等主要节点及庭院内外、房前屋后绿化，以乡土树种为主，植绿见绿，见缝插绿，鼓励开展“五小园”、“微景观”建设。</w:t>
            </w:r>
          </w:p>
        </w:tc>
      </w:tr>
    </w:tbl>
    <w:p>
      <w:pPr>
        <w:pStyle w:val="4"/>
        <w:keepNext w:val="0"/>
        <w:keepLines w:val="0"/>
        <w:spacing w:before="0" w:after="0"/>
        <w:ind w:firstLine="642" w:firstLineChars="200"/>
        <w:rPr>
          <w:rFonts w:ascii="Times New Roman" w:hAnsi="Times New Roman" w:eastAsia="楷体_GB2312"/>
          <w:color w:val="000000"/>
          <w:szCs w:val="32"/>
        </w:rPr>
      </w:pPr>
      <w:bookmarkStart w:id="338" w:name="_Toc10531"/>
      <w:bookmarkStart w:id="339" w:name="_Toc10360"/>
      <w:bookmarkStart w:id="340" w:name="_Toc20859"/>
      <w:r>
        <w:rPr>
          <w:rFonts w:ascii="Times New Roman" w:hAnsi="Times New Roman" w:eastAsia="楷体_GB2312"/>
          <w:color w:val="000000"/>
          <w:szCs w:val="32"/>
        </w:rPr>
        <w:t>（三）加强中心村升级建设</w:t>
      </w:r>
      <w:bookmarkEnd w:id="338"/>
      <w:bookmarkEnd w:id="339"/>
      <w:bookmarkEnd w:id="340"/>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继续把中心村建设作为深化美丽乡村建设的重要任务。适应新的发展要求，整体规划建设特色产业和旅游名村，在美丽乡村“标准版”的基础上，增加“产业发展”和“长效管护机制”等内容，打造美丽乡村“升级版”。重点开展垃圾处理、改厕治污、</w:t>
      </w:r>
      <w:r>
        <w:rPr>
          <w:rFonts w:hint="eastAsia" w:ascii="Times New Roman" w:hAnsi="Times New Roman" w:eastAsia="仿宋_GB2312"/>
          <w:color w:val="000000"/>
          <w:sz w:val="32"/>
          <w:szCs w:val="32"/>
        </w:rPr>
        <w:t>供水保障</w:t>
      </w:r>
      <w:r>
        <w:rPr>
          <w:rFonts w:ascii="Times New Roman" w:hAnsi="Times New Roman" w:eastAsia="仿宋_GB2312"/>
          <w:color w:val="000000"/>
          <w:sz w:val="32"/>
          <w:szCs w:val="32"/>
        </w:rPr>
        <w:t>、庭院环境整治提升、道路畅通、河沟渠塘疏浚清淤、公共服务设施建设、公共环境整治提升、产业发展、长效管护机制等</w:t>
      </w:r>
      <w:r>
        <w:rPr>
          <w:rFonts w:hint="eastAsia" w:ascii="Times New Roman" w:hAnsi="Times New Roman" w:eastAsia="仿宋_GB2312"/>
          <w:color w:val="000000"/>
          <w:sz w:val="32"/>
          <w:szCs w:val="32"/>
        </w:rPr>
        <w:t>十</w:t>
      </w:r>
      <w:r>
        <w:rPr>
          <w:rFonts w:ascii="Times New Roman" w:hAnsi="Times New Roman" w:eastAsia="仿宋_GB2312"/>
          <w:color w:val="000000"/>
          <w:sz w:val="32"/>
          <w:szCs w:val="32"/>
        </w:rPr>
        <w:t>项升级建设任务。</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2" w:type="dxa"/>
            <w:vAlign w:val="center"/>
          </w:tcPr>
          <w:p>
            <w:pPr>
              <w:spacing w:before="0" w:after="0" w:line="480" w:lineRule="exact"/>
              <w:ind w:firstLine="562"/>
              <w:rPr>
                <w:rFonts w:ascii="Times New Roman" w:hAnsi="Times New Roman" w:eastAsia="仿宋_GB2312"/>
                <w:b/>
                <w:color w:val="000000"/>
                <w:sz w:val="28"/>
                <w:szCs w:val="32"/>
              </w:rPr>
            </w:pPr>
            <w:r>
              <w:rPr>
                <w:rFonts w:ascii="Times New Roman" w:hAnsi="Times New Roman" w:eastAsia="仿宋_GB2312"/>
                <w:b/>
                <w:color w:val="000000"/>
                <w:sz w:val="28"/>
                <w:szCs w:val="32"/>
              </w:rPr>
              <w:t>专栏2 中心村升级建设工程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0" w:hRule="atLeast"/>
          <w:jc w:val="center"/>
        </w:trPr>
        <w:tc>
          <w:tcPr>
            <w:tcW w:w="8522" w:type="dxa"/>
            <w:vAlign w:val="center"/>
          </w:tcPr>
          <w:p>
            <w:pPr>
              <w:adjustRightInd w:val="0"/>
              <w:snapToGrid w:val="0"/>
              <w:spacing w:before="0" w:after="0" w:line="480" w:lineRule="exact"/>
              <w:ind w:firstLine="562"/>
              <w:rPr>
                <w:rFonts w:ascii="Times New Roman" w:hAnsi="Times New Roman" w:eastAsia="仿宋_GB2312"/>
                <w:snapToGrid w:val="0"/>
                <w:color w:val="000000"/>
                <w:kern w:val="0"/>
                <w:sz w:val="28"/>
                <w:szCs w:val="28"/>
              </w:rPr>
            </w:pPr>
            <w:r>
              <w:rPr>
                <w:rFonts w:ascii="Times New Roman" w:hAnsi="Times New Roman" w:eastAsia="仿宋_GB2312"/>
                <w:b/>
                <w:bCs/>
                <w:snapToGrid w:val="0"/>
                <w:color w:val="000000"/>
                <w:kern w:val="0"/>
                <w:sz w:val="28"/>
                <w:szCs w:val="28"/>
              </w:rPr>
              <w:t>生活垃圾治理。</w:t>
            </w:r>
            <w:r>
              <w:rPr>
                <w:rFonts w:ascii="Times New Roman" w:hAnsi="Times New Roman" w:eastAsia="仿宋_GB2312"/>
                <w:snapToGrid w:val="0"/>
                <w:color w:val="000000"/>
                <w:kern w:val="0"/>
                <w:sz w:val="28"/>
                <w:szCs w:val="28"/>
              </w:rPr>
              <w:t>进一步建立健全农村生活垃圾收转运处置体系，确保生活垃圾及时“收得起来、运得出去、处理得掉”。积极推进农村生活垃圾源头分类减量和资源化利用，易腐垃圾就地就近堆肥（沤肥）还田，有毒有害垃圾单独收集贮存和处置，其他生活垃圾收运至市县生活垃圾无害化处理设施进行处理，可回收垃圾纳入供销回收利用体系。</w:t>
            </w:r>
          </w:p>
          <w:p>
            <w:pPr>
              <w:adjustRightInd w:val="0"/>
              <w:snapToGrid w:val="0"/>
              <w:spacing w:before="0" w:after="0" w:line="480" w:lineRule="exact"/>
              <w:ind w:firstLine="562"/>
              <w:rPr>
                <w:rFonts w:ascii="Times New Roman" w:hAnsi="Times New Roman" w:eastAsia="仿宋_GB2312"/>
                <w:snapToGrid w:val="0"/>
                <w:color w:val="000000"/>
                <w:kern w:val="0"/>
                <w:sz w:val="28"/>
                <w:szCs w:val="28"/>
              </w:rPr>
            </w:pPr>
            <w:r>
              <w:rPr>
                <w:rFonts w:ascii="Times New Roman" w:hAnsi="Times New Roman" w:eastAsia="仿宋_GB2312"/>
                <w:b/>
                <w:bCs/>
                <w:snapToGrid w:val="0"/>
                <w:color w:val="000000"/>
                <w:kern w:val="0"/>
                <w:sz w:val="28"/>
                <w:szCs w:val="28"/>
              </w:rPr>
              <w:t>改厕治污。</w:t>
            </w:r>
            <w:r>
              <w:rPr>
                <w:rFonts w:ascii="Times New Roman" w:hAnsi="Times New Roman" w:eastAsia="仿宋_GB2312"/>
                <w:snapToGrid w:val="0"/>
                <w:color w:val="000000"/>
                <w:kern w:val="0"/>
                <w:sz w:val="28"/>
                <w:szCs w:val="28"/>
              </w:rPr>
              <w:t>坚持因地制宜、分类施策，积极推动中心村无害化卫生厕所改造与生活污水治理一体化推进。因地制宜推进厕所粪污与农村生活污水分散处理、集中处理与纳入污水管网统一处理，鼓励联户、整村、村镇一体化处理。普及卫生户厕建设，选择适宜改厕模式，鼓励进院入室，切实提高改厕质量。鼓励就地就近就农进行无害化处理和资源化利用。积极推进雨污分流。</w:t>
            </w:r>
          </w:p>
          <w:p>
            <w:pPr>
              <w:adjustRightInd w:val="0"/>
              <w:snapToGrid w:val="0"/>
              <w:spacing w:before="0" w:after="0" w:line="480" w:lineRule="exact"/>
              <w:ind w:firstLine="562"/>
              <w:rPr>
                <w:rFonts w:ascii="Times New Roman" w:hAnsi="Times New Roman" w:eastAsia="仿宋_GB2312"/>
                <w:snapToGrid w:val="0"/>
                <w:color w:val="000000"/>
                <w:kern w:val="0"/>
                <w:sz w:val="28"/>
                <w:szCs w:val="28"/>
              </w:rPr>
            </w:pPr>
            <w:r>
              <w:rPr>
                <w:rFonts w:ascii="Times New Roman" w:hAnsi="Times New Roman" w:eastAsia="仿宋_GB2312"/>
                <w:b/>
                <w:bCs/>
                <w:snapToGrid w:val="0"/>
                <w:color w:val="000000"/>
                <w:kern w:val="0"/>
                <w:sz w:val="28"/>
                <w:szCs w:val="28"/>
              </w:rPr>
              <w:t>供水保障。</w:t>
            </w:r>
            <w:r>
              <w:rPr>
                <w:rFonts w:ascii="Times New Roman" w:hAnsi="Times New Roman" w:eastAsia="仿宋_GB2312"/>
                <w:snapToGrid w:val="0"/>
                <w:color w:val="000000"/>
                <w:kern w:val="0"/>
                <w:sz w:val="28"/>
                <w:szCs w:val="28"/>
              </w:rPr>
              <w:t>进一步完善农村供水工程体系，有条件的地区推进城乡供水一体化建设，提升农村供水保障水平，水量、水质满足相关标准和生活需求。</w:t>
            </w:r>
          </w:p>
          <w:p>
            <w:pPr>
              <w:adjustRightInd w:val="0"/>
              <w:snapToGrid w:val="0"/>
              <w:spacing w:before="0" w:after="0" w:line="480" w:lineRule="exact"/>
              <w:ind w:firstLine="562"/>
              <w:rPr>
                <w:rFonts w:ascii="Times New Roman" w:hAnsi="Times New Roman" w:eastAsia="仿宋_GB2312"/>
                <w:b/>
                <w:bCs/>
                <w:snapToGrid w:val="0"/>
                <w:color w:val="000000"/>
                <w:kern w:val="0"/>
                <w:sz w:val="28"/>
                <w:szCs w:val="28"/>
              </w:rPr>
            </w:pPr>
            <w:r>
              <w:rPr>
                <w:rFonts w:ascii="Times New Roman" w:hAnsi="Times New Roman" w:eastAsia="仿宋_GB2312"/>
                <w:b/>
                <w:bCs/>
                <w:snapToGrid w:val="0"/>
                <w:color w:val="000000"/>
                <w:kern w:val="0"/>
                <w:sz w:val="28"/>
                <w:szCs w:val="28"/>
              </w:rPr>
              <w:t>庭院环境整治提升。</w:t>
            </w:r>
            <w:r>
              <w:rPr>
                <w:rFonts w:ascii="Times New Roman" w:hAnsi="Times New Roman" w:eastAsia="仿宋_GB2312"/>
                <w:snapToGrid w:val="0"/>
                <w:color w:val="000000"/>
                <w:kern w:val="0"/>
                <w:sz w:val="28"/>
                <w:szCs w:val="28"/>
              </w:rPr>
              <w:t>鼓励开展美丽庭院创建，加强房前屋后整治提升，有序放置农业生产生活用具，清理乱搭乱建、乱堆乱放，实现房前屋后干净整洁有序美观。</w:t>
            </w:r>
          </w:p>
          <w:p>
            <w:pPr>
              <w:adjustRightInd w:val="0"/>
              <w:snapToGrid w:val="0"/>
              <w:spacing w:before="0" w:after="0" w:line="480" w:lineRule="exact"/>
              <w:ind w:firstLine="562"/>
              <w:rPr>
                <w:rFonts w:ascii="Times New Roman" w:hAnsi="Times New Roman" w:eastAsia="仿宋_GB2312"/>
                <w:snapToGrid w:val="0"/>
                <w:color w:val="000000"/>
                <w:kern w:val="0"/>
                <w:sz w:val="28"/>
                <w:szCs w:val="28"/>
              </w:rPr>
            </w:pPr>
            <w:r>
              <w:rPr>
                <w:rFonts w:ascii="Times New Roman" w:hAnsi="Times New Roman" w:eastAsia="仿宋_GB2312"/>
                <w:b/>
                <w:bCs/>
                <w:snapToGrid w:val="0"/>
                <w:color w:val="000000"/>
                <w:kern w:val="0"/>
                <w:sz w:val="28"/>
                <w:szCs w:val="28"/>
              </w:rPr>
              <w:t>道路畅通。</w:t>
            </w:r>
            <w:r>
              <w:rPr>
                <w:rFonts w:ascii="Times New Roman" w:hAnsi="Times New Roman" w:eastAsia="仿宋_GB2312"/>
                <w:snapToGrid w:val="0"/>
                <w:color w:val="000000"/>
                <w:kern w:val="0"/>
                <w:sz w:val="28"/>
                <w:szCs w:val="28"/>
              </w:rPr>
              <w:t xml:space="preserve">通村通组、村内主次干道等车行道路基本实现硬化全覆盖，因地制宜选择乡土材质，有序推进村庄人行支巷和入户道路改造建设。 </w:t>
            </w:r>
          </w:p>
          <w:p>
            <w:pPr>
              <w:adjustRightInd w:val="0"/>
              <w:snapToGrid w:val="0"/>
              <w:spacing w:before="0" w:after="0" w:line="480" w:lineRule="exact"/>
              <w:ind w:firstLine="562"/>
              <w:rPr>
                <w:rFonts w:ascii="Times New Roman" w:hAnsi="Times New Roman" w:eastAsia="仿宋_GB2312"/>
                <w:snapToGrid w:val="0"/>
                <w:color w:val="000000"/>
                <w:kern w:val="0"/>
                <w:sz w:val="28"/>
                <w:szCs w:val="28"/>
              </w:rPr>
            </w:pPr>
            <w:r>
              <w:rPr>
                <w:rFonts w:ascii="Times New Roman" w:hAnsi="Times New Roman" w:eastAsia="仿宋_GB2312"/>
                <w:b/>
                <w:bCs/>
                <w:snapToGrid w:val="0"/>
                <w:color w:val="000000"/>
                <w:kern w:val="0"/>
                <w:sz w:val="28"/>
                <w:szCs w:val="28"/>
              </w:rPr>
              <w:t>河沟渠塘疏浚清淤。</w:t>
            </w:r>
            <w:r>
              <w:rPr>
                <w:rFonts w:ascii="Times New Roman" w:hAnsi="Times New Roman" w:eastAsia="仿宋_GB2312"/>
                <w:snapToGrid w:val="0"/>
                <w:color w:val="000000"/>
                <w:kern w:val="0"/>
                <w:sz w:val="28"/>
                <w:szCs w:val="28"/>
              </w:rPr>
              <w:t>整治疏浚河沟渠塘，加强桥涵配套，加大黑臭水体治理力度，实现村内河塘沟渠水系畅通、水清岸绿。</w:t>
            </w:r>
          </w:p>
          <w:p>
            <w:pPr>
              <w:adjustRightInd w:val="0"/>
              <w:snapToGrid w:val="0"/>
              <w:spacing w:before="0" w:after="0" w:line="480" w:lineRule="exact"/>
              <w:ind w:firstLine="562"/>
              <w:rPr>
                <w:rFonts w:ascii="Times New Roman" w:hAnsi="Times New Roman" w:eastAsia="仿宋_GB2312"/>
                <w:snapToGrid w:val="0"/>
                <w:color w:val="000000"/>
                <w:kern w:val="0"/>
                <w:sz w:val="28"/>
                <w:szCs w:val="28"/>
              </w:rPr>
            </w:pPr>
            <w:r>
              <w:rPr>
                <w:rFonts w:ascii="Times New Roman" w:hAnsi="Times New Roman" w:eastAsia="仿宋_GB2312"/>
                <w:b/>
                <w:bCs/>
                <w:snapToGrid w:val="0"/>
                <w:color w:val="000000"/>
                <w:kern w:val="0"/>
                <w:sz w:val="28"/>
                <w:szCs w:val="28"/>
              </w:rPr>
              <w:t>公共服务设施建设。</w:t>
            </w:r>
            <w:r>
              <w:rPr>
                <w:rFonts w:ascii="Times New Roman" w:hAnsi="Times New Roman" w:eastAsia="仿宋_GB2312"/>
                <w:snapToGrid w:val="0"/>
                <w:color w:val="000000"/>
                <w:kern w:val="0"/>
                <w:sz w:val="28"/>
                <w:szCs w:val="28"/>
              </w:rPr>
              <w:t>完善农村教育、医疗卫生、养老服务、殡葬服务、社会保障、文化体育、电商物流等配套设施，加快数字乡村建设，提升基本公共服务水平，加强新时代文明实践点建设。</w:t>
            </w:r>
          </w:p>
          <w:p>
            <w:pPr>
              <w:adjustRightInd w:val="0"/>
              <w:snapToGrid w:val="0"/>
              <w:spacing w:before="0" w:after="0" w:line="480" w:lineRule="exact"/>
              <w:ind w:firstLine="562"/>
              <w:rPr>
                <w:rFonts w:ascii="Times New Roman" w:hAnsi="Times New Roman" w:eastAsia="仿宋_GB2312"/>
                <w:snapToGrid w:val="0"/>
                <w:color w:val="000000"/>
                <w:kern w:val="0"/>
                <w:sz w:val="28"/>
                <w:szCs w:val="28"/>
              </w:rPr>
            </w:pPr>
            <w:r>
              <w:rPr>
                <w:rFonts w:ascii="Times New Roman" w:hAnsi="Times New Roman" w:eastAsia="仿宋_GB2312"/>
                <w:b/>
                <w:bCs/>
                <w:snapToGrid w:val="0"/>
                <w:color w:val="000000"/>
                <w:kern w:val="0"/>
                <w:sz w:val="28"/>
                <w:szCs w:val="28"/>
              </w:rPr>
              <w:t>公共环境整治提升。</w:t>
            </w:r>
            <w:r>
              <w:rPr>
                <w:rFonts w:ascii="Times New Roman" w:hAnsi="Times New Roman" w:eastAsia="仿宋_GB2312"/>
                <w:snapToGrid w:val="0"/>
                <w:color w:val="000000"/>
                <w:kern w:val="0"/>
                <w:sz w:val="28"/>
                <w:szCs w:val="28"/>
              </w:rPr>
              <w:t>梳理规范电力、通信、广播电视等各种线路杆线，通过拆除或妥善处理村庄无功能建筑，整治利用闲置地块，打造村民共管共享公共活动空间，加强农村小集市整治改造。推进村庄绿化亮化美化，因地制宜发展“五小园”、“微景观”等，加强乡村风貌引导和历史文化保护与传承，改善村庄环境，提升村容村貌。</w:t>
            </w:r>
          </w:p>
          <w:p>
            <w:pPr>
              <w:adjustRightInd w:val="0"/>
              <w:snapToGrid w:val="0"/>
              <w:spacing w:before="0" w:after="0" w:line="480" w:lineRule="exact"/>
              <w:ind w:firstLine="562"/>
              <w:rPr>
                <w:rFonts w:ascii="Times New Roman" w:hAnsi="Times New Roman" w:eastAsia="仿宋_GB2312"/>
                <w:snapToGrid w:val="0"/>
                <w:color w:val="000000"/>
                <w:kern w:val="0"/>
                <w:sz w:val="28"/>
                <w:szCs w:val="28"/>
              </w:rPr>
            </w:pPr>
            <w:r>
              <w:rPr>
                <w:rFonts w:ascii="Times New Roman" w:hAnsi="Times New Roman" w:eastAsia="仿宋_GB2312"/>
                <w:b/>
                <w:bCs/>
                <w:snapToGrid w:val="0"/>
                <w:color w:val="000000"/>
                <w:kern w:val="0"/>
                <w:sz w:val="28"/>
                <w:szCs w:val="28"/>
              </w:rPr>
              <w:t>产业发展。</w:t>
            </w:r>
            <w:r>
              <w:rPr>
                <w:rFonts w:ascii="Times New Roman" w:hAnsi="Times New Roman" w:eastAsia="仿宋_GB2312"/>
                <w:snapToGrid w:val="0"/>
                <w:color w:val="000000"/>
                <w:kern w:val="0"/>
                <w:sz w:val="28"/>
                <w:szCs w:val="28"/>
              </w:rPr>
              <w:t>因地制宜发展适合本地的现代农业产业，鼓励发展特色手工业、加工业，加强服务业，发展旅游业、康养产业，形成各具特色的规模产业，提高农民收入，壮大集体经济实力，吸引更多的人才、资本进乡入村。</w:t>
            </w:r>
          </w:p>
          <w:p>
            <w:pPr>
              <w:spacing w:before="0" w:after="0" w:line="480" w:lineRule="exact"/>
              <w:ind w:firstLine="562"/>
              <w:rPr>
                <w:color w:val="000000"/>
              </w:rPr>
            </w:pPr>
            <w:r>
              <w:rPr>
                <w:rFonts w:ascii="Times New Roman" w:hAnsi="Times New Roman" w:eastAsia="仿宋_GB2312"/>
                <w:b/>
                <w:bCs/>
                <w:snapToGrid w:val="0"/>
                <w:color w:val="000000"/>
                <w:kern w:val="0"/>
                <w:sz w:val="28"/>
                <w:szCs w:val="28"/>
              </w:rPr>
              <w:t>长效管护机制。</w:t>
            </w:r>
            <w:r>
              <w:rPr>
                <w:rFonts w:ascii="Times New Roman" w:hAnsi="Times New Roman" w:eastAsia="仿宋_GB2312"/>
                <w:snapToGrid w:val="0"/>
                <w:color w:val="000000"/>
                <w:kern w:val="0"/>
                <w:sz w:val="28"/>
                <w:szCs w:val="28"/>
              </w:rPr>
              <w:t>积极推进专业化、市场化运营管护模式，制定管用实用的村规民约，引导村民自主参与村庄管护，建立有制度、有标准、有队伍、有经费、有激励、有监督的长效管护机制，切实提高乡村治理水平。</w:t>
            </w:r>
          </w:p>
        </w:tc>
      </w:tr>
    </w:tbl>
    <w:p>
      <w:pPr>
        <w:pStyle w:val="4"/>
        <w:keepNext w:val="0"/>
        <w:keepLines w:val="0"/>
        <w:spacing w:before="0" w:after="0"/>
        <w:ind w:firstLine="642" w:firstLineChars="200"/>
        <w:rPr>
          <w:rFonts w:ascii="Times New Roman" w:hAnsi="Times New Roman" w:eastAsia="楷体_GB2312"/>
          <w:color w:val="000000"/>
          <w:szCs w:val="32"/>
        </w:rPr>
      </w:pPr>
      <w:bookmarkStart w:id="341" w:name="_Toc27806"/>
      <w:bookmarkStart w:id="342" w:name="_Toc936"/>
      <w:bookmarkStart w:id="343" w:name="_Toc5728"/>
      <w:r>
        <w:rPr>
          <w:rFonts w:ascii="Times New Roman" w:hAnsi="Times New Roman" w:eastAsia="楷体_GB2312"/>
          <w:color w:val="000000"/>
          <w:szCs w:val="32"/>
        </w:rPr>
        <w:t>（四）推进自然村庄宜居建设</w:t>
      </w:r>
      <w:bookmarkEnd w:id="341"/>
      <w:bookmarkEnd w:id="342"/>
      <w:bookmarkEnd w:id="343"/>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规划保留的自然村庄，以干净整洁、宜居有序为目标，全面完成两项建设任务。一是全面推进“五清一改”，即清理村内塘沟，清理畜禽养殖粪污等农业生产废弃物，清理乱搭乱建、乱堆乱放，清理废旧广告牌，清理无功能建筑，改变影响农村人居环境的不良习惯，实现村庄公共空间及庭院房屋、村庄周边干净整洁。二是开展“三大革命”，积极开展垃圾收集、卫生改厕、河道沟渠疏浚，完善农村生活垃圾收运处置体系，持续推进垃圾分类试点，引导自然村庄卫生保洁常态化，因地制宜开展符合实际的污水设施建设，通过规模水厂管网延伸兼并单村供水工程，完善水质监测和消毒。鼓励有条件和实际需求的自然村庄实施村内道路硬化、村庄亮化、村容村貌提升等设施建设。</w:t>
      </w:r>
    </w:p>
    <w:p>
      <w:pPr>
        <w:pStyle w:val="4"/>
        <w:keepNext w:val="0"/>
        <w:keepLines w:val="0"/>
        <w:spacing w:before="0" w:after="0"/>
        <w:ind w:firstLine="642" w:firstLineChars="200"/>
        <w:rPr>
          <w:rFonts w:ascii="Times New Roman" w:hAnsi="Times New Roman" w:eastAsia="楷体_GB2312"/>
          <w:color w:val="000000"/>
          <w:szCs w:val="32"/>
        </w:rPr>
      </w:pPr>
      <w:bookmarkStart w:id="344" w:name="_Toc14638"/>
      <w:bookmarkStart w:id="345" w:name="_Toc29670"/>
      <w:bookmarkStart w:id="346" w:name="_Toc11386"/>
      <w:r>
        <w:rPr>
          <w:rFonts w:ascii="Times New Roman" w:hAnsi="Times New Roman" w:eastAsia="楷体_GB2312"/>
          <w:color w:val="000000"/>
          <w:szCs w:val="32"/>
        </w:rPr>
        <w:t>（五）提高美丽经济发展水平</w:t>
      </w:r>
      <w:bookmarkEnd w:id="344"/>
      <w:bookmarkEnd w:id="345"/>
      <w:bookmarkEnd w:id="346"/>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支持特色农业、休闲农业、现代农产品生产和加工业、红色旅游、乡村旅游、康养和乡村物流、电子商务等乡村产业的发展；引导新型经营主体通过特色化、专业化经营，合理配置生产要素，促进乡村产业深度融合</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支持特色农产品优势区、现代农业产业园、农业科技园、农村创业园、休闲农业和乡村旅游重点村镇等的建设；统筹农产品生产地、集散地、销售地市场建设，推进数字乡村建设，加强农产品流通骨干网络和冷链物流体系建设；鼓励企业获得国际通行的农产品认证，增强乡村产业竞争力，发展“一村一品”产业，让资源产生效益。</w:t>
      </w:r>
    </w:p>
    <w:p>
      <w:pPr>
        <w:pStyle w:val="4"/>
        <w:keepNext w:val="0"/>
        <w:keepLines w:val="0"/>
        <w:spacing w:before="0" w:after="0"/>
        <w:ind w:firstLine="642" w:firstLineChars="200"/>
        <w:rPr>
          <w:rFonts w:ascii="Times New Roman" w:hAnsi="Times New Roman" w:eastAsia="楷体_GB2312"/>
          <w:color w:val="000000"/>
          <w:szCs w:val="32"/>
        </w:rPr>
      </w:pPr>
      <w:bookmarkStart w:id="347" w:name="_Toc22666"/>
      <w:bookmarkStart w:id="348" w:name="_Toc12518"/>
      <w:bookmarkStart w:id="349" w:name="_Toc7343"/>
      <w:r>
        <w:rPr>
          <w:rFonts w:ascii="Times New Roman" w:hAnsi="Times New Roman" w:eastAsia="楷体_GB2312"/>
          <w:color w:val="000000"/>
          <w:szCs w:val="32"/>
        </w:rPr>
        <w:t>（六）加强和改进乡村治理</w:t>
      </w:r>
      <w:bookmarkEnd w:id="347"/>
      <w:bookmarkEnd w:id="348"/>
      <w:bookmarkEnd w:id="349"/>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建立健全党委领导、政府负责、社会协同、公众参与、法治保障、科技支撑的现代乡村社会治理体制，强化基层组织治理能力，巩固基层政权，不断提升乡村治理能力和水平，走出一条具有淮北特色的乡村善治之路。构建乡村基层组织建设体系，加强村党组织对村民委员会、村务监督委员会及村集体经济组织等工作的全面领导。建立农村党员远程教育网络终端，切实提高农村党员干部的治理能力和水平。加强农村自治组织建设和管理，提升农民参与乡村治理的主体性、积极性。整合乡村治理资源，强化村民自治管理体系建设，进一步提升农民群众自我管理、自我服务水平。加大乡村普法宣传力度，引导广大干部群众自觉守法用法，鼓励村民积极参与基层司法、法律监督等法治实践活动，提高乡村基层干部群众的法治意识，加快完善乡村法律服务体系。培育和践行社会主义核心价值观，坚持教育引导、文化熏陶、舆论宣传相结合，把核心价值观融入到农村生产生活。加强农村思想道德建设，开展各种模范的评选活动，营造良好的社会氛围，弘扬主旋律和社会正气，培育文明乡风、良好家风、淳朴民风，改善农民精神风貌，提高乡村社会文明程度。</w:t>
      </w:r>
      <w:bookmarkStart w:id="350" w:name="_Toc28026"/>
      <w:bookmarkStart w:id="351" w:name="_Toc32424"/>
      <w:bookmarkStart w:id="352" w:name="_Toc2627"/>
    </w:p>
    <w:p>
      <w:pPr>
        <w:spacing w:before="0" w:after="0"/>
        <w:ind w:firstLine="640"/>
        <w:rPr>
          <w:rFonts w:ascii="Times New Roman" w:hAnsi="Times New Roman" w:eastAsia="黑体"/>
          <w:color w:val="000000"/>
          <w:sz w:val="32"/>
          <w:szCs w:val="32"/>
        </w:rPr>
      </w:pPr>
      <w:r>
        <w:rPr>
          <w:rFonts w:ascii="Times New Roman" w:hAnsi="Times New Roman" w:eastAsia="黑体"/>
          <w:color w:val="000000"/>
          <w:sz w:val="32"/>
          <w:szCs w:val="32"/>
        </w:rPr>
        <w:t>六、保障措施</w:t>
      </w:r>
      <w:bookmarkEnd w:id="350"/>
      <w:bookmarkEnd w:id="351"/>
      <w:bookmarkEnd w:id="352"/>
    </w:p>
    <w:p>
      <w:pPr>
        <w:pStyle w:val="4"/>
        <w:keepNext w:val="0"/>
        <w:keepLines w:val="0"/>
        <w:spacing w:before="0" w:after="0"/>
        <w:ind w:firstLine="642" w:firstLineChars="200"/>
        <w:rPr>
          <w:rFonts w:ascii="Times New Roman" w:hAnsi="Times New Roman" w:eastAsia="楷体_GB2312"/>
          <w:color w:val="000000"/>
          <w:szCs w:val="32"/>
        </w:rPr>
      </w:pPr>
      <w:bookmarkStart w:id="353" w:name="_Toc15139"/>
      <w:bookmarkStart w:id="354" w:name="_Toc22989"/>
      <w:bookmarkStart w:id="355" w:name="_Toc32070"/>
      <w:r>
        <w:rPr>
          <w:rFonts w:ascii="Times New Roman" w:hAnsi="Times New Roman" w:eastAsia="楷体_GB2312"/>
          <w:color w:val="000000"/>
          <w:szCs w:val="32"/>
        </w:rPr>
        <w:t>（一）压实工作责任</w:t>
      </w:r>
      <w:bookmarkEnd w:id="353"/>
      <w:bookmarkEnd w:id="354"/>
      <w:bookmarkEnd w:id="355"/>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各级党委和政府要认识到美丽乡村建设是全面推进乡村振兴战略的重要抓手。坚持党对美丽乡村工作的领导，严格落实责任制，建立健全农业农村现代化建设重大事项、重要问题、重要工作由党组织讨论决定的机制，县委书记要当好“一线总指挥”，把农村优先发展原则体现到各个方面，各部门按照职责做好协同配合，形成合力，充分认识到乡村</w:t>
      </w:r>
      <w:r>
        <w:rPr>
          <w:rFonts w:hint="eastAsia" w:ascii="Times New Roman" w:hAnsi="Times New Roman" w:eastAsia="仿宋_GB2312"/>
          <w:color w:val="000000"/>
          <w:sz w:val="32"/>
          <w:szCs w:val="32"/>
        </w:rPr>
        <w:t>建设</w:t>
      </w:r>
      <w:r>
        <w:rPr>
          <w:rFonts w:ascii="Times New Roman" w:hAnsi="Times New Roman" w:eastAsia="仿宋_GB2312"/>
          <w:color w:val="000000"/>
          <w:sz w:val="32"/>
          <w:szCs w:val="32"/>
        </w:rPr>
        <w:t>的重要意义。</w:t>
      </w:r>
    </w:p>
    <w:p>
      <w:pPr>
        <w:pStyle w:val="4"/>
        <w:keepNext w:val="0"/>
        <w:keepLines w:val="0"/>
        <w:spacing w:before="0" w:after="0"/>
        <w:ind w:firstLine="642" w:firstLineChars="200"/>
        <w:rPr>
          <w:rFonts w:ascii="Times New Roman" w:hAnsi="Times New Roman" w:eastAsia="楷体_GB2312"/>
          <w:color w:val="000000"/>
          <w:szCs w:val="32"/>
        </w:rPr>
      </w:pPr>
      <w:bookmarkStart w:id="356" w:name="_Toc23678"/>
      <w:bookmarkStart w:id="357" w:name="_Toc16576"/>
      <w:bookmarkStart w:id="358" w:name="_Toc12272"/>
      <w:r>
        <w:rPr>
          <w:rFonts w:ascii="Times New Roman" w:hAnsi="Times New Roman" w:eastAsia="楷体_GB2312"/>
          <w:color w:val="000000"/>
          <w:szCs w:val="32"/>
        </w:rPr>
        <w:t>（二）强化要素保障</w:t>
      </w:r>
      <w:bookmarkEnd w:id="356"/>
      <w:bookmarkEnd w:id="357"/>
      <w:bookmarkEnd w:id="358"/>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1.投入保障。</w:t>
      </w:r>
      <w:r>
        <w:rPr>
          <w:rFonts w:hint="eastAsia" w:ascii="Times New Roman" w:hAnsi="Times New Roman" w:eastAsia="仿宋_GB2312"/>
          <w:color w:val="000000"/>
          <w:sz w:val="32"/>
          <w:szCs w:val="32"/>
        </w:rPr>
        <w:t>坚持</w:t>
      </w:r>
      <w:r>
        <w:rPr>
          <w:rFonts w:ascii="Times New Roman" w:hAnsi="Times New Roman" w:eastAsia="仿宋_GB2312"/>
          <w:color w:val="000000"/>
          <w:sz w:val="32"/>
          <w:szCs w:val="32"/>
        </w:rPr>
        <w:t>把真金白银投入作为美丽乡村建设的有力保障，市财政每年安排专项资金</w:t>
      </w:r>
      <w:r>
        <w:rPr>
          <w:rFonts w:hint="eastAsia" w:ascii="Times New Roman" w:hAnsi="Times New Roman" w:eastAsia="仿宋_GB2312"/>
          <w:color w:val="000000"/>
          <w:sz w:val="32"/>
          <w:szCs w:val="32"/>
        </w:rPr>
        <w:t>支持美丽乡村建设</w:t>
      </w:r>
      <w:r>
        <w:rPr>
          <w:rFonts w:ascii="Times New Roman" w:hAnsi="Times New Roman" w:eastAsia="仿宋_GB2312"/>
          <w:color w:val="000000"/>
          <w:sz w:val="32"/>
          <w:szCs w:val="32"/>
        </w:rPr>
        <w:t>，一县三区足额落实配套建设资金</w:t>
      </w:r>
      <w:r>
        <w:rPr>
          <w:rFonts w:hint="eastAsia" w:ascii="Times New Roman" w:hAnsi="Times New Roman" w:eastAsia="仿宋_GB2312"/>
          <w:color w:val="000000"/>
          <w:sz w:val="32"/>
          <w:szCs w:val="32"/>
        </w:rPr>
        <w:t>，“十四五”全市美丽乡村建设投入不低于“十三五”投入水平</w:t>
      </w:r>
      <w:r>
        <w:rPr>
          <w:rFonts w:ascii="Times New Roman" w:hAnsi="Times New Roman" w:eastAsia="仿宋_GB2312"/>
          <w:color w:val="000000"/>
          <w:sz w:val="32"/>
          <w:szCs w:val="32"/>
        </w:rPr>
        <w:t>。建立健全多元化投入保障机制，统筹用好相关涉农资金，引导撬动金融和社会资本投入。发挥“裕农通”（安徽）等数字金融服务平台作用，推行“无感授信、按需增信、随时用信”模式。依托采煤沉陷及压煤村庄搬迁、土地增减挂等项目，整治合并自然村，推进空心村治理，利用土地增值收益为美丽乡村建设提供资金支持。</w:t>
      </w:r>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2.用地保障。</w:t>
      </w:r>
      <w:r>
        <w:rPr>
          <w:rFonts w:ascii="Times New Roman" w:hAnsi="Times New Roman" w:eastAsia="仿宋_GB2312"/>
          <w:color w:val="000000"/>
          <w:sz w:val="32"/>
          <w:szCs w:val="32"/>
        </w:rPr>
        <w:t>依法采取措施盘活农村存量建设用地，完善农村新增建设用地保障机制，建设用地指标应当向美丽乡村发展倾斜，探索灵活多样的供地新方式。经国土空间规划确定为工业、商业等经营性用途并依法登记的集体经营性建设用地，土地所有权人可以依法通过出让、出租等方式交由单位或者个人使用，优先用于发展集体所有制经济和乡村产业。</w:t>
      </w:r>
    </w:p>
    <w:p>
      <w:pPr>
        <w:spacing w:before="0" w:after="0"/>
        <w:ind w:firstLine="643"/>
        <w:rPr>
          <w:rFonts w:ascii="Times New Roman" w:hAnsi="Times New Roman" w:eastAsia="仿宋_GB2312"/>
          <w:color w:val="000000"/>
          <w:sz w:val="32"/>
          <w:szCs w:val="32"/>
        </w:rPr>
      </w:pPr>
      <w:r>
        <w:rPr>
          <w:rFonts w:ascii="Times New Roman" w:hAnsi="Times New Roman" w:eastAsia="仿宋_GB2312"/>
          <w:b/>
          <w:bCs/>
          <w:color w:val="000000"/>
          <w:sz w:val="32"/>
          <w:szCs w:val="32"/>
        </w:rPr>
        <w:t>3.人才保障。</w:t>
      </w:r>
      <w:r>
        <w:rPr>
          <w:rFonts w:ascii="Times New Roman" w:hAnsi="Times New Roman" w:eastAsia="仿宋_GB2312"/>
          <w:color w:val="000000"/>
          <w:sz w:val="32"/>
          <w:szCs w:val="32"/>
        </w:rPr>
        <w:t>加强各级美丽乡村建设管理部门人才建设，进一步稳定队伍、充实力量，切实发挥好职能作用。支持大学生、退役军人、企业家等到农村干事创业。整合利用农民科技教育中心、农业科研院所、涉农院校、农业龙头企业等各类资源，加快构建高素质农民教育培训体系。努力培养造就懂农业、爱农村、爱农民的“三农”工作队伍，加大本土人才培育力度，培养“本土能人”，为美丽乡村建设提供有力的人才支撑和智力保障。</w:t>
      </w:r>
      <w:r>
        <w:rPr>
          <w:rFonts w:hint="eastAsia" w:ascii="Times New Roman" w:hAnsi="Times New Roman" w:eastAsia="仿宋_GB2312"/>
          <w:color w:val="000000"/>
          <w:sz w:val="32"/>
          <w:szCs w:val="32"/>
        </w:rPr>
        <w:t>推动农民工平等享受城镇基本公共服务，让农民工留得住、能就业。完善农村社会保障制度，逐步提高“8+1”综合救助标准。</w:t>
      </w:r>
    </w:p>
    <w:p>
      <w:pPr>
        <w:pStyle w:val="4"/>
        <w:keepNext w:val="0"/>
        <w:keepLines w:val="0"/>
        <w:spacing w:before="0" w:after="0"/>
        <w:ind w:firstLine="642" w:firstLineChars="200"/>
        <w:rPr>
          <w:rFonts w:ascii="Times New Roman" w:hAnsi="Times New Roman" w:eastAsia="楷体_GB2312"/>
          <w:color w:val="000000"/>
          <w:szCs w:val="32"/>
        </w:rPr>
      </w:pPr>
      <w:bookmarkStart w:id="359" w:name="_Toc25521"/>
      <w:bookmarkStart w:id="360" w:name="_Toc7803"/>
      <w:bookmarkStart w:id="361" w:name="_Toc4579"/>
      <w:r>
        <w:rPr>
          <w:rFonts w:ascii="Times New Roman" w:hAnsi="Times New Roman" w:eastAsia="楷体_GB2312"/>
          <w:color w:val="000000"/>
          <w:szCs w:val="32"/>
        </w:rPr>
        <w:t>（三）建立长效管护机制</w:t>
      </w:r>
      <w:bookmarkEnd w:id="359"/>
      <w:bookmarkEnd w:id="360"/>
      <w:bookmarkEnd w:id="361"/>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始终把长效机制建立作为美丽乡村建设的基础工程，创新工作思路，引入社会力量，确保美丽乡村持久美丽。创新开展乡村绿化，以“森林进村庄，经果林进庭院”行动为抓手，引进第三方造林主体，推行建管护于一体的市场化绿化模式。创新开展沟塘整治，通过沟塘清理、生态恢复，有效解决黑臭水体反弹问题。创新开展环卫测评，坚持管干分离，专业环卫公司从事保洁服务，由县、镇、村及村民共同组建监督小组负责监管，对环卫公司进行管理考核。</w:t>
      </w:r>
    </w:p>
    <w:p>
      <w:pPr>
        <w:pStyle w:val="4"/>
        <w:keepNext w:val="0"/>
        <w:keepLines w:val="0"/>
        <w:spacing w:before="0" w:after="0"/>
        <w:ind w:firstLine="642" w:firstLineChars="200"/>
        <w:rPr>
          <w:rFonts w:ascii="Times New Roman" w:hAnsi="Times New Roman" w:eastAsia="楷体_GB2312"/>
          <w:color w:val="000000"/>
          <w:szCs w:val="32"/>
        </w:rPr>
      </w:pPr>
      <w:bookmarkStart w:id="362" w:name="_Toc18675"/>
      <w:bookmarkStart w:id="363" w:name="_Toc14459"/>
      <w:bookmarkStart w:id="364" w:name="_Toc11638"/>
      <w:r>
        <w:rPr>
          <w:rFonts w:ascii="Times New Roman" w:hAnsi="Times New Roman" w:eastAsia="楷体_GB2312"/>
          <w:color w:val="000000"/>
          <w:szCs w:val="32"/>
        </w:rPr>
        <w:t>（四）强化督查考核</w:t>
      </w:r>
      <w:bookmarkEnd w:id="362"/>
      <w:bookmarkEnd w:id="363"/>
      <w:bookmarkEnd w:id="364"/>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对纳入美丽乡村建设“</w:t>
      </w:r>
      <w:r>
        <w:rPr>
          <w:rFonts w:hint="eastAsia" w:ascii="Times New Roman" w:hAnsi="Times New Roman" w:eastAsia="仿宋_GB2312"/>
          <w:color w:val="000000"/>
          <w:sz w:val="32"/>
          <w:szCs w:val="32"/>
        </w:rPr>
        <w:t>168</w:t>
      </w:r>
      <w:r>
        <w:rPr>
          <w:rFonts w:ascii="Times New Roman" w:hAnsi="Times New Roman" w:eastAsia="仿宋_GB2312"/>
          <w:color w:val="000000"/>
          <w:sz w:val="32"/>
          <w:szCs w:val="32"/>
        </w:rPr>
        <w:t>16”工程的村庄进行考核验收，要落实责任，分解任务，明确责任主体和进度要求，确保质量和效果，各县（区）农业农村部门要发挥牵头抓总作用，强化统筹协调、政策指导和推动落实，对乡村治理政策措施开展评估，强化动态管理，努力提高规划实施的效果。将</w:t>
      </w:r>
      <w:r>
        <w:rPr>
          <w:rFonts w:hint="eastAsia" w:ascii="Times New Roman" w:hAnsi="Times New Roman" w:eastAsia="仿宋_GB2312"/>
          <w:color w:val="000000"/>
          <w:sz w:val="32"/>
          <w:szCs w:val="32"/>
        </w:rPr>
        <w:t>美丽乡村建设</w:t>
      </w:r>
      <w:r>
        <w:rPr>
          <w:rFonts w:ascii="Times New Roman" w:hAnsi="Times New Roman" w:eastAsia="仿宋_GB2312"/>
          <w:color w:val="000000"/>
          <w:sz w:val="32"/>
          <w:szCs w:val="32"/>
        </w:rPr>
        <w:t>纳入市委、市政府重点督查激励事项、市政府目标管理绩效考核、乡村振兴实绩考核和领导干部工作实绩考核。加强乡村统计工作，因地制宜建立客观反映美丽乡村进展的指标和统计体系。建立规划实施督促检查机制，适时开展规划中期评估和总结评估</w:t>
      </w:r>
      <w:r>
        <w:rPr>
          <w:rFonts w:hint="eastAsia" w:ascii="Times New Roman" w:hAnsi="Times New Roman" w:eastAsia="仿宋_GB2312"/>
          <w:color w:val="000000"/>
          <w:sz w:val="32"/>
          <w:szCs w:val="32"/>
        </w:rPr>
        <w:t>，</w:t>
      </w:r>
      <w:r>
        <w:rPr>
          <w:rFonts w:ascii="Times New Roman" w:hAnsi="Times New Roman" w:eastAsia="仿宋_GB2312"/>
          <w:color w:val="000000"/>
          <w:sz w:val="32"/>
          <w:szCs w:val="32"/>
        </w:rPr>
        <w:t>对美丽乡村建设先进县、先进集体和先进个人给予通报表扬，发挥好考核的“指挥棒”作用。完成规划指标统计制度，为科学评估提供支撑，确保规划顺利实施。</w:t>
      </w:r>
    </w:p>
    <w:p>
      <w:pPr>
        <w:pStyle w:val="4"/>
        <w:keepNext w:val="0"/>
        <w:keepLines w:val="0"/>
        <w:spacing w:before="0" w:after="0"/>
        <w:ind w:firstLine="642" w:firstLineChars="200"/>
        <w:rPr>
          <w:rFonts w:ascii="Times New Roman" w:hAnsi="Times New Roman" w:eastAsia="楷体_GB2312"/>
          <w:color w:val="000000"/>
          <w:szCs w:val="32"/>
        </w:rPr>
      </w:pPr>
      <w:bookmarkStart w:id="365" w:name="_Toc13023"/>
      <w:bookmarkStart w:id="366" w:name="_Toc4208"/>
      <w:bookmarkStart w:id="367" w:name="_Toc2106"/>
      <w:r>
        <w:rPr>
          <w:rFonts w:ascii="Times New Roman" w:hAnsi="Times New Roman" w:eastAsia="楷体_GB2312"/>
          <w:color w:val="000000"/>
          <w:szCs w:val="32"/>
        </w:rPr>
        <w:t>（五）加大宣传力度</w:t>
      </w:r>
      <w:bookmarkEnd w:id="365"/>
      <w:bookmarkEnd w:id="366"/>
      <w:bookmarkEnd w:id="367"/>
    </w:p>
    <w:p>
      <w:pPr>
        <w:spacing w:before="0" w:after="0"/>
        <w:ind w:firstLine="640"/>
        <w:rPr>
          <w:rFonts w:ascii="Times New Roman" w:hAnsi="Times New Roman" w:eastAsia="仿宋_GB2312"/>
          <w:color w:val="000000"/>
          <w:sz w:val="32"/>
          <w:szCs w:val="32"/>
        </w:rPr>
      </w:pPr>
      <w:r>
        <w:rPr>
          <w:rFonts w:ascii="Times New Roman" w:hAnsi="Times New Roman" w:eastAsia="仿宋_GB2312"/>
          <w:color w:val="000000"/>
          <w:sz w:val="32"/>
          <w:szCs w:val="32"/>
        </w:rPr>
        <w:t>始终把农民群众作为美丽乡村建设的主体，政府引导不包办，发动群众积极参与。通过在</w:t>
      </w:r>
      <w:r>
        <w:rPr>
          <w:rFonts w:hint="eastAsia" w:ascii="Times New Roman" w:hAnsi="Times New Roman" w:eastAsia="仿宋_GB2312"/>
          <w:color w:val="000000"/>
          <w:sz w:val="32"/>
          <w:szCs w:val="32"/>
        </w:rPr>
        <w:t>新闻媒体</w:t>
      </w:r>
      <w:r>
        <w:rPr>
          <w:rFonts w:ascii="Times New Roman" w:hAnsi="Times New Roman" w:eastAsia="仿宋_GB2312"/>
          <w:color w:val="000000"/>
          <w:sz w:val="32"/>
          <w:szCs w:val="32"/>
        </w:rPr>
        <w:t>开设农村人居环境整治暨美丽乡村建设专栏，大力宣传各地工作中的好经验、好做法、好成效，并根据需要曝光反面典型，形成全社会关心、支持、参与美丽乡村建设的良好氛围，充分调动社会各界参与美丽乡村建设热情。</w:t>
      </w:r>
    </w:p>
    <w:p>
      <w:pPr>
        <w:spacing w:before="0" w:after="0"/>
        <w:ind w:firstLine="0" w:firstLineChars="0"/>
        <w:rPr>
          <w:rFonts w:ascii="Times New Roman" w:hAnsi="Times New Roman" w:eastAsia="黑体"/>
          <w:color w:val="000000"/>
          <w:sz w:val="32"/>
          <w:szCs w:val="32"/>
        </w:rPr>
      </w:pPr>
      <w:r>
        <w:rPr>
          <w:rFonts w:ascii="Times New Roman" w:hAnsi="Times New Roman" w:eastAsia="黑体"/>
          <w:color w:val="000000"/>
          <w:sz w:val="32"/>
          <w:szCs w:val="32"/>
        </w:rPr>
        <w:t>附</w:t>
      </w:r>
      <w:r>
        <w:rPr>
          <w:rFonts w:hint="eastAsia" w:ascii="Times New Roman" w:hAnsi="Times New Roman" w:eastAsia="黑体"/>
          <w:color w:val="000000"/>
          <w:sz w:val="32"/>
          <w:szCs w:val="32"/>
        </w:rPr>
        <w:t>表1</w:t>
      </w:r>
    </w:p>
    <w:p>
      <w:pPr>
        <w:pStyle w:val="2"/>
        <w:spacing w:before="0" w:after="0"/>
        <w:ind w:firstLine="602"/>
      </w:pPr>
    </w:p>
    <w:p>
      <w:pPr>
        <w:spacing w:before="0" w:after="0"/>
        <w:ind w:firstLine="0" w:firstLineChars="0"/>
        <w:jc w:val="center"/>
        <w:rPr>
          <w:rFonts w:ascii="Times New Roman" w:hAnsi="Times New Roman" w:eastAsia="方正小标宋简体"/>
          <w:color w:val="000000"/>
          <w:kern w:val="0"/>
          <w:sz w:val="44"/>
          <w:szCs w:val="44"/>
        </w:rPr>
      </w:pPr>
      <w:r>
        <w:rPr>
          <w:rFonts w:hint="eastAsia" w:ascii="Times New Roman" w:hAnsi="Times New Roman" w:eastAsia="方正小标宋简体"/>
          <w:color w:val="000000"/>
          <w:kern w:val="0"/>
          <w:sz w:val="44"/>
          <w:szCs w:val="44"/>
        </w:rPr>
        <w:t>“十四五”各县（区）</w:t>
      </w:r>
      <w:r>
        <w:rPr>
          <w:rFonts w:ascii="Times New Roman" w:hAnsi="Times New Roman" w:eastAsia="方正小标宋简体"/>
          <w:color w:val="000000"/>
          <w:kern w:val="0"/>
          <w:sz w:val="44"/>
          <w:szCs w:val="44"/>
        </w:rPr>
        <w:t>美丽乡村省级</w:t>
      </w:r>
    </w:p>
    <w:p>
      <w:pPr>
        <w:spacing w:before="0" w:after="0"/>
        <w:ind w:firstLine="0" w:firstLineChars="0"/>
        <w:jc w:val="center"/>
        <w:rPr>
          <w:rFonts w:ascii="Times New Roman" w:hAnsi="Times New Roman" w:eastAsia="方正小标宋简体"/>
          <w:color w:val="000000"/>
          <w:kern w:val="0"/>
          <w:sz w:val="44"/>
          <w:szCs w:val="44"/>
        </w:rPr>
      </w:pPr>
      <w:r>
        <w:rPr>
          <w:rFonts w:ascii="Times New Roman" w:hAnsi="Times New Roman" w:eastAsia="方正小标宋简体"/>
          <w:color w:val="000000"/>
          <w:kern w:val="0"/>
          <w:sz w:val="44"/>
          <w:szCs w:val="44"/>
        </w:rPr>
        <w:t>中心村建设任务表</w:t>
      </w:r>
    </w:p>
    <w:p>
      <w:pPr>
        <w:pStyle w:val="2"/>
        <w:spacing w:before="0" w:after="0"/>
        <w:ind w:firstLine="560"/>
        <w:rPr>
          <w:rFonts w:ascii="仿宋_GB2312" w:eastAsia="仿宋_GB2312"/>
          <w:b w:val="0"/>
          <w:sz w:val="28"/>
          <w:szCs w:val="28"/>
        </w:rPr>
      </w:pPr>
      <w:r>
        <w:rPr>
          <w:rFonts w:hint="eastAsia" w:ascii="仿宋_GB2312" w:eastAsia="仿宋_GB2312"/>
          <w:b w:val="0"/>
          <w:sz w:val="28"/>
          <w:szCs w:val="28"/>
        </w:rPr>
        <w:t xml:space="preserve">                                         单位：个</w:t>
      </w:r>
    </w:p>
    <w:tbl>
      <w:tblPr>
        <w:tblStyle w:val="27"/>
        <w:tblW w:w="88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5"/>
        <w:gridCol w:w="1144"/>
        <w:gridCol w:w="1144"/>
        <w:gridCol w:w="1144"/>
        <w:gridCol w:w="1144"/>
        <w:gridCol w:w="1144"/>
        <w:gridCol w:w="1144"/>
        <w:gridCol w:w="11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jc w:val="center"/>
        </w:trPr>
        <w:tc>
          <w:tcPr>
            <w:tcW w:w="885" w:type="dxa"/>
            <w:vAlign w:val="center"/>
          </w:tcPr>
          <w:p>
            <w:pPr>
              <w:widowControl/>
              <w:spacing w:before="0" w:after="0"/>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序号</w:t>
            </w:r>
          </w:p>
        </w:tc>
        <w:tc>
          <w:tcPr>
            <w:tcW w:w="1144" w:type="dxa"/>
            <w:vAlign w:val="center"/>
          </w:tcPr>
          <w:p>
            <w:pPr>
              <w:widowControl/>
              <w:spacing w:before="0" w:after="0"/>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县</w:t>
            </w:r>
            <w:r>
              <w:rPr>
                <w:rFonts w:hint="eastAsia" w:ascii="Times New Roman" w:hAnsi="Times New Roman" w:eastAsia="黑体"/>
                <w:color w:val="000000"/>
                <w:kern w:val="0"/>
                <w:sz w:val="28"/>
                <w:szCs w:val="28"/>
              </w:rPr>
              <w:t xml:space="preserve">  </w:t>
            </w:r>
            <w:r>
              <w:rPr>
                <w:rFonts w:ascii="Times New Roman" w:hAnsi="Times New Roman" w:eastAsia="黑体"/>
                <w:color w:val="000000"/>
                <w:kern w:val="0"/>
                <w:sz w:val="28"/>
                <w:szCs w:val="28"/>
              </w:rPr>
              <w:t>区</w:t>
            </w:r>
          </w:p>
        </w:tc>
        <w:tc>
          <w:tcPr>
            <w:tcW w:w="1144" w:type="dxa"/>
            <w:vAlign w:val="center"/>
          </w:tcPr>
          <w:p>
            <w:pPr>
              <w:widowControl/>
              <w:spacing w:before="0" w:after="0"/>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2021年</w:t>
            </w:r>
          </w:p>
        </w:tc>
        <w:tc>
          <w:tcPr>
            <w:tcW w:w="1144" w:type="dxa"/>
            <w:vAlign w:val="center"/>
          </w:tcPr>
          <w:p>
            <w:pPr>
              <w:widowControl/>
              <w:spacing w:before="0" w:after="0"/>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2022年</w:t>
            </w:r>
          </w:p>
        </w:tc>
        <w:tc>
          <w:tcPr>
            <w:tcW w:w="1144" w:type="dxa"/>
            <w:vAlign w:val="center"/>
          </w:tcPr>
          <w:p>
            <w:pPr>
              <w:widowControl/>
              <w:spacing w:before="0" w:after="0"/>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2023年</w:t>
            </w:r>
          </w:p>
        </w:tc>
        <w:tc>
          <w:tcPr>
            <w:tcW w:w="1144" w:type="dxa"/>
            <w:vAlign w:val="center"/>
          </w:tcPr>
          <w:p>
            <w:pPr>
              <w:widowControl/>
              <w:spacing w:before="0" w:after="0"/>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2024年</w:t>
            </w:r>
          </w:p>
        </w:tc>
        <w:tc>
          <w:tcPr>
            <w:tcW w:w="1144" w:type="dxa"/>
            <w:vAlign w:val="center"/>
          </w:tcPr>
          <w:p>
            <w:pPr>
              <w:widowControl/>
              <w:spacing w:before="0" w:after="0"/>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2025年</w:t>
            </w:r>
          </w:p>
        </w:tc>
        <w:tc>
          <w:tcPr>
            <w:tcW w:w="1144" w:type="dxa"/>
            <w:vAlign w:val="center"/>
          </w:tcPr>
          <w:p>
            <w:pPr>
              <w:widowControl/>
              <w:spacing w:before="0" w:after="0"/>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jc w:val="center"/>
        </w:trPr>
        <w:tc>
          <w:tcPr>
            <w:tcW w:w="885"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濉溪县</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12</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16</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16</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16</w:t>
            </w:r>
          </w:p>
        </w:tc>
        <w:tc>
          <w:tcPr>
            <w:tcW w:w="1144" w:type="dxa"/>
            <w:vMerge w:val="restart"/>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sz w:val="28"/>
                <w:szCs w:val="28"/>
              </w:rPr>
              <w:t>持续巩固提升</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jc w:val="center"/>
        </w:trPr>
        <w:tc>
          <w:tcPr>
            <w:tcW w:w="885"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2</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相山区</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2</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2</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2</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3</w:t>
            </w:r>
          </w:p>
        </w:tc>
        <w:tc>
          <w:tcPr>
            <w:tcW w:w="1144" w:type="dxa"/>
            <w:vMerge w:val="continue"/>
            <w:vAlign w:val="center"/>
          </w:tcPr>
          <w:p>
            <w:pPr>
              <w:widowControl/>
              <w:spacing w:before="0" w:after="0"/>
              <w:ind w:firstLine="560"/>
              <w:jc w:val="center"/>
              <w:rPr>
                <w:rFonts w:ascii="Times New Roman" w:hAnsi="Times New Roman" w:eastAsia="仿宋_GB2312"/>
                <w:color w:val="000000"/>
                <w:kern w:val="0"/>
                <w:sz w:val="28"/>
                <w:szCs w:val="28"/>
              </w:rPr>
            </w:pP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jc w:val="center"/>
        </w:trPr>
        <w:tc>
          <w:tcPr>
            <w:tcW w:w="885"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3</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杜集区</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5</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5</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4</w:t>
            </w:r>
          </w:p>
        </w:tc>
        <w:tc>
          <w:tcPr>
            <w:tcW w:w="1144" w:type="dxa"/>
            <w:vMerge w:val="continue"/>
            <w:vAlign w:val="center"/>
          </w:tcPr>
          <w:p>
            <w:pPr>
              <w:widowControl/>
              <w:spacing w:before="0" w:after="0"/>
              <w:ind w:firstLine="560"/>
              <w:jc w:val="center"/>
              <w:rPr>
                <w:rFonts w:ascii="Times New Roman" w:hAnsi="Times New Roman" w:eastAsia="仿宋_GB2312"/>
                <w:color w:val="000000"/>
                <w:kern w:val="0"/>
                <w:sz w:val="28"/>
                <w:szCs w:val="28"/>
              </w:rPr>
            </w:pP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jc w:val="center"/>
        </w:trPr>
        <w:tc>
          <w:tcPr>
            <w:tcW w:w="885"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4</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烈山区</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4</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4</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3</w:t>
            </w:r>
          </w:p>
        </w:tc>
        <w:tc>
          <w:tcPr>
            <w:tcW w:w="1144" w:type="dxa"/>
            <w:vMerge w:val="continue"/>
            <w:vAlign w:val="center"/>
          </w:tcPr>
          <w:p>
            <w:pPr>
              <w:widowControl/>
              <w:spacing w:before="0" w:after="0"/>
              <w:ind w:firstLine="560"/>
              <w:jc w:val="center"/>
              <w:rPr>
                <w:rFonts w:ascii="Times New Roman" w:hAnsi="Times New Roman" w:eastAsia="仿宋_GB2312"/>
                <w:color w:val="000000"/>
                <w:kern w:val="0"/>
                <w:sz w:val="28"/>
                <w:szCs w:val="28"/>
              </w:rPr>
            </w:pP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jc w:val="center"/>
        </w:trPr>
        <w:tc>
          <w:tcPr>
            <w:tcW w:w="2029" w:type="dxa"/>
            <w:gridSpan w:val="2"/>
            <w:vAlign w:val="center"/>
          </w:tcPr>
          <w:p>
            <w:pPr>
              <w:widowControl/>
              <w:spacing w:before="0" w:after="0"/>
              <w:ind w:firstLine="56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全市</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16</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27</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27</w:t>
            </w: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26</w:t>
            </w:r>
          </w:p>
        </w:tc>
        <w:tc>
          <w:tcPr>
            <w:tcW w:w="1144" w:type="dxa"/>
            <w:vMerge w:val="continue"/>
            <w:vAlign w:val="center"/>
          </w:tcPr>
          <w:p>
            <w:pPr>
              <w:widowControl/>
              <w:spacing w:before="0" w:after="0"/>
              <w:ind w:firstLine="560"/>
              <w:jc w:val="center"/>
              <w:rPr>
                <w:rFonts w:ascii="Times New Roman" w:hAnsi="Times New Roman" w:eastAsia="仿宋_GB2312"/>
                <w:color w:val="000000"/>
                <w:kern w:val="0"/>
                <w:sz w:val="28"/>
                <w:szCs w:val="28"/>
              </w:rPr>
            </w:pPr>
          </w:p>
        </w:tc>
        <w:tc>
          <w:tcPr>
            <w:tcW w:w="1144"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96</w:t>
            </w:r>
          </w:p>
        </w:tc>
      </w:tr>
    </w:tbl>
    <w:p>
      <w:pPr>
        <w:spacing w:line="440" w:lineRule="exact"/>
        <w:ind w:firstLine="560"/>
        <w:rPr>
          <w:rFonts w:ascii="Times New Roman" w:hAnsi="Times New Roman" w:eastAsia="楷体"/>
          <w:color w:val="000000"/>
          <w:sz w:val="28"/>
          <w:szCs w:val="28"/>
        </w:rPr>
      </w:pPr>
    </w:p>
    <w:p>
      <w:pPr>
        <w:spacing w:before="0" w:after="0"/>
        <w:ind w:firstLine="0" w:firstLineChars="0"/>
        <w:rPr>
          <w:rFonts w:ascii="Times New Roman" w:hAnsi="Times New Roman" w:eastAsia="黑体"/>
          <w:color w:val="000000"/>
          <w:sz w:val="32"/>
          <w:szCs w:val="32"/>
        </w:rPr>
      </w:pPr>
      <w:r>
        <w:rPr>
          <w:rFonts w:ascii="Times New Roman" w:hAnsi="Times New Roman" w:eastAsia="仿宋_GB2312"/>
          <w:color w:val="000000"/>
          <w:sz w:val="32"/>
          <w:szCs w:val="32"/>
        </w:rPr>
        <w:br w:type="page"/>
      </w:r>
      <w:r>
        <w:rPr>
          <w:rFonts w:ascii="Times New Roman" w:hAnsi="Times New Roman" w:eastAsia="黑体"/>
          <w:color w:val="000000"/>
          <w:sz w:val="32"/>
          <w:szCs w:val="32"/>
        </w:rPr>
        <w:t>附</w:t>
      </w:r>
      <w:r>
        <w:rPr>
          <w:rFonts w:hint="eastAsia" w:ascii="Times New Roman" w:hAnsi="Times New Roman" w:eastAsia="黑体"/>
          <w:color w:val="000000"/>
          <w:sz w:val="32"/>
          <w:szCs w:val="32"/>
        </w:rPr>
        <w:t>表2</w:t>
      </w:r>
    </w:p>
    <w:p>
      <w:pPr>
        <w:pStyle w:val="2"/>
        <w:spacing w:before="0" w:after="0"/>
        <w:ind w:firstLine="602"/>
      </w:pPr>
    </w:p>
    <w:p>
      <w:pPr>
        <w:spacing w:before="0" w:after="0"/>
        <w:ind w:firstLine="0" w:firstLineChars="0"/>
        <w:jc w:val="center"/>
        <w:rPr>
          <w:rFonts w:ascii="Times New Roman" w:hAnsi="Times New Roman" w:eastAsia="方正小标宋简体"/>
          <w:color w:val="000000"/>
          <w:kern w:val="0"/>
          <w:sz w:val="44"/>
          <w:szCs w:val="44"/>
        </w:rPr>
      </w:pPr>
      <w:r>
        <w:rPr>
          <w:rFonts w:hint="eastAsia" w:ascii="Times New Roman" w:hAnsi="Times New Roman" w:eastAsia="方正小标宋简体"/>
          <w:color w:val="000000"/>
          <w:kern w:val="0"/>
          <w:sz w:val="44"/>
          <w:szCs w:val="44"/>
        </w:rPr>
        <w:t>“十四五”各县（区）</w:t>
      </w:r>
      <w:r>
        <w:rPr>
          <w:rFonts w:ascii="Times New Roman" w:hAnsi="Times New Roman" w:eastAsia="方正小标宋简体"/>
          <w:color w:val="000000"/>
          <w:kern w:val="0"/>
          <w:sz w:val="44"/>
          <w:szCs w:val="44"/>
        </w:rPr>
        <w:t>美丽乡村市级</w:t>
      </w:r>
    </w:p>
    <w:p>
      <w:pPr>
        <w:spacing w:before="0" w:after="0"/>
        <w:ind w:firstLine="0" w:firstLineChars="0"/>
        <w:jc w:val="center"/>
        <w:rPr>
          <w:rFonts w:ascii="Times New Roman" w:hAnsi="Times New Roman" w:eastAsia="方正小标宋简体"/>
          <w:color w:val="000000"/>
          <w:kern w:val="0"/>
          <w:sz w:val="44"/>
          <w:szCs w:val="44"/>
        </w:rPr>
      </w:pPr>
      <w:r>
        <w:rPr>
          <w:rFonts w:ascii="Times New Roman" w:hAnsi="Times New Roman" w:eastAsia="方正小标宋简体"/>
          <w:color w:val="000000"/>
          <w:kern w:val="0"/>
          <w:sz w:val="44"/>
          <w:szCs w:val="44"/>
        </w:rPr>
        <w:t>中心村建设任务表</w:t>
      </w:r>
    </w:p>
    <w:p>
      <w:pPr>
        <w:pStyle w:val="2"/>
        <w:spacing w:before="0" w:after="0"/>
        <w:ind w:firstLine="560"/>
        <w:rPr>
          <w:rFonts w:ascii="仿宋_GB2312" w:eastAsia="仿宋_GB2312"/>
          <w:b w:val="0"/>
          <w:sz w:val="28"/>
          <w:szCs w:val="28"/>
        </w:rPr>
      </w:pPr>
      <w:r>
        <w:rPr>
          <w:rFonts w:hint="eastAsia" w:ascii="仿宋_GB2312" w:eastAsia="仿宋_GB2312"/>
          <w:b w:val="0"/>
          <w:sz w:val="28"/>
          <w:szCs w:val="28"/>
        </w:rPr>
        <w:t xml:space="preserve">                                             单位：个</w:t>
      </w:r>
    </w:p>
    <w:tbl>
      <w:tblPr>
        <w:tblStyle w:val="27"/>
        <w:tblW w:w="88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2"/>
        <w:gridCol w:w="1140"/>
        <w:gridCol w:w="1140"/>
        <w:gridCol w:w="1140"/>
        <w:gridCol w:w="1140"/>
        <w:gridCol w:w="1140"/>
        <w:gridCol w:w="1140"/>
        <w:gridCol w:w="11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jc w:val="center"/>
        </w:trPr>
        <w:tc>
          <w:tcPr>
            <w:tcW w:w="882" w:type="dxa"/>
            <w:vAlign w:val="center"/>
          </w:tcPr>
          <w:p>
            <w:pPr>
              <w:widowControl/>
              <w:spacing w:before="0" w:after="0"/>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序号</w:t>
            </w:r>
          </w:p>
        </w:tc>
        <w:tc>
          <w:tcPr>
            <w:tcW w:w="1140" w:type="dxa"/>
            <w:vAlign w:val="center"/>
          </w:tcPr>
          <w:p>
            <w:pPr>
              <w:widowControl/>
              <w:spacing w:before="0" w:after="0"/>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县区</w:t>
            </w:r>
          </w:p>
        </w:tc>
        <w:tc>
          <w:tcPr>
            <w:tcW w:w="1140" w:type="dxa"/>
            <w:vAlign w:val="center"/>
          </w:tcPr>
          <w:p>
            <w:pPr>
              <w:widowControl/>
              <w:spacing w:before="0" w:after="0"/>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2021年</w:t>
            </w:r>
          </w:p>
        </w:tc>
        <w:tc>
          <w:tcPr>
            <w:tcW w:w="1140" w:type="dxa"/>
            <w:vAlign w:val="center"/>
          </w:tcPr>
          <w:p>
            <w:pPr>
              <w:widowControl/>
              <w:spacing w:before="0" w:after="0"/>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2022年</w:t>
            </w:r>
          </w:p>
        </w:tc>
        <w:tc>
          <w:tcPr>
            <w:tcW w:w="1140" w:type="dxa"/>
            <w:vAlign w:val="center"/>
          </w:tcPr>
          <w:p>
            <w:pPr>
              <w:widowControl/>
              <w:spacing w:before="0" w:after="0"/>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2023年</w:t>
            </w:r>
          </w:p>
        </w:tc>
        <w:tc>
          <w:tcPr>
            <w:tcW w:w="1140" w:type="dxa"/>
            <w:vAlign w:val="center"/>
          </w:tcPr>
          <w:p>
            <w:pPr>
              <w:widowControl/>
              <w:spacing w:before="0" w:after="0"/>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2024年</w:t>
            </w:r>
          </w:p>
        </w:tc>
        <w:tc>
          <w:tcPr>
            <w:tcW w:w="1140" w:type="dxa"/>
            <w:vAlign w:val="center"/>
          </w:tcPr>
          <w:p>
            <w:pPr>
              <w:widowControl/>
              <w:spacing w:before="0" w:after="0"/>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2025年</w:t>
            </w:r>
          </w:p>
        </w:tc>
        <w:tc>
          <w:tcPr>
            <w:tcW w:w="1140" w:type="dxa"/>
            <w:vAlign w:val="center"/>
          </w:tcPr>
          <w:p>
            <w:pPr>
              <w:widowControl/>
              <w:spacing w:before="0" w:after="0"/>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jc w:val="center"/>
        </w:trPr>
        <w:tc>
          <w:tcPr>
            <w:tcW w:w="882"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濉溪县</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12</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11</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11</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11</w:t>
            </w:r>
          </w:p>
        </w:tc>
        <w:tc>
          <w:tcPr>
            <w:tcW w:w="1140" w:type="dxa"/>
            <w:vMerge w:val="restart"/>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sz w:val="28"/>
                <w:szCs w:val="28"/>
              </w:rPr>
              <w:t>持续巩固提升</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jc w:val="center"/>
        </w:trPr>
        <w:tc>
          <w:tcPr>
            <w:tcW w:w="882"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2</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相山区</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0</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0</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0</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0</w:t>
            </w:r>
          </w:p>
        </w:tc>
        <w:tc>
          <w:tcPr>
            <w:tcW w:w="1140" w:type="dxa"/>
            <w:vMerge w:val="continue"/>
            <w:vAlign w:val="center"/>
          </w:tcPr>
          <w:p>
            <w:pPr>
              <w:widowControl/>
              <w:spacing w:before="0" w:after="0"/>
              <w:ind w:firstLine="560"/>
              <w:jc w:val="center"/>
              <w:rPr>
                <w:rFonts w:ascii="Times New Roman" w:hAnsi="Times New Roman" w:eastAsia="仿宋_GB2312"/>
                <w:color w:val="000000"/>
                <w:kern w:val="0"/>
                <w:sz w:val="28"/>
                <w:szCs w:val="28"/>
              </w:rPr>
            </w:pP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jc w:val="center"/>
        </w:trPr>
        <w:tc>
          <w:tcPr>
            <w:tcW w:w="882"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3</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杜集区</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2</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3</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2</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w:t>
            </w:r>
          </w:p>
        </w:tc>
        <w:tc>
          <w:tcPr>
            <w:tcW w:w="1140" w:type="dxa"/>
            <w:vMerge w:val="continue"/>
            <w:vAlign w:val="center"/>
          </w:tcPr>
          <w:p>
            <w:pPr>
              <w:widowControl/>
              <w:spacing w:before="0" w:after="0"/>
              <w:ind w:firstLine="560"/>
              <w:jc w:val="center"/>
              <w:rPr>
                <w:rFonts w:ascii="Times New Roman" w:hAnsi="Times New Roman" w:eastAsia="仿宋_GB2312"/>
                <w:color w:val="000000"/>
                <w:kern w:val="0"/>
                <w:sz w:val="28"/>
                <w:szCs w:val="28"/>
              </w:rPr>
            </w:pP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jc w:val="center"/>
        </w:trPr>
        <w:tc>
          <w:tcPr>
            <w:tcW w:w="882"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4</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烈山区</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2</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2</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3</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4</w:t>
            </w:r>
          </w:p>
        </w:tc>
        <w:tc>
          <w:tcPr>
            <w:tcW w:w="1140" w:type="dxa"/>
            <w:vMerge w:val="continue"/>
            <w:vAlign w:val="center"/>
          </w:tcPr>
          <w:p>
            <w:pPr>
              <w:widowControl/>
              <w:spacing w:before="0" w:after="0"/>
              <w:ind w:firstLine="560"/>
              <w:jc w:val="center"/>
              <w:rPr>
                <w:rFonts w:ascii="Times New Roman" w:hAnsi="Times New Roman" w:eastAsia="仿宋_GB2312"/>
                <w:color w:val="000000"/>
                <w:kern w:val="0"/>
                <w:sz w:val="28"/>
                <w:szCs w:val="28"/>
              </w:rPr>
            </w:pP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jc w:val="center"/>
        </w:trPr>
        <w:tc>
          <w:tcPr>
            <w:tcW w:w="2022" w:type="dxa"/>
            <w:gridSpan w:val="2"/>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全市</w:t>
            </w:r>
          </w:p>
        </w:tc>
        <w:tc>
          <w:tcPr>
            <w:tcW w:w="1140" w:type="dxa"/>
            <w:vAlign w:val="center"/>
          </w:tcPr>
          <w:p>
            <w:pPr>
              <w:widowControl/>
              <w:spacing w:before="0" w:after="0"/>
              <w:ind w:firstLine="56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16</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16</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16</w:t>
            </w: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16</w:t>
            </w:r>
          </w:p>
        </w:tc>
        <w:tc>
          <w:tcPr>
            <w:tcW w:w="1140" w:type="dxa"/>
            <w:vMerge w:val="continue"/>
            <w:vAlign w:val="center"/>
          </w:tcPr>
          <w:p>
            <w:pPr>
              <w:widowControl/>
              <w:spacing w:before="0" w:after="0"/>
              <w:ind w:firstLine="560"/>
              <w:jc w:val="center"/>
              <w:rPr>
                <w:rFonts w:ascii="Times New Roman" w:hAnsi="Times New Roman" w:eastAsia="仿宋_GB2312"/>
                <w:color w:val="000000"/>
                <w:kern w:val="0"/>
                <w:sz w:val="28"/>
                <w:szCs w:val="28"/>
              </w:rPr>
            </w:pPr>
          </w:p>
        </w:tc>
        <w:tc>
          <w:tcPr>
            <w:tcW w:w="1140" w:type="dxa"/>
            <w:vAlign w:val="center"/>
          </w:tcPr>
          <w:p>
            <w:pPr>
              <w:widowControl/>
              <w:spacing w:before="0" w:after="0"/>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64</w:t>
            </w:r>
          </w:p>
        </w:tc>
      </w:tr>
    </w:tbl>
    <w:p>
      <w:pPr>
        <w:widowControl/>
        <w:ind w:firstLine="0" w:firstLineChars="0"/>
        <w:rPr>
          <w:rFonts w:ascii="Times New Roman" w:hAnsi="Times New Roman" w:eastAsia="黑体"/>
          <w:color w:val="000000"/>
          <w:sz w:val="32"/>
          <w:szCs w:val="32"/>
        </w:rPr>
      </w:pPr>
    </w:p>
    <w:p>
      <w:pPr>
        <w:widowControl/>
        <w:ind w:firstLine="0" w:firstLineChars="0"/>
        <w:rPr>
          <w:rFonts w:ascii="Times New Roman" w:hAnsi="Times New Roman" w:eastAsia="黑体"/>
          <w:color w:val="000000"/>
          <w:sz w:val="32"/>
          <w:szCs w:val="32"/>
        </w:rPr>
      </w:pPr>
    </w:p>
    <w:p>
      <w:pPr>
        <w:widowControl/>
        <w:ind w:firstLine="0" w:firstLineChars="0"/>
        <w:rPr>
          <w:rFonts w:ascii="Times New Roman" w:hAnsi="Times New Roman" w:eastAsia="黑体"/>
          <w:color w:val="000000"/>
          <w:sz w:val="32"/>
          <w:szCs w:val="32"/>
        </w:rPr>
      </w:pPr>
    </w:p>
    <w:p>
      <w:pPr>
        <w:widowControl/>
        <w:ind w:firstLine="0" w:firstLineChars="0"/>
        <w:rPr>
          <w:rFonts w:ascii="Times New Roman" w:hAnsi="Times New Roman" w:eastAsia="黑体"/>
          <w:color w:val="000000"/>
          <w:sz w:val="32"/>
          <w:szCs w:val="32"/>
        </w:rPr>
        <w:sectPr>
          <w:pgSz w:w="11906" w:h="16838"/>
          <w:pgMar w:top="1985" w:right="1474" w:bottom="1871" w:left="1588" w:header="851" w:footer="1474" w:gutter="0"/>
          <w:cols w:space="720" w:num="1"/>
          <w:docGrid w:type="lines" w:linePitch="408" w:charSpace="0"/>
        </w:sectPr>
      </w:pPr>
    </w:p>
    <w:p>
      <w:pPr>
        <w:widowControl/>
        <w:ind w:firstLine="0" w:firstLineChars="0"/>
        <w:rPr>
          <w:rFonts w:ascii="Times New Roman" w:hAnsi="Times New Roman" w:eastAsia="黑体"/>
          <w:color w:val="000000"/>
          <w:sz w:val="32"/>
          <w:szCs w:val="32"/>
        </w:rPr>
      </w:pPr>
      <w:r>
        <w:rPr>
          <w:rFonts w:ascii="Times New Roman" w:hAnsi="Times New Roman" w:eastAsia="黑体"/>
          <w:color w:val="000000"/>
          <w:sz w:val="32"/>
          <w:szCs w:val="32"/>
        </w:rPr>
        <w:t>附</w:t>
      </w:r>
      <w:r>
        <w:rPr>
          <w:rFonts w:hint="eastAsia" w:ascii="Times New Roman" w:hAnsi="Times New Roman" w:eastAsia="黑体"/>
          <w:color w:val="000000"/>
          <w:sz w:val="32"/>
          <w:szCs w:val="32"/>
        </w:rPr>
        <w:t>表3</w:t>
      </w:r>
    </w:p>
    <w:p>
      <w:pPr>
        <w:spacing w:before="0" w:after="0"/>
        <w:ind w:firstLine="0" w:firstLineChars="0"/>
        <w:jc w:val="center"/>
        <w:rPr>
          <w:rFonts w:ascii="Times New Roman" w:hAnsi="Times New Roman" w:eastAsia="方正小标宋简体"/>
          <w:color w:val="000000"/>
          <w:kern w:val="0"/>
          <w:sz w:val="44"/>
          <w:szCs w:val="44"/>
        </w:rPr>
      </w:pPr>
      <w:r>
        <w:rPr>
          <w:rFonts w:hint="eastAsia" w:ascii="Times New Roman" w:hAnsi="Times New Roman" w:eastAsia="方正小标宋简体"/>
          <w:color w:val="000000"/>
          <w:kern w:val="0"/>
          <w:sz w:val="44"/>
          <w:szCs w:val="44"/>
        </w:rPr>
        <w:t>“十四五”各县（区）</w:t>
      </w:r>
      <w:r>
        <w:rPr>
          <w:rFonts w:ascii="Times New Roman" w:hAnsi="Times New Roman" w:eastAsia="方正小标宋简体"/>
          <w:color w:val="000000"/>
          <w:kern w:val="0"/>
          <w:sz w:val="44"/>
          <w:szCs w:val="44"/>
        </w:rPr>
        <w:t>美丽宜居自然村</w:t>
      </w:r>
    </w:p>
    <w:p>
      <w:pPr>
        <w:spacing w:before="0" w:after="0"/>
        <w:ind w:firstLine="0" w:firstLineChars="0"/>
        <w:jc w:val="center"/>
        <w:rPr>
          <w:rFonts w:ascii="Times New Roman" w:hAnsi="Times New Roman" w:eastAsia="方正小标宋简体"/>
          <w:color w:val="000000"/>
          <w:kern w:val="0"/>
          <w:sz w:val="44"/>
          <w:szCs w:val="44"/>
        </w:rPr>
      </w:pPr>
      <w:r>
        <w:rPr>
          <w:rFonts w:ascii="Times New Roman" w:hAnsi="Times New Roman" w:eastAsia="方正小标宋简体"/>
          <w:color w:val="000000"/>
          <w:kern w:val="0"/>
          <w:sz w:val="44"/>
          <w:szCs w:val="44"/>
        </w:rPr>
        <w:t>建设任务表</w:t>
      </w:r>
    </w:p>
    <w:p>
      <w:pPr>
        <w:spacing w:before="0" w:after="0"/>
        <w:ind w:firstLine="560"/>
        <w:jc w:val="center"/>
        <w:textAlignment w:val="baseline"/>
        <w:rPr>
          <w:rFonts w:ascii="Times New Roman" w:hAnsi="Times New Roman" w:eastAsia="楷体_GB2312"/>
          <w:color w:val="000000"/>
          <w:sz w:val="28"/>
          <w:szCs w:val="28"/>
        </w:rPr>
      </w:pPr>
      <w:r>
        <w:rPr>
          <w:rFonts w:hint="eastAsia" w:ascii="Times New Roman" w:hAnsi="Times New Roman" w:eastAsia="楷体_GB2312"/>
          <w:color w:val="000000"/>
          <w:sz w:val="28"/>
          <w:szCs w:val="28"/>
        </w:rPr>
        <w:t xml:space="preserve">                                         </w:t>
      </w:r>
      <w:r>
        <w:rPr>
          <w:rFonts w:ascii="Times New Roman" w:hAnsi="Times New Roman" w:eastAsia="楷体_GB2312"/>
          <w:color w:val="000000"/>
          <w:sz w:val="28"/>
          <w:szCs w:val="28"/>
        </w:rPr>
        <w:t>单位：个</w:t>
      </w:r>
    </w:p>
    <w:tbl>
      <w:tblPr>
        <w:tblStyle w:val="27"/>
        <w:tblW w:w="88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276"/>
        <w:gridCol w:w="1132"/>
        <w:gridCol w:w="1132"/>
        <w:gridCol w:w="1132"/>
        <w:gridCol w:w="1132"/>
        <w:gridCol w:w="1132"/>
        <w:gridCol w:w="11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817" w:type="dxa"/>
            <w:vAlign w:val="center"/>
          </w:tcPr>
          <w:p>
            <w:pPr>
              <w:widowControl/>
              <w:spacing w:before="0" w:after="0" w:line="400" w:lineRule="exact"/>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序号</w:t>
            </w:r>
          </w:p>
        </w:tc>
        <w:tc>
          <w:tcPr>
            <w:tcW w:w="1276" w:type="dxa"/>
            <w:vAlign w:val="center"/>
          </w:tcPr>
          <w:p>
            <w:pPr>
              <w:widowControl/>
              <w:spacing w:before="0" w:after="0" w:line="400" w:lineRule="exact"/>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县区</w:t>
            </w:r>
          </w:p>
        </w:tc>
        <w:tc>
          <w:tcPr>
            <w:tcW w:w="1132" w:type="dxa"/>
            <w:vAlign w:val="center"/>
          </w:tcPr>
          <w:p>
            <w:pPr>
              <w:widowControl/>
              <w:spacing w:before="0" w:after="0" w:line="400" w:lineRule="exact"/>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2021年</w:t>
            </w:r>
          </w:p>
        </w:tc>
        <w:tc>
          <w:tcPr>
            <w:tcW w:w="1132" w:type="dxa"/>
            <w:vAlign w:val="center"/>
          </w:tcPr>
          <w:p>
            <w:pPr>
              <w:widowControl/>
              <w:spacing w:before="0" w:after="0" w:line="400" w:lineRule="exact"/>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2022年</w:t>
            </w:r>
          </w:p>
        </w:tc>
        <w:tc>
          <w:tcPr>
            <w:tcW w:w="1132" w:type="dxa"/>
            <w:vAlign w:val="center"/>
          </w:tcPr>
          <w:p>
            <w:pPr>
              <w:widowControl/>
              <w:spacing w:before="0" w:after="0" w:line="400" w:lineRule="exact"/>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2023年</w:t>
            </w:r>
          </w:p>
        </w:tc>
        <w:tc>
          <w:tcPr>
            <w:tcW w:w="1132" w:type="dxa"/>
            <w:vAlign w:val="center"/>
          </w:tcPr>
          <w:p>
            <w:pPr>
              <w:widowControl/>
              <w:spacing w:before="0" w:after="0" w:line="400" w:lineRule="exact"/>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2024年</w:t>
            </w:r>
          </w:p>
        </w:tc>
        <w:tc>
          <w:tcPr>
            <w:tcW w:w="1132" w:type="dxa"/>
            <w:vAlign w:val="center"/>
          </w:tcPr>
          <w:p>
            <w:pPr>
              <w:widowControl/>
              <w:spacing w:before="0" w:after="0" w:line="400" w:lineRule="exact"/>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2025年</w:t>
            </w:r>
          </w:p>
        </w:tc>
        <w:tc>
          <w:tcPr>
            <w:tcW w:w="1132" w:type="dxa"/>
            <w:vAlign w:val="center"/>
          </w:tcPr>
          <w:p>
            <w:pPr>
              <w:widowControl/>
              <w:spacing w:before="0" w:after="0" w:line="400" w:lineRule="exact"/>
              <w:ind w:firstLine="0" w:firstLineChars="0"/>
              <w:jc w:val="center"/>
              <w:rPr>
                <w:rFonts w:ascii="Times New Roman" w:hAnsi="Times New Roman" w:eastAsia="黑体"/>
                <w:color w:val="000000"/>
                <w:kern w:val="0"/>
                <w:sz w:val="28"/>
                <w:szCs w:val="28"/>
              </w:rPr>
            </w:pPr>
            <w:r>
              <w:rPr>
                <w:rFonts w:ascii="Times New Roman" w:hAnsi="Times New Roman" w:eastAsia="黑体"/>
                <w:color w:val="000000"/>
                <w:kern w:val="0"/>
                <w:sz w:val="28"/>
                <w:szCs w:val="28"/>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817"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w:t>
            </w:r>
          </w:p>
        </w:tc>
        <w:tc>
          <w:tcPr>
            <w:tcW w:w="1276" w:type="dxa"/>
            <w:vAlign w:val="center"/>
          </w:tcPr>
          <w:p>
            <w:pPr>
              <w:widowControl/>
              <w:spacing w:before="0" w:after="0" w:line="400" w:lineRule="exact"/>
              <w:ind w:firstLine="0" w:firstLineChars="0"/>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濉溪县</w:t>
            </w: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0</w:t>
            </w: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200</w:t>
            </w: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200</w:t>
            </w: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200</w:t>
            </w:r>
          </w:p>
        </w:tc>
        <w:tc>
          <w:tcPr>
            <w:tcW w:w="1132" w:type="dxa"/>
            <w:vMerge w:val="restart"/>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sz w:val="28"/>
                <w:szCs w:val="28"/>
              </w:rPr>
              <w:t>持续巩固提升</w:t>
            </w: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817"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2</w:t>
            </w:r>
          </w:p>
        </w:tc>
        <w:tc>
          <w:tcPr>
            <w:tcW w:w="1276" w:type="dxa"/>
            <w:vAlign w:val="center"/>
          </w:tcPr>
          <w:p>
            <w:pPr>
              <w:widowControl/>
              <w:spacing w:before="0" w:after="0" w:line="400" w:lineRule="exact"/>
              <w:ind w:firstLine="0" w:firstLineChars="0"/>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相山区</w:t>
            </w: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0</w:t>
            </w: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16</w:t>
            </w: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12</w:t>
            </w: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12</w:t>
            </w:r>
          </w:p>
        </w:tc>
        <w:tc>
          <w:tcPr>
            <w:tcW w:w="1132" w:type="dxa"/>
            <w:vMerge w:val="continue"/>
            <w:vAlign w:val="center"/>
          </w:tcPr>
          <w:p>
            <w:pPr>
              <w:widowControl/>
              <w:spacing w:before="0" w:after="0" w:line="400" w:lineRule="exact"/>
              <w:ind w:firstLine="560"/>
              <w:jc w:val="center"/>
              <w:rPr>
                <w:rFonts w:ascii="Times New Roman" w:hAnsi="Times New Roman" w:eastAsia="仿宋_GB2312"/>
                <w:color w:val="000000"/>
                <w:kern w:val="0"/>
                <w:sz w:val="28"/>
                <w:szCs w:val="28"/>
              </w:rPr>
            </w:pP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817"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3</w:t>
            </w:r>
          </w:p>
        </w:tc>
        <w:tc>
          <w:tcPr>
            <w:tcW w:w="1276" w:type="dxa"/>
            <w:vAlign w:val="center"/>
          </w:tcPr>
          <w:p>
            <w:pPr>
              <w:widowControl/>
              <w:spacing w:before="0" w:after="0" w:line="400" w:lineRule="exact"/>
              <w:ind w:firstLine="0" w:firstLineChars="0"/>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杜集区</w:t>
            </w: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0</w:t>
            </w: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22</w:t>
            </w: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19</w:t>
            </w: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19</w:t>
            </w:r>
          </w:p>
        </w:tc>
        <w:tc>
          <w:tcPr>
            <w:tcW w:w="1132" w:type="dxa"/>
            <w:vMerge w:val="continue"/>
            <w:vAlign w:val="center"/>
          </w:tcPr>
          <w:p>
            <w:pPr>
              <w:widowControl/>
              <w:spacing w:before="0" w:after="0" w:line="400" w:lineRule="exact"/>
              <w:ind w:firstLine="560"/>
              <w:jc w:val="center"/>
              <w:rPr>
                <w:rFonts w:ascii="Times New Roman" w:hAnsi="Times New Roman" w:eastAsia="仿宋_GB2312"/>
                <w:color w:val="000000"/>
                <w:kern w:val="0"/>
                <w:sz w:val="28"/>
                <w:szCs w:val="28"/>
              </w:rPr>
            </w:pP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817"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4</w:t>
            </w:r>
          </w:p>
        </w:tc>
        <w:tc>
          <w:tcPr>
            <w:tcW w:w="1276" w:type="dxa"/>
            <w:vAlign w:val="center"/>
          </w:tcPr>
          <w:p>
            <w:pPr>
              <w:widowControl/>
              <w:spacing w:before="0" w:after="0" w:line="400" w:lineRule="exact"/>
              <w:ind w:firstLine="0" w:firstLineChars="0"/>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烈山区</w:t>
            </w: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0</w:t>
            </w: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17</w:t>
            </w: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24</w:t>
            </w: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24</w:t>
            </w:r>
          </w:p>
        </w:tc>
        <w:tc>
          <w:tcPr>
            <w:tcW w:w="1132" w:type="dxa"/>
            <w:vMerge w:val="continue"/>
            <w:vAlign w:val="center"/>
          </w:tcPr>
          <w:p>
            <w:pPr>
              <w:widowControl/>
              <w:spacing w:before="0" w:after="0" w:line="400" w:lineRule="exact"/>
              <w:ind w:firstLine="560"/>
              <w:jc w:val="center"/>
              <w:rPr>
                <w:rFonts w:ascii="Times New Roman" w:hAnsi="Times New Roman" w:eastAsia="仿宋_GB2312"/>
                <w:color w:val="000000"/>
                <w:kern w:val="0"/>
                <w:sz w:val="28"/>
                <w:szCs w:val="28"/>
              </w:rPr>
            </w:pP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2093" w:type="dxa"/>
            <w:gridSpan w:val="2"/>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全市</w:t>
            </w: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0</w:t>
            </w: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255</w:t>
            </w: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255</w:t>
            </w: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255</w:t>
            </w:r>
          </w:p>
        </w:tc>
        <w:tc>
          <w:tcPr>
            <w:tcW w:w="1132" w:type="dxa"/>
            <w:vMerge w:val="continue"/>
            <w:vAlign w:val="center"/>
          </w:tcPr>
          <w:p>
            <w:pPr>
              <w:widowControl/>
              <w:spacing w:before="0" w:after="0" w:line="400" w:lineRule="exact"/>
              <w:ind w:firstLine="560"/>
              <w:jc w:val="center"/>
              <w:rPr>
                <w:rFonts w:ascii="Times New Roman" w:hAnsi="Times New Roman" w:eastAsia="仿宋_GB2312"/>
                <w:color w:val="000000"/>
                <w:kern w:val="0"/>
                <w:sz w:val="28"/>
                <w:szCs w:val="28"/>
              </w:rPr>
            </w:pPr>
          </w:p>
        </w:tc>
        <w:tc>
          <w:tcPr>
            <w:tcW w:w="1132" w:type="dxa"/>
            <w:vAlign w:val="center"/>
          </w:tcPr>
          <w:p>
            <w:pPr>
              <w:widowControl/>
              <w:spacing w:before="0" w:after="0" w:line="400" w:lineRule="exact"/>
              <w:ind w:firstLine="0" w:firstLineChars="0"/>
              <w:jc w:val="center"/>
              <w:rPr>
                <w:rFonts w:ascii="Times New Roman" w:hAnsi="Times New Roman" w:eastAsia="仿宋_GB2312"/>
                <w:color w:val="000000"/>
                <w:kern w:val="0"/>
                <w:sz w:val="28"/>
                <w:szCs w:val="28"/>
              </w:rPr>
            </w:pPr>
            <w:r>
              <w:rPr>
                <w:rFonts w:ascii="Times New Roman" w:hAnsi="Times New Roman" w:eastAsia="仿宋_GB2312"/>
                <w:color w:val="000000"/>
                <w:kern w:val="0"/>
                <w:sz w:val="28"/>
                <w:szCs w:val="28"/>
              </w:rPr>
              <w:t>765</w:t>
            </w:r>
          </w:p>
        </w:tc>
      </w:tr>
    </w:tbl>
    <w:p>
      <w:pPr>
        <w:pStyle w:val="26"/>
        <w:spacing w:before="0" w:after="0" w:line="580" w:lineRule="exact"/>
        <w:ind w:leftChars="0" w:firstLine="419" w:firstLineChars="131"/>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pStyle w:val="26"/>
        <w:spacing w:before="0" w:after="0" w:line="580" w:lineRule="exact"/>
        <w:ind w:left="0" w:leftChars="0" w:firstLine="640"/>
        <w:rPr>
          <w:rFonts w:eastAsia="仿宋_GB2312"/>
          <w:color w:val="000000"/>
          <w:kern w:val="2"/>
          <w:sz w:val="32"/>
          <w:szCs w:val="32"/>
        </w:rPr>
      </w:pPr>
    </w:p>
    <w:p>
      <w:pPr>
        <w:spacing w:line="500" w:lineRule="exact"/>
        <w:ind w:firstLine="560"/>
        <w:rPr>
          <w:rFonts w:eastAsia="仿宋_GB2312"/>
          <w:spacing w:val="-20"/>
          <w:sz w:val="32"/>
          <w:szCs w:val="32"/>
        </w:rPr>
      </w:pPr>
    </w:p>
    <w:p>
      <w:pPr>
        <w:spacing w:line="580" w:lineRule="exact"/>
        <w:ind w:firstLine="280" w:firstLineChars="100"/>
        <w:rPr>
          <w:rFonts w:ascii="Times New Roman" w:hAnsi="Times New Roman" w:eastAsia="仿宋_GB2312"/>
          <w:sz w:val="28"/>
          <w:szCs w:val="28"/>
        </w:rPr>
      </w:pPr>
      <w:r>
        <w:rPr>
          <w:rFonts w:ascii="Times New Roman" w:hAnsi="Times New Roman" w:eastAsia="仿宋_GB2312"/>
          <w:sz w:val="28"/>
          <w:szCs w:val="28"/>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375285</wp:posOffset>
                </wp:positionV>
                <wp:extent cx="5630545" cy="0"/>
                <wp:effectExtent l="0" t="0" r="27305" b="19050"/>
                <wp:wrapNone/>
                <wp:docPr id="4" name="Line 3"/>
                <wp:cNvGraphicFramePr/>
                <a:graphic xmlns:a="http://schemas.openxmlformats.org/drawingml/2006/main">
                  <a:graphicData uri="http://schemas.microsoft.com/office/word/2010/wordprocessingShape">
                    <wps:wsp>
                      <wps:cNvCnPr>
                        <a:cxnSpLocks noChangeShapeType="1"/>
                      </wps:cNvCnPr>
                      <wps:spPr bwMode="auto">
                        <a:xfrm>
                          <a:off x="0" y="0"/>
                          <a:ext cx="5630545" cy="0"/>
                        </a:xfrm>
                        <a:prstGeom prst="line">
                          <a:avLst/>
                        </a:prstGeom>
                        <a:noFill/>
                        <a:ln w="9525">
                          <a:solidFill>
                            <a:srgbClr val="000000"/>
                          </a:solidFill>
                          <a:round/>
                        </a:ln>
                      </wps:spPr>
                      <wps:bodyPr/>
                    </wps:wsp>
                  </a:graphicData>
                </a:graphic>
              </wp:anchor>
            </w:drawing>
          </mc:Choice>
          <mc:Fallback>
            <w:pict>
              <v:line id="Line 3" o:spid="_x0000_s1026" o:spt="20" style="position:absolute;left:0pt;margin-left:0pt;margin-top:29.55pt;height:0pt;width:443.35pt;z-index:251660288;mso-width-relative:page;mso-height-relative:page;" filled="f" stroked="t" coordsize="21600,21600" o:gfxdata="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">
                <v:fill on="f" focussize="0,0"/>
                <v:stroke color="#000000" joinstyle="round"/>
                <v:imagedata o:title=""/>
                <o:lock v:ext="edit" aspectratio="f"/>
              </v:line>
            </w:pict>
          </mc:Fallback>
        </mc:AlternateContent>
      </w:r>
      <w:r>
        <w:rPr>
          <w:rFonts w:ascii="Times New Roman" w:hAnsi="Times New Roman" w:eastAsia="仿宋_GB2312"/>
          <w:sz w:val="28"/>
          <w:szCs w:val="28"/>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43815</wp:posOffset>
                </wp:positionV>
                <wp:extent cx="5630545" cy="0"/>
                <wp:effectExtent l="0" t="0" r="27305" b="19050"/>
                <wp:wrapNone/>
                <wp:docPr id="3" name="Line 2"/>
                <wp:cNvGraphicFramePr/>
                <a:graphic xmlns:a="http://schemas.openxmlformats.org/drawingml/2006/main">
                  <a:graphicData uri="http://schemas.microsoft.com/office/word/2010/wordprocessingShape">
                    <wps:wsp>
                      <wps:cNvCnPr>
                        <a:cxnSpLocks noChangeShapeType="1"/>
                      </wps:cNvCnPr>
                      <wps:spPr bwMode="auto">
                        <a:xfrm>
                          <a:off x="0" y="0"/>
                          <a:ext cx="5630545" cy="0"/>
                        </a:xfrm>
                        <a:prstGeom prst="line">
                          <a:avLst/>
                        </a:prstGeom>
                        <a:noFill/>
                        <a:ln w="9525">
                          <a:solidFill>
                            <a:srgbClr val="000000"/>
                          </a:solidFill>
                          <a:round/>
                        </a:ln>
                      </wps:spPr>
                      <wps:bodyPr/>
                    </wps:wsp>
                  </a:graphicData>
                </a:graphic>
              </wp:anchor>
            </w:drawing>
          </mc:Choice>
          <mc:Fallback>
            <w:pict>
              <v:line id="Line 2" o:spid="_x0000_s1026" o:spt="20" style="position:absolute;left:0pt;margin-left:0pt;margin-top:3.45pt;height:0pt;width:443.35pt;z-index:251659264;mso-width-relative:page;mso-height-relative:page;" filled="f" stroked="t" coordsize="21600,21600" o:gfxdata="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">
                <v:fill on="f" focussize="0,0"/>
                <v:stroke color="#000000" joinstyle="round"/>
                <v:imagedata o:title=""/>
                <o:lock v:ext="edit" aspectratio="f"/>
              </v:line>
            </w:pict>
          </mc:Fallback>
        </mc:AlternateContent>
      </w:r>
      <w:r>
        <w:rPr>
          <w:rFonts w:ascii="Times New Roman" w:hAnsi="Times New Roman" w:eastAsia="仿宋_GB2312"/>
          <w:sz w:val="28"/>
          <w:szCs w:val="28"/>
        </w:rPr>
        <w:t xml:space="preserve">淮北市农业农村局          </w:t>
      </w:r>
      <w:r>
        <w:rPr>
          <w:rFonts w:hint="eastAsia" w:ascii="Times New Roman" w:hAnsi="Times New Roman" w:eastAsia="仿宋_GB2312"/>
          <w:sz w:val="28"/>
          <w:szCs w:val="28"/>
        </w:rPr>
        <w:t xml:space="preserve">  </w:t>
      </w:r>
      <w:r>
        <w:rPr>
          <w:rFonts w:ascii="Times New Roman" w:hAnsi="Times New Roman" w:eastAsia="仿宋_GB2312"/>
          <w:sz w:val="28"/>
          <w:szCs w:val="28"/>
        </w:rPr>
        <w:t xml:space="preserve">      </w:t>
      </w:r>
      <w:r>
        <w:rPr>
          <w:rFonts w:hint="eastAsia" w:ascii="Times New Roman" w:hAnsi="Times New Roman" w:eastAsia="仿宋_GB2312"/>
          <w:sz w:val="28"/>
          <w:szCs w:val="28"/>
        </w:rPr>
        <w:t xml:space="preserve">      </w:t>
      </w:r>
      <w:r>
        <w:rPr>
          <w:rFonts w:ascii="Times New Roman" w:hAnsi="Times New Roman" w:eastAsia="仿宋_GB2312"/>
          <w:sz w:val="28"/>
          <w:szCs w:val="28"/>
        </w:rPr>
        <w:t>2022年3月25日印发</w:t>
      </w:r>
    </w:p>
    <w:sectPr>
      <w:pgSz w:w="11906" w:h="16838"/>
      <w:pgMar w:top="1985" w:right="1474" w:bottom="1871" w:left="1588" w:header="851" w:footer="1474" w:gutter="0"/>
      <w:cols w:space="720" w:num="1"/>
      <w:docGrid w:type="lines" w:linePitch="408"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00"/>
      </w:pPr>
      <w:r>
        <w:separator/>
      </w:r>
    </w:p>
  </w:endnote>
  <w:endnote w:type="continuationSeparator" w:id="1">
    <w:p>
      <w:pPr>
        <w:spacing w:line="240" w:lineRule="auto"/>
        <w:ind w:firstLine="60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华文仿宋">
    <w:altName w:val="汉仪仿宋简"/>
    <w:panose1 w:val="02010600040101010101"/>
    <w:charset w:val="86"/>
    <w:family w:val="auto"/>
    <w:pitch w:val="default"/>
    <w:sig w:usb0="00000000" w:usb1="00000000" w:usb2="00000000" w:usb3="00000000" w:csb0="0004009F" w:csb1="DFD70000"/>
  </w:font>
  <w:font w:name="汉仪仿宋简">
    <w:panose1 w:val="02010600000101010101"/>
    <w:charset w:val="86"/>
    <w:family w:val="auto"/>
    <w:pitch w:val="default"/>
    <w:sig w:usb0="00000001" w:usb1="080E0800" w:usb2="00000002" w:usb3="00000000" w:csb0="00040000" w:csb1="00000000"/>
  </w:font>
  <w:font w:name="方正黑体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altName w:val="方正楷体_GBK"/>
    <w:panose1 w:val="02010609060101010101"/>
    <w:charset w:val="86"/>
    <w:family w:val="auto"/>
    <w:pitch w:val="default"/>
    <w:sig w:usb0="00000000" w:usb1="00000000" w:usb2="00000016" w:usb3="00000000" w:csb0="00040001" w:csb1="00000000"/>
  </w:font>
  <w:font w:name="方正楷体_GBK">
    <w:panose1 w:val="02000000000000000000"/>
    <w:charset w:val="86"/>
    <w:family w:val="auto"/>
    <w:pitch w:val="default"/>
    <w:sig w:usb0="00000001" w:usb1="08000000" w:usb2="00000000" w:usb3="00000000" w:csb0="00040000" w:csb1="00000000"/>
  </w:font>
  <w:font w:name="文泉驿微米黑">
    <w:panose1 w:val="020B0606030804020204"/>
    <w:charset w:val="86"/>
    <w:family w:val="auto"/>
    <w:pitch w:val="default"/>
    <w:sig w:usb0="E10002EF" w:usb1="6BDFFCFB" w:usb2="00800036" w:usb3="00000000" w:csb0="603E01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spacing w:before="0" w:after="0" w:line="240" w:lineRule="auto"/>
      <w:ind w:firstLine="560"/>
      <w:jc w:val="right"/>
      <w:rPr>
        <w:rFonts w:ascii="宋体" w:hAnsi="宋体" w:eastAsia="宋体"/>
        <w:sz w:val="28"/>
        <w:szCs w:val="28"/>
      </w:rPr>
    </w:pPr>
    <w:r>
      <w:rPr>
        <w:rFonts w:hint="eastAsia" w:ascii="宋体" w:hAnsi="宋体" w:eastAsia="宋体"/>
        <w:sz w:val="28"/>
        <w:szCs w:val="28"/>
      </w:rPr>
      <w:t xml:space="preserve">— </w:t>
    </w: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rPr>
      <w:t>15</w:t>
    </w:r>
    <w:r>
      <w:rPr>
        <w:rFonts w:ascii="宋体" w:hAnsi="宋体" w:eastAsia="宋体"/>
        <w:sz w:val="28"/>
        <w:szCs w:val="28"/>
      </w:rPr>
      <w:fldChar w:fldCharType="end"/>
    </w:r>
    <w:r>
      <w:rPr>
        <w:rFonts w:hint="eastAsia" w:ascii="宋体" w:hAnsi="宋体" w:eastAsia="宋体"/>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spacing w:before="0" w:after="0" w:line="240" w:lineRule="auto"/>
      <w:ind w:firstLine="0" w:firstLineChars="0"/>
      <w:rPr>
        <w:rFonts w:ascii="宋体" w:hAnsi="宋体" w:eastAsia="宋体"/>
        <w:sz w:val="28"/>
        <w:szCs w:val="28"/>
      </w:rPr>
    </w:pPr>
    <w:r>
      <w:rPr>
        <w:rFonts w:hint="eastAsia" w:ascii="宋体" w:hAnsi="宋体" w:eastAsia="宋体"/>
        <w:sz w:val="28"/>
        <w:szCs w:val="28"/>
      </w:rPr>
      <w:t xml:space="preserve">— </w:t>
    </w: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rPr>
      <w:t>16</w:t>
    </w:r>
    <w:r>
      <w:rPr>
        <w:rFonts w:ascii="宋体" w:hAnsi="宋体" w:eastAsia="宋体"/>
        <w:sz w:val="28"/>
        <w:szCs w:val="28"/>
      </w:rPr>
      <w:fldChar w:fldCharType="end"/>
    </w:r>
    <w:r>
      <w:rPr>
        <w:rFonts w:hint="eastAsia" w:ascii="宋体" w:hAnsi="宋体" w:eastAsia="宋体"/>
        <w:sz w:val="28"/>
        <w:szCs w:val="28"/>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ind w:firstLine="600"/>
      </w:pPr>
      <w:r>
        <w:separator/>
      </w:r>
    </w:p>
  </w:footnote>
  <w:footnote w:type="continuationSeparator" w:id="1">
    <w:p>
      <w:pPr>
        <w:spacing w:before="0" w:after="0" w:line="240" w:lineRule="auto"/>
        <w:ind w:firstLine="60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60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0" w:after="0" w:line="240" w:lineRule="auto"/>
      <w:ind w:firstLine="60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evenAndOddHeaders w:val="1"/>
  <w:drawingGridHorizontalSpacing w:val="150"/>
  <w:drawingGridVerticalSpacing w:val="204"/>
  <w:displayHorizontalDrawingGridEvery w:val="2"/>
  <w:displayVerticalDrawingGridEvery w:val="2"/>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14EC"/>
    <w:rsid w:val="00000D06"/>
    <w:rsid w:val="00001EB8"/>
    <w:rsid w:val="00002FA6"/>
    <w:rsid w:val="00003B56"/>
    <w:rsid w:val="00005784"/>
    <w:rsid w:val="00023F2C"/>
    <w:rsid w:val="0002418B"/>
    <w:rsid w:val="00026DED"/>
    <w:rsid w:val="00030C84"/>
    <w:rsid w:val="0003541D"/>
    <w:rsid w:val="000369EA"/>
    <w:rsid w:val="00042F21"/>
    <w:rsid w:val="0004436E"/>
    <w:rsid w:val="00045544"/>
    <w:rsid w:val="00045EA0"/>
    <w:rsid w:val="00050420"/>
    <w:rsid w:val="00060FD0"/>
    <w:rsid w:val="000650E6"/>
    <w:rsid w:val="00074664"/>
    <w:rsid w:val="00080DDD"/>
    <w:rsid w:val="000829C2"/>
    <w:rsid w:val="00090A06"/>
    <w:rsid w:val="00091071"/>
    <w:rsid w:val="00091F69"/>
    <w:rsid w:val="00092107"/>
    <w:rsid w:val="000A53EC"/>
    <w:rsid w:val="000A68E0"/>
    <w:rsid w:val="000A78D7"/>
    <w:rsid w:val="000B0A02"/>
    <w:rsid w:val="000B3959"/>
    <w:rsid w:val="000B42AD"/>
    <w:rsid w:val="000B5083"/>
    <w:rsid w:val="000C3AC2"/>
    <w:rsid w:val="000D2599"/>
    <w:rsid w:val="000D3054"/>
    <w:rsid w:val="000D7338"/>
    <w:rsid w:val="000E4C4A"/>
    <w:rsid w:val="000E5E0E"/>
    <w:rsid w:val="000E6F54"/>
    <w:rsid w:val="000E7AAD"/>
    <w:rsid w:val="000E7ABF"/>
    <w:rsid w:val="000E7B1F"/>
    <w:rsid w:val="000F01A3"/>
    <w:rsid w:val="000F1523"/>
    <w:rsid w:val="000F1826"/>
    <w:rsid w:val="000F5763"/>
    <w:rsid w:val="000F60DF"/>
    <w:rsid w:val="00100158"/>
    <w:rsid w:val="001067B2"/>
    <w:rsid w:val="0011284F"/>
    <w:rsid w:val="00120517"/>
    <w:rsid w:val="00123B12"/>
    <w:rsid w:val="00124B0E"/>
    <w:rsid w:val="0013221A"/>
    <w:rsid w:val="00145AF6"/>
    <w:rsid w:val="00150E22"/>
    <w:rsid w:val="001533B5"/>
    <w:rsid w:val="0015693F"/>
    <w:rsid w:val="00157A89"/>
    <w:rsid w:val="0016172E"/>
    <w:rsid w:val="0016290A"/>
    <w:rsid w:val="001638E3"/>
    <w:rsid w:val="00167AAA"/>
    <w:rsid w:val="00174B7C"/>
    <w:rsid w:val="00182552"/>
    <w:rsid w:val="00183373"/>
    <w:rsid w:val="00184678"/>
    <w:rsid w:val="00185A78"/>
    <w:rsid w:val="00185AE3"/>
    <w:rsid w:val="00186850"/>
    <w:rsid w:val="0018742A"/>
    <w:rsid w:val="001907C6"/>
    <w:rsid w:val="00194C76"/>
    <w:rsid w:val="00197793"/>
    <w:rsid w:val="001A014A"/>
    <w:rsid w:val="001A6027"/>
    <w:rsid w:val="001A6BE6"/>
    <w:rsid w:val="001B26C5"/>
    <w:rsid w:val="001B471B"/>
    <w:rsid w:val="001C21DA"/>
    <w:rsid w:val="001E696C"/>
    <w:rsid w:val="00203F53"/>
    <w:rsid w:val="00204617"/>
    <w:rsid w:val="00206B63"/>
    <w:rsid w:val="002070D1"/>
    <w:rsid w:val="00207938"/>
    <w:rsid w:val="002125DA"/>
    <w:rsid w:val="00212A36"/>
    <w:rsid w:val="00212C33"/>
    <w:rsid w:val="00226180"/>
    <w:rsid w:val="00226D56"/>
    <w:rsid w:val="00243F0A"/>
    <w:rsid w:val="00244552"/>
    <w:rsid w:val="002479F1"/>
    <w:rsid w:val="00250AAA"/>
    <w:rsid w:val="0025129F"/>
    <w:rsid w:val="002518AA"/>
    <w:rsid w:val="00254E5F"/>
    <w:rsid w:val="0026002D"/>
    <w:rsid w:val="0026027D"/>
    <w:rsid w:val="00263139"/>
    <w:rsid w:val="00272A13"/>
    <w:rsid w:val="002753E8"/>
    <w:rsid w:val="00275A7B"/>
    <w:rsid w:val="00275BE6"/>
    <w:rsid w:val="002765A4"/>
    <w:rsid w:val="00290158"/>
    <w:rsid w:val="0029097A"/>
    <w:rsid w:val="002A12BD"/>
    <w:rsid w:val="002A1B38"/>
    <w:rsid w:val="002A5DE9"/>
    <w:rsid w:val="002B6CAF"/>
    <w:rsid w:val="002B7221"/>
    <w:rsid w:val="002B7B26"/>
    <w:rsid w:val="002B7BAB"/>
    <w:rsid w:val="002C3E1E"/>
    <w:rsid w:val="002C5B1F"/>
    <w:rsid w:val="002D00B7"/>
    <w:rsid w:val="002D27E2"/>
    <w:rsid w:val="002D582C"/>
    <w:rsid w:val="002D6CDC"/>
    <w:rsid w:val="002D7222"/>
    <w:rsid w:val="002D7A9C"/>
    <w:rsid w:val="002E1071"/>
    <w:rsid w:val="002E2C56"/>
    <w:rsid w:val="002E442C"/>
    <w:rsid w:val="002E65FE"/>
    <w:rsid w:val="002F5C6B"/>
    <w:rsid w:val="003036A9"/>
    <w:rsid w:val="0031527B"/>
    <w:rsid w:val="00320C02"/>
    <w:rsid w:val="003255C0"/>
    <w:rsid w:val="00332518"/>
    <w:rsid w:val="00342B44"/>
    <w:rsid w:val="00346D6B"/>
    <w:rsid w:val="00347C6D"/>
    <w:rsid w:val="003522AA"/>
    <w:rsid w:val="003540A8"/>
    <w:rsid w:val="003558FF"/>
    <w:rsid w:val="00361C71"/>
    <w:rsid w:val="00363B2C"/>
    <w:rsid w:val="00380B95"/>
    <w:rsid w:val="00391807"/>
    <w:rsid w:val="00391A2B"/>
    <w:rsid w:val="003A0A65"/>
    <w:rsid w:val="003A311C"/>
    <w:rsid w:val="003A4850"/>
    <w:rsid w:val="003B2CF0"/>
    <w:rsid w:val="003B4BC5"/>
    <w:rsid w:val="003C2C38"/>
    <w:rsid w:val="003C3720"/>
    <w:rsid w:val="003C3F76"/>
    <w:rsid w:val="003C41B3"/>
    <w:rsid w:val="003C5E25"/>
    <w:rsid w:val="003C6071"/>
    <w:rsid w:val="003C749F"/>
    <w:rsid w:val="003C7946"/>
    <w:rsid w:val="003D0908"/>
    <w:rsid w:val="003D0E51"/>
    <w:rsid w:val="003D61DE"/>
    <w:rsid w:val="003D6C04"/>
    <w:rsid w:val="003E283B"/>
    <w:rsid w:val="003E44B3"/>
    <w:rsid w:val="003E4FEC"/>
    <w:rsid w:val="003F0A29"/>
    <w:rsid w:val="003F1EE1"/>
    <w:rsid w:val="004001D9"/>
    <w:rsid w:val="004002DC"/>
    <w:rsid w:val="004008BC"/>
    <w:rsid w:val="00400BBB"/>
    <w:rsid w:val="00402B4A"/>
    <w:rsid w:val="00405B9A"/>
    <w:rsid w:val="00406E8F"/>
    <w:rsid w:val="00420A50"/>
    <w:rsid w:val="004232E6"/>
    <w:rsid w:val="00425A1B"/>
    <w:rsid w:val="00426503"/>
    <w:rsid w:val="00427B7A"/>
    <w:rsid w:val="00431876"/>
    <w:rsid w:val="00431C74"/>
    <w:rsid w:val="00434F4C"/>
    <w:rsid w:val="00440604"/>
    <w:rsid w:val="004433F9"/>
    <w:rsid w:val="00444F28"/>
    <w:rsid w:val="00445ECA"/>
    <w:rsid w:val="00452787"/>
    <w:rsid w:val="00455430"/>
    <w:rsid w:val="004576EA"/>
    <w:rsid w:val="00466BBF"/>
    <w:rsid w:val="0046709B"/>
    <w:rsid w:val="00467ABB"/>
    <w:rsid w:val="00473993"/>
    <w:rsid w:val="00477F47"/>
    <w:rsid w:val="00484332"/>
    <w:rsid w:val="0048486F"/>
    <w:rsid w:val="004865E8"/>
    <w:rsid w:val="00487259"/>
    <w:rsid w:val="00490E70"/>
    <w:rsid w:val="00490F2C"/>
    <w:rsid w:val="004A0E14"/>
    <w:rsid w:val="004A4958"/>
    <w:rsid w:val="004A5742"/>
    <w:rsid w:val="004A6C3E"/>
    <w:rsid w:val="004B1885"/>
    <w:rsid w:val="004E0B66"/>
    <w:rsid w:val="004E7F6B"/>
    <w:rsid w:val="004F1838"/>
    <w:rsid w:val="004F6BCA"/>
    <w:rsid w:val="004F6EEC"/>
    <w:rsid w:val="0050494C"/>
    <w:rsid w:val="00504CF3"/>
    <w:rsid w:val="0050500D"/>
    <w:rsid w:val="00505162"/>
    <w:rsid w:val="00515691"/>
    <w:rsid w:val="00517D52"/>
    <w:rsid w:val="00524502"/>
    <w:rsid w:val="00533CFC"/>
    <w:rsid w:val="00546159"/>
    <w:rsid w:val="0055458E"/>
    <w:rsid w:val="00560F7D"/>
    <w:rsid w:val="005622D4"/>
    <w:rsid w:val="0057257B"/>
    <w:rsid w:val="0057409A"/>
    <w:rsid w:val="005748EA"/>
    <w:rsid w:val="00576D0E"/>
    <w:rsid w:val="00581642"/>
    <w:rsid w:val="00581658"/>
    <w:rsid w:val="005817AD"/>
    <w:rsid w:val="00594876"/>
    <w:rsid w:val="005957FE"/>
    <w:rsid w:val="00595843"/>
    <w:rsid w:val="005A2EA6"/>
    <w:rsid w:val="005A716D"/>
    <w:rsid w:val="005A7740"/>
    <w:rsid w:val="005A7EE3"/>
    <w:rsid w:val="005B001E"/>
    <w:rsid w:val="005B22A0"/>
    <w:rsid w:val="005B5AA4"/>
    <w:rsid w:val="005C3659"/>
    <w:rsid w:val="005C7912"/>
    <w:rsid w:val="005D003A"/>
    <w:rsid w:val="005E2A69"/>
    <w:rsid w:val="005E4D65"/>
    <w:rsid w:val="005F2086"/>
    <w:rsid w:val="00600D6E"/>
    <w:rsid w:val="0060163C"/>
    <w:rsid w:val="006069AB"/>
    <w:rsid w:val="006147FD"/>
    <w:rsid w:val="006244D8"/>
    <w:rsid w:val="006258EB"/>
    <w:rsid w:val="006262F8"/>
    <w:rsid w:val="00631477"/>
    <w:rsid w:val="00637A5F"/>
    <w:rsid w:val="0064137A"/>
    <w:rsid w:val="00641ABE"/>
    <w:rsid w:val="00643983"/>
    <w:rsid w:val="006467E9"/>
    <w:rsid w:val="00647AF9"/>
    <w:rsid w:val="0065274D"/>
    <w:rsid w:val="006551C8"/>
    <w:rsid w:val="00662BCD"/>
    <w:rsid w:val="00664951"/>
    <w:rsid w:val="006674DE"/>
    <w:rsid w:val="006705ED"/>
    <w:rsid w:val="00671285"/>
    <w:rsid w:val="00686F51"/>
    <w:rsid w:val="006932FA"/>
    <w:rsid w:val="006962D6"/>
    <w:rsid w:val="006A1C1A"/>
    <w:rsid w:val="006A33D3"/>
    <w:rsid w:val="006B1023"/>
    <w:rsid w:val="006B1412"/>
    <w:rsid w:val="006C1A6C"/>
    <w:rsid w:val="006C310B"/>
    <w:rsid w:val="006D08E4"/>
    <w:rsid w:val="006D10CE"/>
    <w:rsid w:val="006D53E7"/>
    <w:rsid w:val="006D53F3"/>
    <w:rsid w:val="006D7D65"/>
    <w:rsid w:val="006E0B65"/>
    <w:rsid w:val="006E382B"/>
    <w:rsid w:val="006E4A2A"/>
    <w:rsid w:val="006E76D8"/>
    <w:rsid w:val="006F5CA4"/>
    <w:rsid w:val="00701844"/>
    <w:rsid w:val="007041BF"/>
    <w:rsid w:val="00705027"/>
    <w:rsid w:val="007055E6"/>
    <w:rsid w:val="00705820"/>
    <w:rsid w:val="00724F2A"/>
    <w:rsid w:val="00735349"/>
    <w:rsid w:val="007440BD"/>
    <w:rsid w:val="00744239"/>
    <w:rsid w:val="00746202"/>
    <w:rsid w:val="00752389"/>
    <w:rsid w:val="0077031C"/>
    <w:rsid w:val="0077053F"/>
    <w:rsid w:val="00774991"/>
    <w:rsid w:val="00782EAC"/>
    <w:rsid w:val="0078729B"/>
    <w:rsid w:val="007932B4"/>
    <w:rsid w:val="00793E79"/>
    <w:rsid w:val="007A4344"/>
    <w:rsid w:val="007A754D"/>
    <w:rsid w:val="007B22D8"/>
    <w:rsid w:val="007B3A33"/>
    <w:rsid w:val="007B3E2F"/>
    <w:rsid w:val="007B7721"/>
    <w:rsid w:val="007C1CBB"/>
    <w:rsid w:val="007C1EFF"/>
    <w:rsid w:val="007D0683"/>
    <w:rsid w:val="007D5FF7"/>
    <w:rsid w:val="007E25B9"/>
    <w:rsid w:val="007E4C4F"/>
    <w:rsid w:val="007F00D2"/>
    <w:rsid w:val="007F1D9D"/>
    <w:rsid w:val="007F2F0D"/>
    <w:rsid w:val="007F53D4"/>
    <w:rsid w:val="007F63C6"/>
    <w:rsid w:val="007F7D81"/>
    <w:rsid w:val="008000DD"/>
    <w:rsid w:val="0080096F"/>
    <w:rsid w:val="00812D6D"/>
    <w:rsid w:val="00814970"/>
    <w:rsid w:val="00815B02"/>
    <w:rsid w:val="008230D2"/>
    <w:rsid w:val="008304DF"/>
    <w:rsid w:val="00830958"/>
    <w:rsid w:val="008356B9"/>
    <w:rsid w:val="00835E21"/>
    <w:rsid w:val="008405EB"/>
    <w:rsid w:val="008464D6"/>
    <w:rsid w:val="00862B3B"/>
    <w:rsid w:val="00862F43"/>
    <w:rsid w:val="0086541B"/>
    <w:rsid w:val="008718AC"/>
    <w:rsid w:val="008731B5"/>
    <w:rsid w:val="0087505C"/>
    <w:rsid w:val="00875C8E"/>
    <w:rsid w:val="00880EA6"/>
    <w:rsid w:val="00882E2D"/>
    <w:rsid w:val="008832A1"/>
    <w:rsid w:val="0088529E"/>
    <w:rsid w:val="008859E8"/>
    <w:rsid w:val="00887284"/>
    <w:rsid w:val="0089466C"/>
    <w:rsid w:val="0089633E"/>
    <w:rsid w:val="0089664C"/>
    <w:rsid w:val="00896794"/>
    <w:rsid w:val="008973BA"/>
    <w:rsid w:val="008A1948"/>
    <w:rsid w:val="008A1F88"/>
    <w:rsid w:val="008A346A"/>
    <w:rsid w:val="008A6307"/>
    <w:rsid w:val="008A6C4F"/>
    <w:rsid w:val="008B1490"/>
    <w:rsid w:val="008B4973"/>
    <w:rsid w:val="008C0B21"/>
    <w:rsid w:val="008C67DA"/>
    <w:rsid w:val="008C6E4C"/>
    <w:rsid w:val="008C757B"/>
    <w:rsid w:val="008D143E"/>
    <w:rsid w:val="008D505F"/>
    <w:rsid w:val="008E0EA5"/>
    <w:rsid w:val="008E5E90"/>
    <w:rsid w:val="008F4C4B"/>
    <w:rsid w:val="00900B7F"/>
    <w:rsid w:val="00900ED5"/>
    <w:rsid w:val="00901736"/>
    <w:rsid w:val="0090480F"/>
    <w:rsid w:val="00904FE8"/>
    <w:rsid w:val="00905B86"/>
    <w:rsid w:val="009100E6"/>
    <w:rsid w:val="00910BD5"/>
    <w:rsid w:val="009122F7"/>
    <w:rsid w:val="009162CD"/>
    <w:rsid w:val="00917C7E"/>
    <w:rsid w:val="009204E9"/>
    <w:rsid w:val="009262F6"/>
    <w:rsid w:val="00927CA0"/>
    <w:rsid w:val="00931C1E"/>
    <w:rsid w:val="00933ABE"/>
    <w:rsid w:val="00935475"/>
    <w:rsid w:val="00942761"/>
    <w:rsid w:val="00956FCB"/>
    <w:rsid w:val="00963822"/>
    <w:rsid w:val="009643D0"/>
    <w:rsid w:val="00965740"/>
    <w:rsid w:val="00970336"/>
    <w:rsid w:val="009733DA"/>
    <w:rsid w:val="00974975"/>
    <w:rsid w:val="0097731D"/>
    <w:rsid w:val="00990055"/>
    <w:rsid w:val="00990C84"/>
    <w:rsid w:val="00994A4D"/>
    <w:rsid w:val="009A0E95"/>
    <w:rsid w:val="009B11AE"/>
    <w:rsid w:val="009B39F3"/>
    <w:rsid w:val="009B3E51"/>
    <w:rsid w:val="009B4601"/>
    <w:rsid w:val="009C129B"/>
    <w:rsid w:val="009C2851"/>
    <w:rsid w:val="009C2C49"/>
    <w:rsid w:val="009C4B18"/>
    <w:rsid w:val="009C538E"/>
    <w:rsid w:val="009D6815"/>
    <w:rsid w:val="009E0E01"/>
    <w:rsid w:val="009E3527"/>
    <w:rsid w:val="009F0AB2"/>
    <w:rsid w:val="009F0D81"/>
    <w:rsid w:val="009F3071"/>
    <w:rsid w:val="009F4F96"/>
    <w:rsid w:val="009F52E3"/>
    <w:rsid w:val="00A0500B"/>
    <w:rsid w:val="00A152AF"/>
    <w:rsid w:val="00A218C8"/>
    <w:rsid w:val="00A22C18"/>
    <w:rsid w:val="00A343DB"/>
    <w:rsid w:val="00A35B80"/>
    <w:rsid w:val="00A36DE9"/>
    <w:rsid w:val="00A40837"/>
    <w:rsid w:val="00A437DF"/>
    <w:rsid w:val="00A468DE"/>
    <w:rsid w:val="00A46C49"/>
    <w:rsid w:val="00A546A7"/>
    <w:rsid w:val="00A5770E"/>
    <w:rsid w:val="00A60E10"/>
    <w:rsid w:val="00A705DF"/>
    <w:rsid w:val="00A718DA"/>
    <w:rsid w:val="00A76B96"/>
    <w:rsid w:val="00A76EC9"/>
    <w:rsid w:val="00A92195"/>
    <w:rsid w:val="00AA4C10"/>
    <w:rsid w:val="00AA6E33"/>
    <w:rsid w:val="00AA7E3D"/>
    <w:rsid w:val="00AB1116"/>
    <w:rsid w:val="00AB5D70"/>
    <w:rsid w:val="00AC21EC"/>
    <w:rsid w:val="00AC3927"/>
    <w:rsid w:val="00AC3F1E"/>
    <w:rsid w:val="00AC782A"/>
    <w:rsid w:val="00AC7C09"/>
    <w:rsid w:val="00AC7F12"/>
    <w:rsid w:val="00AD0981"/>
    <w:rsid w:val="00AD0A6A"/>
    <w:rsid w:val="00AD0D0C"/>
    <w:rsid w:val="00AE28E4"/>
    <w:rsid w:val="00AE52EC"/>
    <w:rsid w:val="00AE5675"/>
    <w:rsid w:val="00AF54AE"/>
    <w:rsid w:val="00B047CE"/>
    <w:rsid w:val="00B13EFD"/>
    <w:rsid w:val="00B15968"/>
    <w:rsid w:val="00B24CB4"/>
    <w:rsid w:val="00B257A9"/>
    <w:rsid w:val="00B26FB7"/>
    <w:rsid w:val="00B27020"/>
    <w:rsid w:val="00B3117E"/>
    <w:rsid w:val="00B34B5D"/>
    <w:rsid w:val="00B4399A"/>
    <w:rsid w:val="00B45B62"/>
    <w:rsid w:val="00B45D62"/>
    <w:rsid w:val="00B50475"/>
    <w:rsid w:val="00B506F9"/>
    <w:rsid w:val="00B508BA"/>
    <w:rsid w:val="00B52085"/>
    <w:rsid w:val="00B55A27"/>
    <w:rsid w:val="00B56A53"/>
    <w:rsid w:val="00B57463"/>
    <w:rsid w:val="00B70DA9"/>
    <w:rsid w:val="00B71268"/>
    <w:rsid w:val="00B75CB4"/>
    <w:rsid w:val="00B9248F"/>
    <w:rsid w:val="00B95651"/>
    <w:rsid w:val="00BA1F1C"/>
    <w:rsid w:val="00BA22FE"/>
    <w:rsid w:val="00BA3FE0"/>
    <w:rsid w:val="00BA576C"/>
    <w:rsid w:val="00BA5AA0"/>
    <w:rsid w:val="00BA7CC9"/>
    <w:rsid w:val="00BB0537"/>
    <w:rsid w:val="00BB78B0"/>
    <w:rsid w:val="00BC535D"/>
    <w:rsid w:val="00BC7331"/>
    <w:rsid w:val="00BD15A3"/>
    <w:rsid w:val="00BD250C"/>
    <w:rsid w:val="00BD42B0"/>
    <w:rsid w:val="00BF16FC"/>
    <w:rsid w:val="00BF2962"/>
    <w:rsid w:val="00BF69F0"/>
    <w:rsid w:val="00C01102"/>
    <w:rsid w:val="00C020A8"/>
    <w:rsid w:val="00C0243E"/>
    <w:rsid w:val="00C02F03"/>
    <w:rsid w:val="00C045AF"/>
    <w:rsid w:val="00C06AFE"/>
    <w:rsid w:val="00C13CB8"/>
    <w:rsid w:val="00C16012"/>
    <w:rsid w:val="00C169F8"/>
    <w:rsid w:val="00C20AF8"/>
    <w:rsid w:val="00C22233"/>
    <w:rsid w:val="00C24F38"/>
    <w:rsid w:val="00C26364"/>
    <w:rsid w:val="00C31A0A"/>
    <w:rsid w:val="00C3378C"/>
    <w:rsid w:val="00C3714C"/>
    <w:rsid w:val="00C40BDD"/>
    <w:rsid w:val="00C46033"/>
    <w:rsid w:val="00C46A69"/>
    <w:rsid w:val="00C5155B"/>
    <w:rsid w:val="00C60BB9"/>
    <w:rsid w:val="00C6359D"/>
    <w:rsid w:val="00C711BC"/>
    <w:rsid w:val="00C746BA"/>
    <w:rsid w:val="00C746F4"/>
    <w:rsid w:val="00C77334"/>
    <w:rsid w:val="00C842E7"/>
    <w:rsid w:val="00C85F20"/>
    <w:rsid w:val="00C86F6C"/>
    <w:rsid w:val="00C97416"/>
    <w:rsid w:val="00CA1BAC"/>
    <w:rsid w:val="00CA3A85"/>
    <w:rsid w:val="00CA4807"/>
    <w:rsid w:val="00CA5913"/>
    <w:rsid w:val="00CB0932"/>
    <w:rsid w:val="00CB2353"/>
    <w:rsid w:val="00CB7445"/>
    <w:rsid w:val="00CC1914"/>
    <w:rsid w:val="00CD49D5"/>
    <w:rsid w:val="00CE1A23"/>
    <w:rsid w:val="00CE3D38"/>
    <w:rsid w:val="00CE72F0"/>
    <w:rsid w:val="00CF56E5"/>
    <w:rsid w:val="00CF66F1"/>
    <w:rsid w:val="00CF76B2"/>
    <w:rsid w:val="00D03BF8"/>
    <w:rsid w:val="00D10ED6"/>
    <w:rsid w:val="00D11CC4"/>
    <w:rsid w:val="00D1206E"/>
    <w:rsid w:val="00D16C8D"/>
    <w:rsid w:val="00D1750E"/>
    <w:rsid w:val="00D23874"/>
    <w:rsid w:val="00D54906"/>
    <w:rsid w:val="00D610EB"/>
    <w:rsid w:val="00D62C64"/>
    <w:rsid w:val="00D64C10"/>
    <w:rsid w:val="00D64DB6"/>
    <w:rsid w:val="00D66462"/>
    <w:rsid w:val="00D72BA4"/>
    <w:rsid w:val="00D74525"/>
    <w:rsid w:val="00D80640"/>
    <w:rsid w:val="00D81029"/>
    <w:rsid w:val="00D83735"/>
    <w:rsid w:val="00D863DA"/>
    <w:rsid w:val="00D864C3"/>
    <w:rsid w:val="00D91F35"/>
    <w:rsid w:val="00D92987"/>
    <w:rsid w:val="00DA6C23"/>
    <w:rsid w:val="00DB30E0"/>
    <w:rsid w:val="00DB61B0"/>
    <w:rsid w:val="00DC242B"/>
    <w:rsid w:val="00DC4032"/>
    <w:rsid w:val="00DC67A6"/>
    <w:rsid w:val="00DF365A"/>
    <w:rsid w:val="00E21D01"/>
    <w:rsid w:val="00E2306E"/>
    <w:rsid w:val="00E23EA5"/>
    <w:rsid w:val="00E24978"/>
    <w:rsid w:val="00E24ED4"/>
    <w:rsid w:val="00E25A5D"/>
    <w:rsid w:val="00E27727"/>
    <w:rsid w:val="00E36A8C"/>
    <w:rsid w:val="00E41B30"/>
    <w:rsid w:val="00E4432D"/>
    <w:rsid w:val="00E47331"/>
    <w:rsid w:val="00E47E99"/>
    <w:rsid w:val="00E515B5"/>
    <w:rsid w:val="00E536FD"/>
    <w:rsid w:val="00E55B60"/>
    <w:rsid w:val="00E6640B"/>
    <w:rsid w:val="00E80A7F"/>
    <w:rsid w:val="00E8526A"/>
    <w:rsid w:val="00E85CCF"/>
    <w:rsid w:val="00E86A73"/>
    <w:rsid w:val="00EA3C34"/>
    <w:rsid w:val="00EA7253"/>
    <w:rsid w:val="00EA7D5E"/>
    <w:rsid w:val="00EB0624"/>
    <w:rsid w:val="00EB6228"/>
    <w:rsid w:val="00EB7453"/>
    <w:rsid w:val="00EC14EC"/>
    <w:rsid w:val="00EC4D0F"/>
    <w:rsid w:val="00EC5446"/>
    <w:rsid w:val="00EC59E0"/>
    <w:rsid w:val="00EC72A3"/>
    <w:rsid w:val="00ED1FF0"/>
    <w:rsid w:val="00EE024D"/>
    <w:rsid w:val="00EE5130"/>
    <w:rsid w:val="00EF1C10"/>
    <w:rsid w:val="00EF367B"/>
    <w:rsid w:val="00F022F6"/>
    <w:rsid w:val="00F061A9"/>
    <w:rsid w:val="00F1686D"/>
    <w:rsid w:val="00F16C03"/>
    <w:rsid w:val="00F17C93"/>
    <w:rsid w:val="00F249F7"/>
    <w:rsid w:val="00F34003"/>
    <w:rsid w:val="00F45038"/>
    <w:rsid w:val="00F52EA0"/>
    <w:rsid w:val="00F55359"/>
    <w:rsid w:val="00F57A86"/>
    <w:rsid w:val="00F61050"/>
    <w:rsid w:val="00F71768"/>
    <w:rsid w:val="00F7354B"/>
    <w:rsid w:val="00F8045E"/>
    <w:rsid w:val="00F818F2"/>
    <w:rsid w:val="00F83A27"/>
    <w:rsid w:val="00F9176E"/>
    <w:rsid w:val="00F966B6"/>
    <w:rsid w:val="00F96B1D"/>
    <w:rsid w:val="00FA061C"/>
    <w:rsid w:val="00FA0D33"/>
    <w:rsid w:val="00FA51EA"/>
    <w:rsid w:val="00FB05DC"/>
    <w:rsid w:val="00FB25BA"/>
    <w:rsid w:val="00FB6C68"/>
    <w:rsid w:val="00FD2B7C"/>
    <w:rsid w:val="00FD5EDB"/>
    <w:rsid w:val="00FE2F6E"/>
    <w:rsid w:val="00FE5A8A"/>
    <w:rsid w:val="00FE7B56"/>
    <w:rsid w:val="00FF6B10"/>
    <w:rsid w:val="013A7F12"/>
    <w:rsid w:val="018C20C1"/>
    <w:rsid w:val="01C3056D"/>
    <w:rsid w:val="020F0822"/>
    <w:rsid w:val="0236335D"/>
    <w:rsid w:val="02445D31"/>
    <w:rsid w:val="02FC0103"/>
    <w:rsid w:val="03B40AFB"/>
    <w:rsid w:val="03C70711"/>
    <w:rsid w:val="04253689"/>
    <w:rsid w:val="0441145A"/>
    <w:rsid w:val="045521C0"/>
    <w:rsid w:val="047F63CD"/>
    <w:rsid w:val="051F632A"/>
    <w:rsid w:val="05206597"/>
    <w:rsid w:val="05254F53"/>
    <w:rsid w:val="052F5C56"/>
    <w:rsid w:val="05B42A9A"/>
    <w:rsid w:val="05DB1B83"/>
    <w:rsid w:val="05ED01D7"/>
    <w:rsid w:val="05FD2B10"/>
    <w:rsid w:val="06084F90"/>
    <w:rsid w:val="06100DEB"/>
    <w:rsid w:val="061E0F85"/>
    <w:rsid w:val="06735DA0"/>
    <w:rsid w:val="06B82268"/>
    <w:rsid w:val="06C77BDF"/>
    <w:rsid w:val="06D53145"/>
    <w:rsid w:val="06DE0F0A"/>
    <w:rsid w:val="070F5AC1"/>
    <w:rsid w:val="071455B6"/>
    <w:rsid w:val="07B45450"/>
    <w:rsid w:val="07E1193E"/>
    <w:rsid w:val="07FB307F"/>
    <w:rsid w:val="081971AF"/>
    <w:rsid w:val="082B2995"/>
    <w:rsid w:val="085474B7"/>
    <w:rsid w:val="08670714"/>
    <w:rsid w:val="08796203"/>
    <w:rsid w:val="08B91403"/>
    <w:rsid w:val="08C65411"/>
    <w:rsid w:val="094C7ED5"/>
    <w:rsid w:val="09664528"/>
    <w:rsid w:val="09DE3F7C"/>
    <w:rsid w:val="09FD4BFC"/>
    <w:rsid w:val="0A593929"/>
    <w:rsid w:val="0A5E1A02"/>
    <w:rsid w:val="0A6D7B38"/>
    <w:rsid w:val="0A79028B"/>
    <w:rsid w:val="0A7B4003"/>
    <w:rsid w:val="0A9C3C41"/>
    <w:rsid w:val="0B3F32C0"/>
    <w:rsid w:val="0B5F1B77"/>
    <w:rsid w:val="0B632E5C"/>
    <w:rsid w:val="0B745622"/>
    <w:rsid w:val="0B801E73"/>
    <w:rsid w:val="0BC63ED5"/>
    <w:rsid w:val="0BEE1954"/>
    <w:rsid w:val="0C0128F0"/>
    <w:rsid w:val="0C166438"/>
    <w:rsid w:val="0C6D2071"/>
    <w:rsid w:val="0C9B6BDE"/>
    <w:rsid w:val="0CBB102F"/>
    <w:rsid w:val="0CDD4579"/>
    <w:rsid w:val="0CE3096D"/>
    <w:rsid w:val="0CF60E1E"/>
    <w:rsid w:val="0D0E4B52"/>
    <w:rsid w:val="0D354016"/>
    <w:rsid w:val="0D587038"/>
    <w:rsid w:val="0D6E7E4F"/>
    <w:rsid w:val="0D7305C8"/>
    <w:rsid w:val="0D74395F"/>
    <w:rsid w:val="0DBF0653"/>
    <w:rsid w:val="0E0E2A96"/>
    <w:rsid w:val="0E273B59"/>
    <w:rsid w:val="0E4548D8"/>
    <w:rsid w:val="0E562D9C"/>
    <w:rsid w:val="0E643BC1"/>
    <w:rsid w:val="0E830AF3"/>
    <w:rsid w:val="0E981627"/>
    <w:rsid w:val="0EB126FC"/>
    <w:rsid w:val="0EF425D6"/>
    <w:rsid w:val="0F242EBB"/>
    <w:rsid w:val="0F7A0018"/>
    <w:rsid w:val="0F9C3E75"/>
    <w:rsid w:val="0FA424C8"/>
    <w:rsid w:val="0FB46BDB"/>
    <w:rsid w:val="0FCA5FA6"/>
    <w:rsid w:val="1036306C"/>
    <w:rsid w:val="10380789"/>
    <w:rsid w:val="103D7118"/>
    <w:rsid w:val="10615FAB"/>
    <w:rsid w:val="10872D92"/>
    <w:rsid w:val="108E6B5B"/>
    <w:rsid w:val="10957824"/>
    <w:rsid w:val="10D821AF"/>
    <w:rsid w:val="10DD4B48"/>
    <w:rsid w:val="11292A0B"/>
    <w:rsid w:val="112A5DE3"/>
    <w:rsid w:val="11507D3F"/>
    <w:rsid w:val="11B76268"/>
    <w:rsid w:val="11DB4628"/>
    <w:rsid w:val="11E82A4D"/>
    <w:rsid w:val="11F61474"/>
    <w:rsid w:val="126B0BE0"/>
    <w:rsid w:val="128B14A3"/>
    <w:rsid w:val="12A63FED"/>
    <w:rsid w:val="12A738C8"/>
    <w:rsid w:val="12F7121C"/>
    <w:rsid w:val="1346505D"/>
    <w:rsid w:val="13873AD6"/>
    <w:rsid w:val="138C6443"/>
    <w:rsid w:val="138E2E46"/>
    <w:rsid w:val="13E27729"/>
    <w:rsid w:val="14445DAD"/>
    <w:rsid w:val="14675421"/>
    <w:rsid w:val="146A24CA"/>
    <w:rsid w:val="148368D6"/>
    <w:rsid w:val="14B77828"/>
    <w:rsid w:val="14DE65DC"/>
    <w:rsid w:val="150F05DF"/>
    <w:rsid w:val="1534372C"/>
    <w:rsid w:val="154F0CA6"/>
    <w:rsid w:val="15941C96"/>
    <w:rsid w:val="15A5704B"/>
    <w:rsid w:val="15F5110D"/>
    <w:rsid w:val="167C0930"/>
    <w:rsid w:val="16A73B64"/>
    <w:rsid w:val="17075D31"/>
    <w:rsid w:val="17212BBD"/>
    <w:rsid w:val="172A0D97"/>
    <w:rsid w:val="174C1201"/>
    <w:rsid w:val="17562080"/>
    <w:rsid w:val="176B56CA"/>
    <w:rsid w:val="17762C0B"/>
    <w:rsid w:val="179043F4"/>
    <w:rsid w:val="17C92852"/>
    <w:rsid w:val="182E01A8"/>
    <w:rsid w:val="187B0586"/>
    <w:rsid w:val="19183D6F"/>
    <w:rsid w:val="19C53FBD"/>
    <w:rsid w:val="19C91EB2"/>
    <w:rsid w:val="1A3B055D"/>
    <w:rsid w:val="1A8707A2"/>
    <w:rsid w:val="1ADF0508"/>
    <w:rsid w:val="1AF000F5"/>
    <w:rsid w:val="1AF4331E"/>
    <w:rsid w:val="1B3D48D0"/>
    <w:rsid w:val="1B841136"/>
    <w:rsid w:val="1BBA0AE0"/>
    <w:rsid w:val="1BD44D75"/>
    <w:rsid w:val="1BD87507"/>
    <w:rsid w:val="1C0876C1"/>
    <w:rsid w:val="1C2536AE"/>
    <w:rsid w:val="1C2E5379"/>
    <w:rsid w:val="1C5D7358"/>
    <w:rsid w:val="1CD22318"/>
    <w:rsid w:val="1CE974F2"/>
    <w:rsid w:val="1D1E6DB9"/>
    <w:rsid w:val="1D464944"/>
    <w:rsid w:val="1D6E4BC9"/>
    <w:rsid w:val="1DA01142"/>
    <w:rsid w:val="1DAE013E"/>
    <w:rsid w:val="1DDF42DD"/>
    <w:rsid w:val="1DF52884"/>
    <w:rsid w:val="1E253203"/>
    <w:rsid w:val="1E3929FE"/>
    <w:rsid w:val="1E6643A0"/>
    <w:rsid w:val="1E9A4F48"/>
    <w:rsid w:val="1EA30FB6"/>
    <w:rsid w:val="1ECB0678"/>
    <w:rsid w:val="1F080F5C"/>
    <w:rsid w:val="1F2610B5"/>
    <w:rsid w:val="1F530A9B"/>
    <w:rsid w:val="1F6A5ED8"/>
    <w:rsid w:val="1F8C7AF8"/>
    <w:rsid w:val="1FA9594A"/>
    <w:rsid w:val="1FBC0541"/>
    <w:rsid w:val="1FC87C23"/>
    <w:rsid w:val="201B0D94"/>
    <w:rsid w:val="20481DE0"/>
    <w:rsid w:val="209A5C18"/>
    <w:rsid w:val="20AD11BB"/>
    <w:rsid w:val="20C6248D"/>
    <w:rsid w:val="2182430A"/>
    <w:rsid w:val="21A32B6C"/>
    <w:rsid w:val="21EE2E54"/>
    <w:rsid w:val="21F91F50"/>
    <w:rsid w:val="221E0206"/>
    <w:rsid w:val="222230A2"/>
    <w:rsid w:val="227F2F4A"/>
    <w:rsid w:val="22DC376E"/>
    <w:rsid w:val="231C661F"/>
    <w:rsid w:val="231E061E"/>
    <w:rsid w:val="23294AEC"/>
    <w:rsid w:val="23367463"/>
    <w:rsid w:val="23624F87"/>
    <w:rsid w:val="236D50DD"/>
    <w:rsid w:val="23A26957"/>
    <w:rsid w:val="23B36F94"/>
    <w:rsid w:val="23BA1BE8"/>
    <w:rsid w:val="23C62982"/>
    <w:rsid w:val="23EF22E9"/>
    <w:rsid w:val="241412F8"/>
    <w:rsid w:val="243A49FF"/>
    <w:rsid w:val="243B341F"/>
    <w:rsid w:val="243C25FD"/>
    <w:rsid w:val="24FD50F8"/>
    <w:rsid w:val="251E03AC"/>
    <w:rsid w:val="252748CF"/>
    <w:rsid w:val="25284504"/>
    <w:rsid w:val="25407ECB"/>
    <w:rsid w:val="2547730E"/>
    <w:rsid w:val="258424AE"/>
    <w:rsid w:val="25C117C0"/>
    <w:rsid w:val="25E044B1"/>
    <w:rsid w:val="262042D4"/>
    <w:rsid w:val="263B2BB2"/>
    <w:rsid w:val="270C2F47"/>
    <w:rsid w:val="275D3E3F"/>
    <w:rsid w:val="277A186C"/>
    <w:rsid w:val="27840D30"/>
    <w:rsid w:val="27D96410"/>
    <w:rsid w:val="28587A34"/>
    <w:rsid w:val="28681CD9"/>
    <w:rsid w:val="28AB14DB"/>
    <w:rsid w:val="28CA467C"/>
    <w:rsid w:val="290C4C94"/>
    <w:rsid w:val="29341AF5"/>
    <w:rsid w:val="294C5091"/>
    <w:rsid w:val="2983725E"/>
    <w:rsid w:val="2992070F"/>
    <w:rsid w:val="299906C0"/>
    <w:rsid w:val="29A911B7"/>
    <w:rsid w:val="2A0C65C9"/>
    <w:rsid w:val="2A191EF2"/>
    <w:rsid w:val="2A6048E4"/>
    <w:rsid w:val="2A74238E"/>
    <w:rsid w:val="2ADA6377"/>
    <w:rsid w:val="2AF7165F"/>
    <w:rsid w:val="2B131027"/>
    <w:rsid w:val="2B322F6E"/>
    <w:rsid w:val="2B597F39"/>
    <w:rsid w:val="2B64095F"/>
    <w:rsid w:val="2B951173"/>
    <w:rsid w:val="2BB17B98"/>
    <w:rsid w:val="2BB21984"/>
    <w:rsid w:val="2C1F38C5"/>
    <w:rsid w:val="2C4346AB"/>
    <w:rsid w:val="2C970D19"/>
    <w:rsid w:val="2CCC69F5"/>
    <w:rsid w:val="2CF41CC7"/>
    <w:rsid w:val="2CFF16E5"/>
    <w:rsid w:val="2D127428"/>
    <w:rsid w:val="2D28259C"/>
    <w:rsid w:val="2D8A722E"/>
    <w:rsid w:val="2DB15C22"/>
    <w:rsid w:val="2DE169BE"/>
    <w:rsid w:val="2E342F5B"/>
    <w:rsid w:val="2E5A1FFE"/>
    <w:rsid w:val="2E66012A"/>
    <w:rsid w:val="2E6C5158"/>
    <w:rsid w:val="2EC53C81"/>
    <w:rsid w:val="2F2A1978"/>
    <w:rsid w:val="2F56299D"/>
    <w:rsid w:val="2F806938"/>
    <w:rsid w:val="2F83252B"/>
    <w:rsid w:val="2FB2548D"/>
    <w:rsid w:val="300D4E4E"/>
    <w:rsid w:val="304D73F4"/>
    <w:rsid w:val="3091722E"/>
    <w:rsid w:val="30A94E98"/>
    <w:rsid w:val="30C24BCD"/>
    <w:rsid w:val="30D836AE"/>
    <w:rsid w:val="31453005"/>
    <w:rsid w:val="31736321"/>
    <w:rsid w:val="318B0720"/>
    <w:rsid w:val="31E367AE"/>
    <w:rsid w:val="321052FF"/>
    <w:rsid w:val="322B70CF"/>
    <w:rsid w:val="32396ECB"/>
    <w:rsid w:val="323B5CA2"/>
    <w:rsid w:val="325553F9"/>
    <w:rsid w:val="325925CC"/>
    <w:rsid w:val="32A25D21"/>
    <w:rsid w:val="33115CEE"/>
    <w:rsid w:val="332130EA"/>
    <w:rsid w:val="33332E1D"/>
    <w:rsid w:val="33480281"/>
    <w:rsid w:val="33613960"/>
    <w:rsid w:val="337C2A16"/>
    <w:rsid w:val="337E053C"/>
    <w:rsid w:val="33A64B47"/>
    <w:rsid w:val="33CE6A62"/>
    <w:rsid w:val="33CF6EFF"/>
    <w:rsid w:val="33EC17DA"/>
    <w:rsid w:val="33ED525B"/>
    <w:rsid w:val="33F307A5"/>
    <w:rsid w:val="340321AC"/>
    <w:rsid w:val="341D5FA7"/>
    <w:rsid w:val="34372708"/>
    <w:rsid w:val="343B726F"/>
    <w:rsid w:val="348C18FB"/>
    <w:rsid w:val="34E40873"/>
    <w:rsid w:val="360E54D9"/>
    <w:rsid w:val="361A7092"/>
    <w:rsid w:val="364E3013"/>
    <w:rsid w:val="365E3C7E"/>
    <w:rsid w:val="367F74A1"/>
    <w:rsid w:val="3694158F"/>
    <w:rsid w:val="369969ED"/>
    <w:rsid w:val="36B67FED"/>
    <w:rsid w:val="37061F78"/>
    <w:rsid w:val="37516892"/>
    <w:rsid w:val="375B35F2"/>
    <w:rsid w:val="3764763A"/>
    <w:rsid w:val="37B11AF5"/>
    <w:rsid w:val="38166DB6"/>
    <w:rsid w:val="3825542A"/>
    <w:rsid w:val="384025F9"/>
    <w:rsid w:val="38590AE4"/>
    <w:rsid w:val="38695923"/>
    <w:rsid w:val="38781E49"/>
    <w:rsid w:val="38980E2F"/>
    <w:rsid w:val="38BB4BCC"/>
    <w:rsid w:val="38D94467"/>
    <w:rsid w:val="38DC76DA"/>
    <w:rsid w:val="3919204D"/>
    <w:rsid w:val="396D5A82"/>
    <w:rsid w:val="39731EA5"/>
    <w:rsid w:val="398268AC"/>
    <w:rsid w:val="39897D53"/>
    <w:rsid w:val="39A766E3"/>
    <w:rsid w:val="39C91CA7"/>
    <w:rsid w:val="3A490671"/>
    <w:rsid w:val="3A654994"/>
    <w:rsid w:val="3A752BDE"/>
    <w:rsid w:val="3ACB3E56"/>
    <w:rsid w:val="3AED3345"/>
    <w:rsid w:val="3B2E7394"/>
    <w:rsid w:val="3B837D5E"/>
    <w:rsid w:val="3BB4075E"/>
    <w:rsid w:val="3BE13D5E"/>
    <w:rsid w:val="3BFC54CF"/>
    <w:rsid w:val="3C0C139B"/>
    <w:rsid w:val="3C335953"/>
    <w:rsid w:val="3C6A3835"/>
    <w:rsid w:val="3D9372DA"/>
    <w:rsid w:val="3D971643"/>
    <w:rsid w:val="3DA62FA0"/>
    <w:rsid w:val="3DA70690"/>
    <w:rsid w:val="3DEE259C"/>
    <w:rsid w:val="3E124C51"/>
    <w:rsid w:val="3E37026C"/>
    <w:rsid w:val="3E3A1504"/>
    <w:rsid w:val="3E713618"/>
    <w:rsid w:val="3E88226F"/>
    <w:rsid w:val="3E904168"/>
    <w:rsid w:val="3EB26ECC"/>
    <w:rsid w:val="3F1D6773"/>
    <w:rsid w:val="3F265D9B"/>
    <w:rsid w:val="3F376263"/>
    <w:rsid w:val="3FE0432D"/>
    <w:rsid w:val="3FEA2DD6"/>
    <w:rsid w:val="400426F8"/>
    <w:rsid w:val="402E4E02"/>
    <w:rsid w:val="402F47E4"/>
    <w:rsid w:val="4052765A"/>
    <w:rsid w:val="40580E55"/>
    <w:rsid w:val="406960D0"/>
    <w:rsid w:val="40781025"/>
    <w:rsid w:val="4080671B"/>
    <w:rsid w:val="408B4299"/>
    <w:rsid w:val="409A1EED"/>
    <w:rsid w:val="40B11441"/>
    <w:rsid w:val="40B12916"/>
    <w:rsid w:val="40D33A8C"/>
    <w:rsid w:val="40ED5564"/>
    <w:rsid w:val="411F77CA"/>
    <w:rsid w:val="41B42DBD"/>
    <w:rsid w:val="41FB0844"/>
    <w:rsid w:val="42002F31"/>
    <w:rsid w:val="42024CFF"/>
    <w:rsid w:val="42275006"/>
    <w:rsid w:val="427F1BDB"/>
    <w:rsid w:val="42DD6902"/>
    <w:rsid w:val="43350840"/>
    <w:rsid w:val="433C187A"/>
    <w:rsid w:val="43B91FB9"/>
    <w:rsid w:val="440E3217"/>
    <w:rsid w:val="441E7FAE"/>
    <w:rsid w:val="44223166"/>
    <w:rsid w:val="448471B3"/>
    <w:rsid w:val="44896EC7"/>
    <w:rsid w:val="44BC7116"/>
    <w:rsid w:val="44C85ABB"/>
    <w:rsid w:val="44D1660D"/>
    <w:rsid w:val="44E74466"/>
    <w:rsid w:val="45462E4D"/>
    <w:rsid w:val="45636B4E"/>
    <w:rsid w:val="458B42BD"/>
    <w:rsid w:val="45921C25"/>
    <w:rsid w:val="45961BB8"/>
    <w:rsid w:val="45CC20D6"/>
    <w:rsid w:val="4601010D"/>
    <w:rsid w:val="461C4101"/>
    <w:rsid w:val="46A93807"/>
    <w:rsid w:val="46DA56D2"/>
    <w:rsid w:val="46E23350"/>
    <w:rsid w:val="46F03838"/>
    <w:rsid w:val="47217705"/>
    <w:rsid w:val="475C073D"/>
    <w:rsid w:val="47840608"/>
    <w:rsid w:val="47982D12"/>
    <w:rsid w:val="47D06A35"/>
    <w:rsid w:val="47E8069D"/>
    <w:rsid w:val="47EB0F4F"/>
    <w:rsid w:val="48680165"/>
    <w:rsid w:val="48812CAA"/>
    <w:rsid w:val="489B7D9E"/>
    <w:rsid w:val="48B620CF"/>
    <w:rsid w:val="490E28DE"/>
    <w:rsid w:val="49296D45"/>
    <w:rsid w:val="49697B8E"/>
    <w:rsid w:val="49866BEA"/>
    <w:rsid w:val="49867716"/>
    <w:rsid w:val="498D3A41"/>
    <w:rsid w:val="49C30F78"/>
    <w:rsid w:val="4A3416AD"/>
    <w:rsid w:val="4A5A28EA"/>
    <w:rsid w:val="4A5B12CE"/>
    <w:rsid w:val="4A7F0FA9"/>
    <w:rsid w:val="4A8549FF"/>
    <w:rsid w:val="4AB663B6"/>
    <w:rsid w:val="4AF77BCC"/>
    <w:rsid w:val="4B143F04"/>
    <w:rsid w:val="4B1733B3"/>
    <w:rsid w:val="4B2B2900"/>
    <w:rsid w:val="4B4C3598"/>
    <w:rsid w:val="4BC535EC"/>
    <w:rsid w:val="4BFA24C4"/>
    <w:rsid w:val="4C1D2EEF"/>
    <w:rsid w:val="4C247A7E"/>
    <w:rsid w:val="4C734B68"/>
    <w:rsid w:val="4C786019"/>
    <w:rsid w:val="4C7C5092"/>
    <w:rsid w:val="4C83051A"/>
    <w:rsid w:val="4C8A3A22"/>
    <w:rsid w:val="4C9608FA"/>
    <w:rsid w:val="4C997D3D"/>
    <w:rsid w:val="4CA119D9"/>
    <w:rsid w:val="4CA43757"/>
    <w:rsid w:val="4CAD1CDB"/>
    <w:rsid w:val="4CE50F80"/>
    <w:rsid w:val="4D6A6A44"/>
    <w:rsid w:val="4D7D6EC9"/>
    <w:rsid w:val="4DC909B4"/>
    <w:rsid w:val="4DE1588E"/>
    <w:rsid w:val="4DE90850"/>
    <w:rsid w:val="4E067654"/>
    <w:rsid w:val="4E5402F6"/>
    <w:rsid w:val="4EC70B92"/>
    <w:rsid w:val="4EE6216A"/>
    <w:rsid w:val="4EFC6A7C"/>
    <w:rsid w:val="4F1A33B7"/>
    <w:rsid w:val="4F5023DA"/>
    <w:rsid w:val="4F9C5481"/>
    <w:rsid w:val="4FF05EC6"/>
    <w:rsid w:val="4FF9121F"/>
    <w:rsid w:val="50106568"/>
    <w:rsid w:val="5010743A"/>
    <w:rsid w:val="50497CF7"/>
    <w:rsid w:val="504A4CD4"/>
    <w:rsid w:val="505E71AE"/>
    <w:rsid w:val="50834F8C"/>
    <w:rsid w:val="50A7470D"/>
    <w:rsid w:val="50D229A8"/>
    <w:rsid w:val="50E84DEF"/>
    <w:rsid w:val="514E10F6"/>
    <w:rsid w:val="514F0A73"/>
    <w:rsid w:val="51967A76"/>
    <w:rsid w:val="51C17AD9"/>
    <w:rsid w:val="51D13526"/>
    <w:rsid w:val="51D61265"/>
    <w:rsid w:val="52301813"/>
    <w:rsid w:val="527D30D3"/>
    <w:rsid w:val="52B53495"/>
    <w:rsid w:val="52FE1860"/>
    <w:rsid w:val="532A227E"/>
    <w:rsid w:val="533178FD"/>
    <w:rsid w:val="53760DD8"/>
    <w:rsid w:val="53794FAC"/>
    <w:rsid w:val="53DA70A0"/>
    <w:rsid w:val="5416529F"/>
    <w:rsid w:val="54387E3C"/>
    <w:rsid w:val="54AB5A65"/>
    <w:rsid w:val="54DE2851"/>
    <w:rsid w:val="54F517B6"/>
    <w:rsid w:val="54F77C1A"/>
    <w:rsid w:val="55020FBC"/>
    <w:rsid w:val="55254864"/>
    <w:rsid w:val="552D4DBF"/>
    <w:rsid w:val="554F368F"/>
    <w:rsid w:val="558666E5"/>
    <w:rsid w:val="55B56E12"/>
    <w:rsid w:val="55B859EA"/>
    <w:rsid w:val="55E53FF3"/>
    <w:rsid w:val="55F0735B"/>
    <w:rsid w:val="567747E3"/>
    <w:rsid w:val="568D4120"/>
    <w:rsid w:val="56D26710"/>
    <w:rsid w:val="56EE7EA8"/>
    <w:rsid w:val="56F6686C"/>
    <w:rsid w:val="57167CB7"/>
    <w:rsid w:val="571B7A1F"/>
    <w:rsid w:val="57284198"/>
    <w:rsid w:val="574C494D"/>
    <w:rsid w:val="57673C94"/>
    <w:rsid w:val="578F2469"/>
    <w:rsid w:val="57D141F5"/>
    <w:rsid w:val="57F87E6B"/>
    <w:rsid w:val="580F5357"/>
    <w:rsid w:val="5812104B"/>
    <w:rsid w:val="58434E1F"/>
    <w:rsid w:val="58B8154B"/>
    <w:rsid w:val="58ED7447"/>
    <w:rsid w:val="592514A5"/>
    <w:rsid w:val="59613991"/>
    <w:rsid w:val="59653481"/>
    <w:rsid w:val="59FE33D4"/>
    <w:rsid w:val="5A2055FA"/>
    <w:rsid w:val="5A577137"/>
    <w:rsid w:val="5AA12BDF"/>
    <w:rsid w:val="5AC64625"/>
    <w:rsid w:val="5B525C87"/>
    <w:rsid w:val="5B8071EB"/>
    <w:rsid w:val="5BD1219E"/>
    <w:rsid w:val="5C6104C7"/>
    <w:rsid w:val="5C74167F"/>
    <w:rsid w:val="5C966047"/>
    <w:rsid w:val="5CC17C3D"/>
    <w:rsid w:val="5D137698"/>
    <w:rsid w:val="5D2D61A2"/>
    <w:rsid w:val="5D387BEC"/>
    <w:rsid w:val="5DC01CC1"/>
    <w:rsid w:val="5DD10CFB"/>
    <w:rsid w:val="5E0A598D"/>
    <w:rsid w:val="5E211A00"/>
    <w:rsid w:val="5E371153"/>
    <w:rsid w:val="5E4D0988"/>
    <w:rsid w:val="5E525F9E"/>
    <w:rsid w:val="5E9A1E1F"/>
    <w:rsid w:val="5EA27CF7"/>
    <w:rsid w:val="5EDA66BF"/>
    <w:rsid w:val="5EDD61EA"/>
    <w:rsid w:val="5EFA28BD"/>
    <w:rsid w:val="5F295FFE"/>
    <w:rsid w:val="5F307999"/>
    <w:rsid w:val="5F3E2C00"/>
    <w:rsid w:val="5FC10EEA"/>
    <w:rsid w:val="5FD924D3"/>
    <w:rsid w:val="601016AC"/>
    <w:rsid w:val="60272F61"/>
    <w:rsid w:val="60275934"/>
    <w:rsid w:val="602B6ED2"/>
    <w:rsid w:val="605F2604"/>
    <w:rsid w:val="60AE3960"/>
    <w:rsid w:val="60E349FE"/>
    <w:rsid w:val="61284D60"/>
    <w:rsid w:val="6171220B"/>
    <w:rsid w:val="61A93192"/>
    <w:rsid w:val="61C430C3"/>
    <w:rsid w:val="61E63DAA"/>
    <w:rsid w:val="620D5A01"/>
    <w:rsid w:val="622155AA"/>
    <w:rsid w:val="62286FA5"/>
    <w:rsid w:val="62597DE8"/>
    <w:rsid w:val="627B1AB2"/>
    <w:rsid w:val="628D3A49"/>
    <w:rsid w:val="62A50C52"/>
    <w:rsid w:val="62DD5658"/>
    <w:rsid w:val="632878B5"/>
    <w:rsid w:val="6330037F"/>
    <w:rsid w:val="634A3DC1"/>
    <w:rsid w:val="63AA1CB3"/>
    <w:rsid w:val="63AC373A"/>
    <w:rsid w:val="63B77D3D"/>
    <w:rsid w:val="63E137D0"/>
    <w:rsid w:val="63FD04B8"/>
    <w:rsid w:val="644D317A"/>
    <w:rsid w:val="64515271"/>
    <w:rsid w:val="647E79BC"/>
    <w:rsid w:val="648D5F82"/>
    <w:rsid w:val="649F302D"/>
    <w:rsid w:val="65015F10"/>
    <w:rsid w:val="653D3A0D"/>
    <w:rsid w:val="65640114"/>
    <w:rsid w:val="65766A16"/>
    <w:rsid w:val="657932B2"/>
    <w:rsid w:val="65B81595"/>
    <w:rsid w:val="65DA0D53"/>
    <w:rsid w:val="65E105E0"/>
    <w:rsid w:val="65E37883"/>
    <w:rsid w:val="65FC2628"/>
    <w:rsid w:val="6612789C"/>
    <w:rsid w:val="66376978"/>
    <w:rsid w:val="6656415A"/>
    <w:rsid w:val="667B1093"/>
    <w:rsid w:val="66C41BA1"/>
    <w:rsid w:val="66F4159C"/>
    <w:rsid w:val="672E5B89"/>
    <w:rsid w:val="674566A0"/>
    <w:rsid w:val="67472418"/>
    <w:rsid w:val="67817DD1"/>
    <w:rsid w:val="67D5211A"/>
    <w:rsid w:val="67FE0040"/>
    <w:rsid w:val="6803236C"/>
    <w:rsid w:val="683230C8"/>
    <w:rsid w:val="68633281"/>
    <w:rsid w:val="68641C29"/>
    <w:rsid w:val="68720B1F"/>
    <w:rsid w:val="68737DD7"/>
    <w:rsid w:val="687942B5"/>
    <w:rsid w:val="6881195A"/>
    <w:rsid w:val="68F71C1C"/>
    <w:rsid w:val="691B330D"/>
    <w:rsid w:val="69541B97"/>
    <w:rsid w:val="6962178B"/>
    <w:rsid w:val="69C417FE"/>
    <w:rsid w:val="69E55F18"/>
    <w:rsid w:val="6A1A1482"/>
    <w:rsid w:val="6A2B37A3"/>
    <w:rsid w:val="6A794FDE"/>
    <w:rsid w:val="6AC936FA"/>
    <w:rsid w:val="6AD20AE0"/>
    <w:rsid w:val="6B955338"/>
    <w:rsid w:val="6BAA566B"/>
    <w:rsid w:val="6BD1479F"/>
    <w:rsid w:val="6C1256EA"/>
    <w:rsid w:val="6C4D4548"/>
    <w:rsid w:val="6CA125CA"/>
    <w:rsid w:val="6CC118C2"/>
    <w:rsid w:val="6CE16E6B"/>
    <w:rsid w:val="6CE2102B"/>
    <w:rsid w:val="6CFF79F8"/>
    <w:rsid w:val="6D00107A"/>
    <w:rsid w:val="6D2154B9"/>
    <w:rsid w:val="6D96795D"/>
    <w:rsid w:val="6E182D60"/>
    <w:rsid w:val="6E306E21"/>
    <w:rsid w:val="6E81542E"/>
    <w:rsid w:val="6E934195"/>
    <w:rsid w:val="6E9F46BA"/>
    <w:rsid w:val="6EA8497F"/>
    <w:rsid w:val="6EAB3BD4"/>
    <w:rsid w:val="6EED5F9B"/>
    <w:rsid w:val="6F230717"/>
    <w:rsid w:val="6F353191"/>
    <w:rsid w:val="6F531281"/>
    <w:rsid w:val="6F6D03D1"/>
    <w:rsid w:val="6F947C8B"/>
    <w:rsid w:val="6FA938B1"/>
    <w:rsid w:val="6FD11464"/>
    <w:rsid w:val="6FD32A59"/>
    <w:rsid w:val="6FDD6018"/>
    <w:rsid w:val="6FF173C5"/>
    <w:rsid w:val="6FF60686"/>
    <w:rsid w:val="703D0FC8"/>
    <w:rsid w:val="705241EA"/>
    <w:rsid w:val="7065127C"/>
    <w:rsid w:val="70755745"/>
    <w:rsid w:val="70BA45DB"/>
    <w:rsid w:val="70CD45E1"/>
    <w:rsid w:val="70F21646"/>
    <w:rsid w:val="710D6480"/>
    <w:rsid w:val="7170708E"/>
    <w:rsid w:val="71B20DD6"/>
    <w:rsid w:val="71BE6A67"/>
    <w:rsid w:val="71C053DD"/>
    <w:rsid w:val="71C6395B"/>
    <w:rsid w:val="71E2374F"/>
    <w:rsid w:val="71EA2CC2"/>
    <w:rsid w:val="71F17B50"/>
    <w:rsid w:val="724A6F26"/>
    <w:rsid w:val="726430E2"/>
    <w:rsid w:val="727D38B6"/>
    <w:rsid w:val="72A050D2"/>
    <w:rsid w:val="72A56B1F"/>
    <w:rsid w:val="72A91636"/>
    <w:rsid w:val="72F316A6"/>
    <w:rsid w:val="730F3FD0"/>
    <w:rsid w:val="7342726D"/>
    <w:rsid w:val="73AE6E92"/>
    <w:rsid w:val="73B05EB4"/>
    <w:rsid w:val="74431056"/>
    <w:rsid w:val="7454478A"/>
    <w:rsid w:val="74DD60C1"/>
    <w:rsid w:val="74E1420E"/>
    <w:rsid w:val="74EC2851"/>
    <w:rsid w:val="750D2EF3"/>
    <w:rsid w:val="753D30AC"/>
    <w:rsid w:val="75616D9B"/>
    <w:rsid w:val="757E69A7"/>
    <w:rsid w:val="75900235"/>
    <w:rsid w:val="759B1B2A"/>
    <w:rsid w:val="75B12CFD"/>
    <w:rsid w:val="75D83942"/>
    <w:rsid w:val="75FA643B"/>
    <w:rsid w:val="76100662"/>
    <w:rsid w:val="7612477B"/>
    <w:rsid w:val="76583C68"/>
    <w:rsid w:val="765D0CF1"/>
    <w:rsid w:val="76784627"/>
    <w:rsid w:val="772B3B04"/>
    <w:rsid w:val="7794408D"/>
    <w:rsid w:val="7802292E"/>
    <w:rsid w:val="787B40E1"/>
    <w:rsid w:val="78982767"/>
    <w:rsid w:val="78F84FB9"/>
    <w:rsid w:val="790F7B31"/>
    <w:rsid w:val="7939786F"/>
    <w:rsid w:val="793A3A8E"/>
    <w:rsid w:val="795C38E9"/>
    <w:rsid w:val="79A33D5E"/>
    <w:rsid w:val="79CC3F37"/>
    <w:rsid w:val="79DD6C0C"/>
    <w:rsid w:val="7A283197"/>
    <w:rsid w:val="7A2A6FA8"/>
    <w:rsid w:val="7A2B3E1B"/>
    <w:rsid w:val="7A3F034D"/>
    <w:rsid w:val="7A653799"/>
    <w:rsid w:val="7A6F3D08"/>
    <w:rsid w:val="7A72681F"/>
    <w:rsid w:val="7A78315F"/>
    <w:rsid w:val="7A9D6AC7"/>
    <w:rsid w:val="7A9E45ED"/>
    <w:rsid w:val="7ACD6058"/>
    <w:rsid w:val="7AD216E0"/>
    <w:rsid w:val="7B064DD7"/>
    <w:rsid w:val="7BA15D4D"/>
    <w:rsid w:val="7BC4597B"/>
    <w:rsid w:val="7BD33C1B"/>
    <w:rsid w:val="7BF64461"/>
    <w:rsid w:val="7C740551"/>
    <w:rsid w:val="7C7F01DA"/>
    <w:rsid w:val="7C883A74"/>
    <w:rsid w:val="7CB37884"/>
    <w:rsid w:val="7D4800BE"/>
    <w:rsid w:val="7D4B15C0"/>
    <w:rsid w:val="7DF32EA2"/>
    <w:rsid w:val="7EA9255D"/>
    <w:rsid w:val="7EB15D0B"/>
    <w:rsid w:val="7EB265B7"/>
    <w:rsid w:val="7F0A5573"/>
    <w:rsid w:val="7F301964"/>
    <w:rsid w:val="7F3308C3"/>
    <w:rsid w:val="7F357819"/>
    <w:rsid w:val="7F7A03E5"/>
    <w:rsid w:val="7F8C7462"/>
    <w:rsid w:val="7FAB699F"/>
    <w:rsid w:val="7FC05D4B"/>
    <w:rsid w:val="7FC33EE4"/>
    <w:rsid w:val="7FFF5B2E"/>
    <w:rsid w:val="F77F88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uiPriority="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qFormat="1" w:unhideWhenUsed="0" w:uiPriority="0" w:semiHidden="0" w:name="envelope return"/>
    <w:lsdException w:uiPriority="0" w:name="footnote reference"/>
    <w:lsdException w:qFormat="1" w:unhideWhenUsed="0" w:uiPriority="0" w:semiHidden="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iPriority="99" w:semiHidden="0" w:name="Body Text"/>
    <w:lsdException w:qFormat="1" w:uiPriority="99"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qFormat="1" w:uiPriority="99" w:semiHidden="0" w:name="Body Text First Indent"/>
    <w:lsdException w:qFormat="1" w:uiPriority="99" w:semiHidden="0" w:name="Body Text First Indent 2"/>
    <w:lsdException w:uiPriority="0" w:name="Note Heading"/>
    <w:lsdException w:uiPriority="0" w:name="Body Text 2"/>
    <w:lsdException w:uiPriority="0" w:name="Body Text 3"/>
    <w:lsdException w:qFormat="1" w:uiPriority="99" w:semiHidden="0" w:name="Body Text Indent 2"/>
    <w:lsdException w:uiPriority="0" w:name="Body Text Indent 3"/>
    <w:lsdException w:uiPriority="0" w:name="Block Text"/>
    <w:lsdException w:qFormat="1" w:uiPriority="99"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before="260" w:after="260" w:line="560" w:lineRule="exact"/>
      <w:ind w:firstLine="723" w:firstLineChars="200"/>
      <w:jc w:val="both"/>
    </w:pPr>
    <w:rPr>
      <w:rFonts w:ascii="仿宋" w:hAnsi="仿宋" w:eastAsia="仿宋" w:cs="Times New Roman"/>
      <w:kern w:val="2"/>
      <w:sz w:val="30"/>
      <w:szCs w:val="30"/>
      <w:lang w:val="en-US" w:eastAsia="zh-CN" w:bidi="ar-SA"/>
    </w:rPr>
  </w:style>
  <w:style w:type="paragraph" w:styleId="3">
    <w:name w:val="heading 1"/>
    <w:basedOn w:val="1"/>
    <w:next w:val="1"/>
    <w:qFormat/>
    <w:uiPriority w:val="0"/>
    <w:pPr>
      <w:keepNext/>
      <w:keepLines/>
      <w:spacing w:line="240" w:lineRule="auto"/>
      <w:ind w:firstLine="0" w:firstLineChars="0"/>
      <w:jc w:val="center"/>
      <w:outlineLvl w:val="0"/>
    </w:pPr>
    <w:rPr>
      <w:rFonts w:eastAsia="华文仿宋"/>
      <w:b/>
      <w:kern w:val="44"/>
      <w:sz w:val="36"/>
    </w:rPr>
  </w:style>
  <w:style w:type="paragraph" w:styleId="4">
    <w:name w:val="heading 2"/>
    <w:basedOn w:val="1"/>
    <w:next w:val="1"/>
    <w:link w:val="34"/>
    <w:qFormat/>
    <w:uiPriority w:val="9"/>
    <w:pPr>
      <w:keepNext/>
      <w:keepLines/>
      <w:ind w:firstLine="0" w:firstLineChars="0"/>
      <w:outlineLvl w:val="1"/>
    </w:pPr>
    <w:rPr>
      <w:rFonts w:ascii="Arial" w:hAnsi="Arial" w:eastAsia="华文仿宋"/>
      <w:b/>
      <w:kern w:val="0"/>
      <w:sz w:val="32"/>
      <w:szCs w:val="20"/>
    </w:rPr>
  </w:style>
  <w:style w:type="paragraph" w:styleId="5">
    <w:name w:val="heading 3"/>
    <w:basedOn w:val="1"/>
    <w:next w:val="1"/>
    <w:link w:val="35"/>
    <w:qFormat/>
    <w:uiPriority w:val="0"/>
    <w:pPr>
      <w:keepNext/>
      <w:keepLines/>
      <w:ind w:firstLine="0" w:firstLineChars="0"/>
      <w:outlineLvl w:val="2"/>
    </w:pPr>
    <w:rPr>
      <w:rFonts w:ascii="Times New Roman" w:hAnsi="Times New Roman" w:eastAsia="华文仿宋"/>
      <w:b/>
      <w:kern w:val="0"/>
      <w:szCs w:val="20"/>
    </w:rPr>
  </w:style>
  <w:style w:type="paragraph" w:styleId="6">
    <w:name w:val="heading 4"/>
    <w:basedOn w:val="1"/>
    <w:next w:val="1"/>
    <w:link w:val="36"/>
    <w:qFormat/>
    <w:uiPriority w:val="0"/>
    <w:pPr>
      <w:keepNext/>
      <w:keepLines/>
      <w:spacing w:line="360" w:lineRule="auto"/>
      <w:outlineLvl w:val="3"/>
    </w:pPr>
    <w:rPr>
      <w:rFonts w:ascii="Arial" w:hAnsi="Arial"/>
      <w:kern w:val="0"/>
      <w:sz w:val="32"/>
      <w:szCs w:val="20"/>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2">
    <w:name w:val="toc 1"/>
    <w:basedOn w:val="1"/>
    <w:next w:val="1"/>
    <w:unhideWhenUsed/>
    <w:qFormat/>
    <w:uiPriority w:val="39"/>
    <w:pPr>
      <w:tabs>
        <w:tab w:val="left" w:pos="1050"/>
        <w:tab w:val="right" w:leader="dot" w:pos="8834"/>
      </w:tabs>
      <w:jc w:val="center"/>
    </w:pPr>
    <w:rPr>
      <w:rFonts w:ascii="黑体" w:hAnsi="黑体" w:eastAsia="黑体"/>
      <w:b/>
      <w:szCs w:val="44"/>
    </w:rPr>
  </w:style>
  <w:style w:type="paragraph" w:styleId="7">
    <w:name w:val="toc 7"/>
    <w:basedOn w:val="1"/>
    <w:next w:val="1"/>
    <w:unhideWhenUsed/>
    <w:qFormat/>
    <w:uiPriority w:val="39"/>
    <w:pPr>
      <w:spacing w:before="0" w:after="0" w:line="240" w:lineRule="auto"/>
      <w:ind w:left="2520" w:leftChars="1200" w:firstLine="0" w:firstLineChars="0"/>
    </w:pPr>
    <w:rPr>
      <w:rFonts w:ascii="Calibri" w:hAnsi="Calibri" w:eastAsia="宋体"/>
      <w:sz w:val="21"/>
      <w:szCs w:val="22"/>
    </w:rPr>
  </w:style>
  <w:style w:type="paragraph" w:styleId="8">
    <w:name w:val="annotation text"/>
    <w:basedOn w:val="1"/>
    <w:link w:val="37"/>
    <w:qFormat/>
    <w:uiPriority w:val="0"/>
    <w:pPr>
      <w:jc w:val="left"/>
    </w:pPr>
    <w:rPr>
      <w:sz w:val="32"/>
      <w:szCs w:val="24"/>
    </w:rPr>
  </w:style>
  <w:style w:type="paragraph" w:styleId="9">
    <w:name w:val="Body Text"/>
    <w:basedOn w:val="1"/>
    <w:unhideWhenUsed/>
    <w:qFormat/>
    <w:uiPriority w:val="99"/>
    <w:pPr>
      <w:snapToGrid w:val="0"/>
      <w:spacing w:line="240" w:lineRule="auto"/>
      <w:ind w:firstLine="0" w:firstLineChars="0"/>
      <w:jc w:val="center"/>
    </w:pPr>
    <w:rPr>
      <w:kern w:val="0"/>
      <w:sz w:val="24"/>
    </w:rPr>
  </w:style>
  <w:style w:type="paragraph" w:styleId="10">
    <w:name w:val="Body Text Indent"/>
    <w:basedOn w:val="1"/>
    <w:next w:val="11"/>
    <w:link w:val="38"/>
    <w:unhideWhenUsed/>
    <w:qFormat/>
    <w:uiPriority w:val="99"/>
    <w:pPr>
      <w:spacing w:after="120"/>
      <w:ind w:left="420" w:leftChars="200"/>
    </w:pPr>
    <w:rPr>
      <w:rFonts w:ascii="Times New Roman" w:hAnsi="Times New Roman" w:eastAsia="宋体"/>
      <w:kern w:val="0"/>
      <w:sz w:val="20"/>
      <w:szCs w:val="20"/>
    </w:rPr>
  </w:style>
  <w:style w:type="paragraph" w:styleId="11">
    <w:name w:val="envelope return"/>
    <w:basedOn w:val="1"/>
    <w:qFormat/>
    <w:uiPriority w:val="0"/>
    <w:pPr>
      <w:widowControl/>
      <w:snapToGrid w:val="0"/>
      <w:jc w:val="left"/>
    </w:pPr>
    <w:rPr>
      <w:rFonts w:ascii="Arial" w:hAnsi="Arial" w:cs="Arial"/>
      <w:kern w:val="0"/>
      <w:sz w:val="24"/>
    </w:rPr>
  </w:style>
  <w:style w:type="paragraph" w:styleId="12">
    <w:name w:val="toc 5"/>
    <w:basedOn w:val="1"/>
    <w:next w:val="1"/>
    <w:unhideWhenUsed/>
    <w:qFormat/>
    <w:uiPriority w:val="39"/>
    <w:pPr>
      <w:spacing w:before="0" w:after="0" w:line="240" w:lineRule="auto"/>
      <w:ind w:left="1680" w:leftChars="800" w:firstLine="0" w:firstLineChars="0"/>
    </w:pPr>
    <w:rPr>
      <w:rFonts w:ascii="Calibri" w:hAnsi="Calibri" w:eastAsia="宋体"/>
      <w:sz w:val="21"/>
      <w:szCs w:val="22"/>
    </w:rPr>
  </w:style>
  <w:style w:type="paragraph" w:styleId="13">
    <w:name w:val="toc 3"/>
    <w:basedOn w:val="1"/>
    <w:next w:val="1"/>
    <w:qFormat/>
    <w:uiPriority w:val="39"/>
    <w:pPr>
      <w:ind w:left="840" w:leftChars="400"/>
    </w:pPr>
  </w:style>
  <w:style w:type="paragraph" w:styleId="14">
    <w:name w:val="toc 8"/>
    <w:basedOn w:val="1"/>
    <w:next w:val="1"/>
    <w:unhideWhenUsed/>
    <w:qFormat/>
    <w:uiPriority w:val="39"/>
    <w:pPr>
      <w:spacing w:before="0" w:after="0" w:line="240" w:lineRule="auto"/>
      <w:ind w:left="2940" w:leftChars="1400" w:firstLine="0" w:firstLineChars="0"/>
    </w:pPr>
    <w:rPr>
      <w:rFonts w:ascii="Calibri" w:hAnsi="Calibri" w:eastAsia="宋体"/>
      <w:sz w:val="21"/>
      <w:szCs w:val="22"/>
    </w:rPr>
  </w:style>
  <w:style w:type="paragraph" w:styleId="15">
    <w:name w:val="Body Text Indent 2"/>
    <w:basedOn w:val="1"/>
    <w:next w:val="1"/>
    <w:unhideWhenUsed/>
    <w:qFormat/>
    <w:uiPriority w:val="99"/>
    <w:pPr>
      <w:spacing w:after="120" w:line="480" w:lineRule="auto"/>
      <w:ind w:left="420" w:leftChars="200"/>
    </w:pPr>
  </w:style>
  <w:style w:type="paragraph" w:styleId="16">
    <w:name w:val="Balloon Text"/>
    <w:basedOn w:val="1"/>
    <w:link w:val="39"/>
    <w:qFormat/>
    <w:uiPriority w:val="0"/>
    <w:rPr>
      <w:sz w:val="18"/>
      <w:szCs w:val="18"/>
    </w:rPr>
  </w:style>
  <w:style w:type="paragraph" w:styleId="17">
    <w:name w:val="footer"/>
    <w:basedOn w:val="1"/>
    <w:link w:val="40"/>
    <w:qFormat/>
    <w:uiPriority w:val="99"/>
    <w:pPr>
      <w:tabs>
        <w:tab w:val="center" w:pos="4153"/>
        <w:tab w:val="right" w:pos="8306"/>
      </w:tabs>
      <w:snapToGrid w:val="0"/>
      <w:jc w:val="left"/>
    </w:pPr>
    <w:rPr>
      <w:sz w:val="18"/>
      <w:szCs w:val="18"/>
    </w:rPr>
  </w:style>
  <w:style w:type="paragraph" w:styleId="18">
    <w:name w:val="header"/>
    <w:basedOn w:val="1"/>
    <w:link w:val="41"/>
    <w:qFormat/>
    <w:uiPriority w:val="99"/>
    <w:pPr>
      <w:pBdr>
        <w:bottom w:val="single" w:color="auto" w:sz="6" w:space="1"/>
      </w:pBdr>
      <w:tabs>
        <w:tab w:val="center" w:pos="4153"/>
        <w:tab w:val="right" w:pos="8306"/>
      </w:tabs>
      <w:snapToGrid w:val="0"/>
      <w:jc w:val="center"/>
    </w:pPr>
    <w:rPr>
      <w:sz w:val="18"/>
      <w:szCs w:val="18"/>
    </w:rPr>
  </w:style>
  <w:style w:type="paragraph" w:styleId="19">
    <w:name w:val="toc 4"/>
    <w:basedOn w:val="1"/>
    <w:next w:val="1"/>
    <w:unhideWhenUsed/>
    <w:qFormat/>
    <w:uiPriority w:val="39"/>
    <w:pPr>
      <w:spacing w:before="0" w:after="0" w:line="240" w:lineRule="auto"/>
      <w:ind w:left="1260" w:leftChars="600" w:firstLine="0" w:firstLineChars="0"/>
    </w:pPr>
    <w:rPr>
      <w:rFonts w:ascii="Calibri" w:hAnsi="Calibri" w:eastAsia="宋体"/>
      <w:sz w:val="21"/>
      <w:szCs w:val="22"/>
    </w:rPr>
  </w:style>
  <w:style w:type="paragraph" w:styleId="20">
    <w:name w:val="toc 6"/>
    <w:basedOn w:val="1"/>
    <w:next w:val="1"/>
    <w:unhideWhenUsed/>
    <w:qFormat/>
    <w:uiPriority w:val="39"/>
    <w:pPr>
      <w:spacing w:before="0" w:after="0" w:line="240" w:lineRule="auto"/>
      <w:ind w:left="2100" w:leftChars="1000" w:firstLine="0" w:firstLineChars="0"/>
    </w:pPr>
    <w:rPr>
      <w:rFonts w:ascii="Calibri" w:hAnsi="Calibri" w:eastAsia="宋体"/>
      <w:sz w:val="21"/>
      <w:szCs w:val="22"/>
    </w:rPr>
  </w:style>
  <w:style w:type="paragraph" w:styleId="21">
    <w:name w:val="toc 2"/>
    <w:basedOn w:val="1"/>
    <w:next w:val="1"/>
    <w:qFormat/>
    <w:uiPriority w:val="39"/>
    <w:pPr>
      <w:ind w:left="420" w:leftChars="200"/>
    </w:pPr>
  </w:style>
  <w:style w:type="paragraph" w:styleId="22">
    <w:name w:val="toc 9"/>
    <w:basedOn w:val="1"/>
    <w:next w:val="1"/>
    <w:unhideWhenUsed/>
    <w:qFormat/>
    <w:uiPriority w:val="39"/>
    <w:pPr>
      <w:spacing w:before="0" w:after="0" w:line="240" w:lineRule="auto"/>
      <w:ind w:left="3360" w:leftChars="1600" w:firstLine="0" w:firstLineChars="0"/>
    </w:pPr>
    <w:rPr>
      <w:rFonts w:ascii="Calibri" w:hAnsi="Calibri" w:eastAsia="宋体"/>
      <w:sz w:val="21"/>
      <w:szCs w:val="22"/>
    </w:rPr>
  </w:style>
  <w:style w:type="paragraph" w:styleId="23">
    <w:name w:val="Normal (Web)"/>
    <w:basedOn w:val="1"/>
    <w:qFormat/>
    <w:uiPriority w:val="99"/>
    <w:pPr>
      <w:spacing w:before="100" w:beforeAutospacing="1" w:after="100" w:afterAutospacing="1"/>
      <w:ind w:firstLine="0" w:firstLineChars="0"/>
      <w:jc w:val="left"/>
    </w:pPr>
    <w:rPr>
      <w:rFonts w:ascii="Calibri" w:hAnsi="Calibri" w:eastAsia="宋体"/>
      <w:kern w:val="0"/>
      <w:sz w:val="24"/>
    </w:rPr>
  </w:style>
  <w:style w:type="paragraph" w:styleId="24">
    <w:name w:val="annotation subject"/>
    <w:basedOn w:val="8"/>
    <w:next w:val="8"/>
    <w:link w:val="42"/>
    <w:qFormat/>
    <w:uiPriority w:val="0"/>
    <w:rPr>
      <w:b/>
      <w:bCs/>
    </w:rPr>
  </w:style>
  <w:style w:type="paragraph" w:styleId="25">
    <w:name w:val="Body Text First Indent"/>
    <w:basedOn w:val="9"/>
    <w:unhideWhenUsed/>
    <w:qFormat/>
    <w:uiPriority w:val="99"/>
    <w:pPr>
      <w:ind w:firstLine="420" w:firstLineChars="100"/>
    </w:pPr>
  </w:style>
  <w:style w:type="paragraph" w:styleId="26">
    <w:name w:val="Body Text First Indent 2"/>
    <w:basedOn w:val="10"/>
    <w:unhideWhenUsed/>
    <w:qFormat/>
    <w:uiPriority w:val="99"/>
    <w:pPr>
      <w:ind w:firstLine="420"/>
    </w:pPr>
  </w:style>
  <w:style w:type="table" w:styleId="28">
    <w:name w:val="Table Grid"/>
    <w:basedOn w:val="2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0">
    <w:name w:val="Strong"/>
    <w:qFormat/>
    <w:uiPriority w:val="22"/>
    <w:rPr>
      <w:b/>
      <w:bCs/>
    </w:rPr>
  </w:style>
  <w:style w:type="character" w:styleId="31">
    <w:name w:val="Emphasis"/>
    <w:qFormat/>
    <w:uiPriority w:val="20"/>
    <w:rPr>
      <w:i/>
      <w:iCs/>
    </w:rPr>
  </w:style>
  <w:style w:type="character" w:styleId="32">
    <w:name w:val="Hyperlink"/>
    <w:unhideWhenUsed/>
    <w:qFormat/>
    <w:uiPriority w:val="99"/>
    <w:rPr>
      <w:color w:val="0000FF"/>
      <w:u w:val="single"/>
    </w:rPr>
  </w:style>
  <w:style w:type="character" w:styleId="33">
    <w:name w:val="annotation reference"/>
    <w:qFormat/>
    <w:uiPriority w:val="0"/>
    <w:rPr>
      <w:sz w:val="21"/>
      <w:szCs w:val="21"/>
    </w:rPr>
  </w:style>
  <w:style w:type="character" w:customStyle="1" w:styleId="34">
    <w:name w:val="标题 2 Char"/>
    <w:link w:val="4"/>
    <w:qFormat/>
    <w:uiPriority w:val="9"/>
    <w:rPr>
      <w:rFonts w:ascii="Arial" w:hAnsi="Arial" w:eastAsia="华文仿宋"/>
      <w:b/>
      <w:sz w:val="32"/>
    </w:rPr>
  </w:style>
  <w:style w:type="character" w:customStyle="1" w:styleId="35">
    <w:name w:val="标题 3 Char"/>
    <w:link w:val="5"/>
    <w:qFormat/>
    <w:uiPriority w:val="0"/>
    <w:rPr>
      <w:rFonts w:eastAsia="华文仿宋"/>
      <w:b/>
      <w:sz w:val="30"/>
    </w:rPr>
  </w:style>
  <w:style w:type="character" w:customStyle="1" w:styleId="36">
    <w:name w:val="标题 4 Char"/>
    <w:link w:val="6"/>
    <w:qFormat/>
    <w:uiPriority w:val="0"/>
    <w:rPr>
      <w:rFonts w:ascii="Arial" w:hAnsi="Arial" w:eastAsia="仿宋"/>
      <w:sz w:val="32"/>
    </w:rPr>
  </w:style>
  <w:style w:type="character" w:customStyle="1" w:styleId="37">
    <w:name w:val="批注文字 Char"/>
    <w:link w:val="8"/>
    <w:qFormat/>
    <w:uiPriority w:val="0"/>
    <w:rPr>
      <w:rFonts w:ascii="仿宋" w:hAnsi="仿宋" w:eastAsia="仿宋"/>
      <w:kern w:val="2"/>
      <w:sz w:val="32"/>
      <w:szCs w:val="24"/>
    </w:rPr>
  </w:style>
  <w:style w:type="character" w:customStyle="1" w:styleId="38">
    <w:name w:val="正文文本缩进 Char"/>
    <w:link w:val="10"/>
    <w:qFormat/>
    <w:uiPriority w:val="99"/>
    <w:rPr>
      <w:kern w:val="0"/>
      <w:sz w:val="20"/>
    </w:rPr>
  </w:style>
  <w:style w:type="character" w:customStyle="1" w:styleId="39">
    <w:name w:val="批注框文本 Char"/>
    <w:link w:val="16"/>
    <w:qFormat/>
    <w:uiPriority w:val="0"/>
    <w:rPr>
      <w:rFonts w:ascii="仿宋" w:hAnsi="仿宋" w:eastAsia="仿宋"/>
      <w:kern w:val="2"/>
      <w:sz w:val="18"/>
      <w:szCs w:val="18"/>
    </w:rPr>
  </w:style>
  <w:style w:type="character" w:customStyle="1" w:styleId="40">
    <w:name w:val="页脚 Char"/>
    <w:link w:val="17"/>
    <w:qFormat/>
    <w:uiPriority w:val="99"/>
    <w:rPr>
      <w:rFonts w:ascii="仿宋" w:hAnsi="仿宋" w:eastAsia="仿宋"/>
      <w:kern w:val="2"/>
      <w:sz w:val="18"/>
      <w:szCs w:val="18"/>
    </w:rPr>
  </w:style>
  <w:style w:type="character" w:customStyle="1" w:styleId="41">
    <w:name w:val="页眉 Char"/>
    <w:link w:val="18"/>
    <w:qFormat/>
    <w:uiPriority w:val="99"/>
    <w:rPr>
      <w:rFonts w:ascii="仿宋" w:hAnsi="仿宋" w:eastAsia="仿宋"/>
      <w:kern w:val="2"/>
      <w:sz w:val="18"/>
      <w:szCs w:val="18"/>
    </w:rPr>
  </w:style>
  <w:style w:type="character" w:customStyle="1" w:styleId="42">
    <w:name w:val="批注主题 Char"/>
    <w:link w:val="24"/>
    <w:qFormat/>
    <w:uiPriority w:val="0"/>
    <w:rPr>
      <w:rFonts w:ascii="仿宋" w:hAnsi="仿宋" w:eastAsia="仿宋"/>
      <w:b/>
      <w:bCs/>
      <w:kern w:val="2"/>
      <w:sz w:val="32"/>
      <w:szCs w:val="24"/>
    </w:rPr>
  </w:style>
  <w:style w:type="character" w:customStyle="1" w:styleId="43">
    <w:name w:val="bjh-p"/>
    <w:qFormat/>
    <w:uiPriority w:val="0"/>
  </w:style>
  <w:style w:type="paragraph" w:customStyle="1" w:styleId="44">
    <w:name w:val="WPSOffice手动目录 3"/>
    <w:qFormat/>
    <w:uiPriority w:val="0"/>
    <w:pPr>
      <w:ind w:left="400" w:leftChars="400"/>
    </w:pPr>
    <w:rPr>
      <w:rFonts w:ascii="Times New Roman" w:hAnsi="Times New Roman" w:eastAsia="宋体" w:cs="Times New Roman"/>
      <w:lang w:val="en-US" w:eastAsia="zh-CN" w:bidi="ar-SA"/>
    </w:rPr>
  </w:style>
  <w:style w:type="character" w:customStyle="1" w:styleId="45">
    <w:name w:val="批注文字 字符"/>
    <w:qFormat/>
    <w:uiPriority w:val="0"/>
    <w:rPr>
      <w:rFonts w:ascii="Calibri" w:hAnsi="Calibri"/>
      <w:kern w:val="2"/>
      <w:sz w:val="21"/>
      <w:szCs w:val="24"/>
    </w:rPr>
  </w:style>
  <w:style w:type="paragraph" w:styleId="46">
    <w:name w:val="List Paragraph"/>
    <w:basedOn w:val="1"/>
    <w:qFormat/>
    <w:uiPriority w:val="34"/>
    <w:pPr>
      <w:ind w:firstLine="420"/>
    </w:pPr>
  </w:style>
  <w:style w:type="paragraph" w:customStyle="1" w:styleId="47">
    <w:name w:val="WPSOffice手动目录 1"/>
    <w:qFormat/>
    <w:uiPriority w:val="0"/>
    <w:rPr>
      <w:rFonts w:ascii="Times New Roman" w:hAnsi="Times New Roman" w:eastAsia="宋体" w:cs="Times New Roman"/>
      <w:lang w:val="en-US" w:eastAsia="zh-CN" w:bidi="ar-SA"/>
    </w:rPr>
  </w:style>
  <w:style w:type="paragraph" w:customStyle="1" w:styleId="48">
    <w:name w:val="WPSOffice手动目录 2"/>
    <w:qFormat/>
    <w:uiPriority w:val="0"/>
    <w:pPr>
      <w:ind w:left="200" w:leftChars="200"/>
    </w:pPr>
    <w:rPr>
      <w:rFonts w:ascii="Times New Roman" w:hAnsi="Times New Roman" w:eastAsia="宋体" w:cs="Times New Roman"/>
      <w:lang w:val="en-US" w:eastAsia="zh-CN" w:bidi="ar-SA"/>
    </w:rPr>
  </w:style>
  <w:style w:type="character" w:customStyle="1" w:styleId="49">
    <w:name w:val="NormalCharacter"/>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64</Pages>
  <Words>34148</Words>
  <Characters>35315</Characters>
  <Lines>259</Lines>
  <Paragraphs>73</Paragraphs>
  <TotalTime>13</TotalTime>
  <ScaleCrop>false</ScaleCrop>
  <LinksUpToDate>false</LinksUpToDate>
  <CharactersWithSpaces>35583</CharactersWithSpaces>
  <Application>WPS Office_11.8.2.1117_F1E327BC-269C-435d-A152-05C5408002CA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2022-03-25T11:16:00Z</dcterms:created>
  <dc:creator>fan</dc:creator>
  <cp:lastModifiedBy>greatwall</cp:lastModifiedBy>
  <cp:lastPrinted>2022-03-28T08:15:00Z</cp:lastPrinted>
  <dcterms:modified xsi:type="dcterms:W3CDTF">2023-03-03T10:14:56Z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2052-11.8.2.1117</vt:lpwstr>
  </property>
  <property fmtid="{D5CDD505-2E9C-101B-9397-08002B2CF9AE}" pid="3" name="ICV">
    <vt:lpwstr>00F9DC9A30554F43A9F79ACF5BE67C7B</vt:lpwstr>
  </property>
</Properties>
</file>