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F4522">
      <w:pPr>
        <w:keepNext w:val="0"/>
        <w:keepLines w:val="0"/>
        <w:pageBreakBefore w:val="0"/>
        <w:tabs>
          <w:tab w:val="center" w:pos="4213"/>
          <w:tab w:val="left" w:pos="59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color w:val="0C0C0C"/>
          <w:sz w:val="44"/>
          <w:szCs w:val="44"/>
        </w:rPr>
      </w:pPr>
    </w:p>
    <w:p w14:paraId="2B028645">
      <w:pPr>
        <w:keepNext w:val="0"/>
        <w:keepLines w:val="0"/>
        <w:pageBreakBefore w:val="0"/>
        <w:tabs>
          <w:tab w:val="center" w:pos="4213"/>
          <w:tab w:val="left" w:pos="59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color w:val="0C0C0C"/>
          <w:sz w:val="44"/>
          <w:szCs w:val="44"/>
        </w:rPr>
      </w:pPr>
    </w:p>
    <w:p w14:paraId="6F303365">
      <w:pPr>
        <w:keepNext w:val="0"/>
        <w:keepLines w:val="0"/>
        <w:pageBreakBefore w:val="0"/>
        <w:widowControl w:val="0"/>
        <w:tabs>
          <w:tab w:val="center" w:pos="4213"/>
          <w:tab w:val="left" w:pos="59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color w:val="0C0C0C"/>
          <w:sz w:val="44"/>
          <w:szCs w:val="44"/>
        </w:rPr>
        <w:t>淮北市再生水利用管理办法</w:t>
      </w:r>
    </w:p>
    <w:bookmarkEnd w:id="0"/>
    <w:p w14:paraId="3366E1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（2025年12月13日淮北市人民政府第62号令公布 自2026年2月1日起施行）</w:t>
      </w:r>
    </w:p>
    <w:p w14:paraId="47E21DAD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color w:val="0C0C0C"/>
          <w:sz w:val="32"/>
          <w:szCs w:val="32"/>
        </w:rPr>
      </w:pPr>
    </w:p>
    <w:p w14:paraId="5EA07C67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C0C0C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C0C0C"/>
          <w:sz w:val="32"/>
          <w:szCs w:val="32"/>
        </w:rPr>
        <w:t xml:space="preserve">第一条  </w:t>
      </w:r>
      <w:r>
        <w:rPr>
          <w:rFonts w:hint="eastAsia" w:ascii="仿宋_GB2312" w:hAnsi="仿宋_GB2312" w:eastAsia="仿宋_GB2312" w:cs="仿宋_GB2312"/>
          <w:b w:val="0"/>
          <w:bCs w:val="0"/>
          <w:color w:val="0C0C0C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color w:val="0C0C0C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b w:val="0"/>
          <w:bCs w:val="0"/>
          <w:color w:val="0C0C0C"/>
          <w:sz w:val="32"/>
          <w:szCs w:val="32"/>
        </w:rPr>
        <w:t>促进再生水利用，加强再生水利用管理，根据《中华人民共和国水法》《城镇排水与污水处理条例》《节约用水条例》《安徽省节约用水条例》等法律法规</w:t>
      </w:r>
      <w:r>
        <w:rPr>
          <w:rFonts w:hint="eastAsia" w:ascii="仿宋_GB2312" w:hAnsi="仿宋_GB2312" w:eastAsia="仿宋_GB2312" w:cs="仿宋_GB2312"/>
          <w:b w:val="0"/>
          <w:bCs w:val="0"/>
          <w:color w:val="0C0C0C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b w:val="0"/>
          <w:bCs w:val="0"/>
          <w:color w:val="0C0C0C"/>
          <w:sz w:val="32"/>
          <w:szCs w:val="32"/>
        </w:rPr>
        <w:t>，结合</w:t>
      </w:r>
      <w:r>
        <w:rPr>
          <w:rFonts w:hint="eastAsia" w:ascii="仿宋_GB2312" w:hAnsi="仿宋_GB2312" w:eastAsia="仿宋_GB2312" w:cs="仿宋_GB2312"/>
          <w:b w:val="0"/>
          <w:bCs w:val="0"/>
          <w:color w:val="0C0C0C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b w:val="0"/>
          <w:bCs w:val="0"/>
          <w:color w:val="0C0C0C"/>
          <w:sz w:val="32"/>
          <w:szCs w:val="32"/>
        </w:rPr>
        <w:t>实际，制定本办法。</w:t>
      </w:r>
    </w:p>
    <w:p w14:paraId="598177C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黑体" w:cs="Times New Roman"/>
          <w:sz w:val="32"/>
          <w:szCs w:val="32"/>
          <w:lang/>
        </w:rPr>
        <w:t>第二条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本办法适用于本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市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行政区域内再生水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利用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规划、建设、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使用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运营、维护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以及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相关管理活动。</w:t>
      </w:r>
    </w:p>
    <w:p w14:paraId="4B8D6456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黑体" w:cs="Times New Roman"/>
          <w:sz w:val="32"/>
          <w:szCs w:val="32"/>
          <w:lang/>
        </w:rPr>
        <w:t>第三条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本办法所称再生水，是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指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经过处理后，满足某种用途的水质标准和要求，可以再次利用的污（废）水。</w:t>
      </w:r>
    </w:p>
    <w:p w14:paraId="64D5A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ascii="Times New Roman" w:hAnsi="Times New Roman" w:eastAsia="仿宋_GB2312" w:cs="Times New Roman"/>
          <w:sz w:val="32"/>
          <w:szCs w:val="32"/>
          <w:lang/>
        </w:rPr>
        <w:t>本办法所称再生水利用设施，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是指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再生水厂、加压泵站、输配管网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和其他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相关设施。</w:t>
      </w:r>
    </w:p>
    <w:p w14:paraId="6FB03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本办法所称再生水运营单位，是指具备再生水生产输配设施、运营资金、专业技术力量、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应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急抢险队伍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以及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设备，具有完善的安全生产管理制度和服务规范，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取得相关行政许可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的单位。</w:t>
      </w:r>
    </w:p>
    <w:p w14:paraId="15507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本办法所称再生水用户，是指利用再生水的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公民、法人和其他组织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。</w:t>
      </w:r>
    </w:p>
    <w:p w14:paraId="71283FE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宋体" w:cs="Times New Roman"/>
          <w:lang/>
        </w:rPr>
      </w:pPr>
      <w:r>
        <w:rPr>
          <w:rFonts w:hint="default" w:ascii="Times New Roman" w:hAnsi="Times New Roman" w:eastAsia="黑体" w:cs="Times New Roman"/>
          <w:sz w:val="32"/>
          <w:szCs w:val="32"/>
          <w:lang/>
        </w:rPr>
        <w:t xml:space="preserve">第四条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市、县（区）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应当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加强对再生水利用工作的领导，将再生水利用工作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纳入国民经济和社会发展规划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；加快再生水利用设施建设，促进再生水利用；合理确定再生水利用规模，制定促进再生水利用的保障措施。</w:t>
      </w:r>
    </w:p>
    <w:p w14:paraId="56E9E86E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/>
        </w:rPr>
        <w:t xml:space="preserve">第五条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市、县（区）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人民政府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住房城乡建设部门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负责再生水利用设施建设和运营监管。</w:t>
      </w:r>
    </w:p>
    <w:p w14:paraId="613B43CD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水务部门负责再生水利用配置和计划用水管理。</w:t>
      </w:r>
    </w:p>
    <w:p w14:paraId="4861B8BD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发展改革、工业和信息化、财政、自然资源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和规划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、生态环境、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应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管理、城市管理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等部门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职责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分工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做好再生水利用管理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有关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工作。</w:t>
      </w:r>
    </w:p>
    <w:p w14:paraId="5B9D1F91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黑体" w:cs="Times New Roman"/>
          <w:sz w:val="32"/>
          <w:szCs w:val="32"/>
          <w:lang/>
        </w:rPr>
        <w:t xml:space="preserve">第六条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鼓励采取特许经营、政府购买服务等多种形式，吸引社会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资本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参与投资、建设和运营再生水利用设施。</w:t>
      </w:r>
    </w:p>
    <w:p w14:paraId="5D92F793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黑体" w:cs="Times New Roman"/>
          <w:sz w:val="32"/>
          <w:szCs w:val="32"/>
          <w:lang/>
        </w:rPr>
        <w:t xml:space="preserve">第七条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鼓励、支持再生水的科学研究和技术开发，加快技术成果转化和产业化，引进和推广新技术、新工艺、新设备，促进再生水利用。</w:t>
      </w:r>
    </w:p>
    <w:p w14:paraId="500F46A3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黑体" w:cs="Times New Roman"/>
          <w:sz w:val="32"/>
          <w:szCs w:val="32"/>
          <w:lang/>
        </w:rPr>
        <w:t xml:space="preserve">第八条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市、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（区）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有关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应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当加强再生水利用宣传教育，提高公众对再生水的认识。</w:t>
      </w:r>
    </w:p>
    <w:p w14:paraId="1898693D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黑体" w:cs="Times New Roman"/>
          <w:sz w:val="32"/>
          <w:szCs w:val="32"/>
          <w:lang/>
        </w:rPr>
        <w:t xml:space="preserve">第九条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住房城乡建设部门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应当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会同发展改革、工业和信息化、财政、自然资源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和规划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、生态环境、水务、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部门组织编制再生水利用专项规划，报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本级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人民政府批准后组织实施。</w:t>
      </w:r>
    </w:p>
    <w:p w14:paraId="737C6706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编制再生水利用专项规划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应当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以推进再生水利用为重点，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结合行业规划，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遵循因地制宜、集中利用为主、分散利用为辅的原则，做到再生水厂与再生水输配管网合理布局、优化配置。</w:t>
      </w:r>
    </w:p>
    <w:p w14:paraId="401BCBD5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黑体" w:cs="Times New Roman"/>
          <w:sz w:val="32"/>
          <w:szCs w:val="32"/>
          <w:lang/>
        </w:rPr>
        <w:t xml:space="preserve">第十条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住房城乡建设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当根据再生水利用专项规划，制定再生水利用设施年度建设计划并组织实施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；其中政府投资的再生水利用设施纳入基础设施建设计划。</w:t>
      </w:r>
    </w:p>
    <w:p w14:paraId="7783508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/>
        </w:rPr>
        <w:t xml:space="preserve">第十一条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使用再生水的项目，应当按照再生水利用专项规划和建设规范、标准建设再生水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输配管网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等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相关设施。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配套建设的再生水利用设施，其建设资金应当列入建设项目总投资，并与主体工程同时设计、同时施工、同时投入使用。</w:t>
      </w:r>
    </w:p>
    <w:p w14:paraId="045A32F1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黑体" w:cs="Times New Roman"/>
          <w:sz w:val="32"/>
          <w:szCs w:val="32"/>
          <w:lang/>
        </w:rPr>
        <w:t xml:space="preserve">第十二条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自然资源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和规划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部门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对再生水利用设施建设项目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专项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规划方案进行审批时，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应当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生态环境、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住房城乡建设、水务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、应急管理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部门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意见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相关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应当针对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方案是否符合再生水利用规划和标准提出意见。</w:t>
      </w:r>
    </w:p>
    <w:p w14:paraId="5BBA1BA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黑体" w:cs="Times New Roman"/>
          <w:sz w:val="32"/>
          <w:szCs w:val="32"/>
          <w:lang/>
        </w:rPr>
        <w:t xml:space="preserve">第十三条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水务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应当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将再生水利用纳入水资源统一配置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体系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，明确区域用水总量控制目标中再生水最低利用量目标，实行地表水、地下水、再生水等统一配置、统一调度。</w:t>
      </w:r>
    </w:p>
    <w:p w14:paraId="741C282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黑体" w:cs="Times New Roman"/>
          <w:sz w:val="32"/>
          <w:szCs w:val="32"/>
          <w:lang/>
        </w:rPr>
        <w:t xml:space="preserve">第十四条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在具备再生水使用条件的前提下，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具有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下列情形之一的，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应当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优先使用再生水：</w:t>
      </w:r>
    </w:p>
    <w:p w14:paraId="6744363D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（一）火电、化工、造纸、印染等工业用水；</w:t>
      </w:r>
    </w:p>
    <w:p w14:paraId="1595349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（二）城市绿化、道路清扫、车辆冲洗、建筑施工、消防等市政杂用领域用水；</w:t>
      </w:r>
    </w:p>
    <w:p w14:paraId="4545EA8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（三）生态景观、人工湿地等生态用水；</w:t>
      </w:r>
    </w:p>
    <w:p w14:paraId="04FB6F5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（四）其他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应当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优先使用再生水的情形。</w:t>
      </w:r>
    </w:p>
    <w:p w14:paraId="30E01486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  <w:lang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/>
        </w:rPr>
        <w:t xml:space="preserve">第十五条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/>
        </w:rPr>
        <w:t>规划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或者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/>
        </w:rPr>
        <w:t>建设项目水资源论证时，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应当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/>
        </w:rPr>
        <w:t>充分论证再生水利用的可行性和合理性，提出再生水利用配置方案。</w:t>
      </w:r>
    </w:p>
    <w:p w14:paraId="481C4CE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  <w:lang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/>
        </w:rPr>
        <w:t xml:space="preserve">第十六条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水务部门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/>
        </w:rPr>
        <w:t>核定下达年度用水计划时，对具备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再生水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/>
        </w:rPr>
        <w:t>利用条件的用水户，明确再生水最低利用量指标；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对具备再生水利用条件，应当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/>
        </w:rPr>
        <w:t>使用而未使用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或者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/>
        </w:rPr>
        <w:t>使用量未达到最低利用量指标的用水户，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依法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/>
        </w:rPr>
        <w:t>核减其下一年度常规水源计划用水指标。</w:t>
      </w:r>
    </w:p>
    <w:p w14:paraId="13503B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  <w:lang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/>
        </w:rPr>
        <w:t xml:space="preserve">第十七条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/>
        </w:rPr>
        <w:t>建设项目具备使用再生水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利用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/>
        </w:rPr>
        <w:t>条件但未充分利用的，不得批准新增取水许可。</w:t>
      </w:r>
    </w:p>
    <w:p w14:paraId="15EFA68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/>
        </w:rPr>
      </w:pPr>
      <w:r>
        <w:rPr>
          <w:rFonts w:hint="eastAsia" w:ascii="Times New Roman" w:hAnsi="Times New Roman" w:eastAsia="黑体" w:cs="Times New Roman"/>
          <w:sz w:val="32"/>
          <w:szCs w:val="32"/>
          <w:lang/>
        </w:rPr>
        <w:t>第十八条</w:t>
      </w:r>
      <w:r>
        <w:rPr>
          <w:rFonts w:ascii="Times New Roman" w:hAnsi="Times New Roman" w:eastAsia="黑体" w:cs="Times New Roman"/>
          <w:sz w:val="32"/>
          <w:szCs w:val="32"/>
          <w:lang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再生水利用水质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应当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符合相关国家标准和要求。</w:t>
      </w:r>
    </w:p>
    <w:p w14:paraId="30B9326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/>
        </w:rPr>
        <w:t xml:space="preserve">第十九条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再生水实行有偿使用制度，再生水用户应当按照规定缴纳再生水水费。</w:t>
      </w:r>
    </w:p>
    <w:p w14:paraId="7CF7D83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再生水价格按照国家和省、市有关规定执行。</w:t>
      </w:r>
    </w:p>
    <w:p w14:paraId="0A4B3643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/>
        </w:rPr>
        <w:t xml:space="preserve">第二十条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政府投资建设的集中式再生水利用项目通过招标投标、委托等方式确定符合条件的经营者，经营者应当具备与从事再生水经营活动相适应的资金和设备。</w:t>
      </w:r>
    </w:p>
    <w:p w14:paraId="41A07F6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再生水利用主管部门应当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与政府投资建设的集中式再生水运营单位签订运营合同，明确双方的权利和义务。</w:t>
      </w:r>
    </w:p>
    <w:p w14:paraId="47B69D4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黑体" w:cs="Times New Roman"/>
          <w:sz w:val="32"/>
          <w:szCs w:val="32"/>
          <w:lang/>
        </w:rPr>
        <w:t xml:space="preserve">第二十一条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再生水运营单位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下列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要求做好运行管理工作：</w:t>
      </w:r>
    </w:p>
    <w:p w14:paraId="41BE7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（一）建立健全再生水利用管理制度，配备相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的专业技术人员，落实安全生产管理责任；</w:t>
      </w:r>
    </w:p>
    <w:p w14:paraId="040BB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（二）加强对再生水处理设施、设备的检测维护管理，建立相关台账，确保数据信息真实准确，设施、设备运行安全；</w:t>
      </w:r>
    </w:p>
    <w:p w14:paraId="4DE3C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国家规定的检测规范，做好再生水水质日常检测工作，确保再生水水质符合有关标准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和要求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；</w:t>
      </w:r>
    </w:p>
    <w:p w14:paraId="0344A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（四）配备进出水计量装置、水质在线自动监测装置，并与住房和城乡建设、水务等部门建立的在线监测系统联网；</w:t>
      </w:r>
    </w:p>
    <w:p w14:paraId="14C74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（五）做好其他运营维护管理工作。</w:t>
      </w:r>
    </w:p>
    <w:p w14:paraId="363D6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再生水运营单位不得擅自减少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或者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停止再生水的供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。因进水、输配管网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或者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相关设施、设备检修维护等原因确需减少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或者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停止供水的，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应当及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时向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水务部门和住房城乡建设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部门报告，并提前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小时通知相关用户。因紧急抢修无法提前通知的，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应当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停止供水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2小时内告知相关用户。</w:t>
      </w:r>
    </w:p>
    <w:p w14:paraId="5534E6B1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黑体" w:cs="Times New Roman"/>
          <w:sz w:val="32"/>
          <w:szCs w:val="32"/>
          <w:lang/>
        </w:rPr>
        <w:t xml:space="preserve">第二十二条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再生水输配管网、加压泵站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供水机等设施外观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应当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设置明显标识，并在供水机和景观环境出水口处标注“非饮用水”，必要时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可以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设置隔离设施。</w:t>
      </w:r>
    </w:p>
    <w:p w14:paraId="7D249E6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/>
        </w:rPr>
        <w:t xml:space="preserve">第二十三条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禁止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下列损害再生水利用设施和危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再生水使用安全的行为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08252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（一）将再生水管道与其他供水管道连接；</w:t>
      </w:r>
    </w:p>
    <w:p w14:paraId="0F39B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（二）私装、改装、拆卸、倒装、损坏计量器具；</w:t>
      </w:r>
    </w:p>
    <w:p w14:paraId="2F011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（三）擅自接入、拆卸、移动、占压、操作、改装、损坏再生水利用设施；</w:t>
      </w:r>
    </w:p>
    <w:p w14:paraId="1F27D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（四）在再生水利用设施保护范围内排放腐蚀性、放射性、易燃易爆等有毒有害物质和污水，倾倒垃圾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搭建建筑物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或者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构筑物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挖坑取土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爆破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打桩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埋设线杆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堆物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种植树木和农作物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；</w:t>
      </w:r>
    </w:p>
    <w:p w14:paraId="5E5F9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（五）其他损害再生水利用设施和危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再生水使用安全的行为。</w:t>
      </w:r>
    </w:p>
    <w:p w14:paraId="2F6E9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黑体" w:cs="Times New Roman"/>
          <w:sz w:val="32"/>
          <w:szCs w:val="32"/>
          <w:lang/>
        </w:rPr>
        <w:t>第二十四条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住房城乡建设部门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应当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会同生态环境、水务等部门编制再生水突发事件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急预案，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报本级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人民政府批准后组织实施。</w:t>
      </w:r>
    </w:p>
    <w:p w14:paraId="7D9F4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再生水运营单位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应当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根据再生水突发事件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急预案制定新（改、扩）建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再生水厂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或者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污水处理厂相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急预案，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向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生态环境、住房城乡建设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水务等相关部门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报告，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规定进行演练。</w:t>
      </w:r>
    </w:p>
    <w:p w14:paraId="52011591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黑体" w:cs="Times New Roman"/>
          <w:sz w:val="32"/>
          <w:szCs w:val="32"/>
          <w:lang/>
        </w:rPr>
        <w:t>第二十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/>
        </w:rPr>
        <w:t xml:space="preserve">条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再生水运营单位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及其工作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应当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配合监督检查工作，不得拒绝、阻挠、妨碍监督检查人员依法执行公务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。</w:t>
      </w:r>
    </w:p>
    <w:p w14:paraId="285C4746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黑体" w:cs="Times New Roman"/>
          <w:sz w:val="32"/>
          <w:szCs w:val="32"/>
          <w:lang/>
        </w:rPr>
        <w:t>第二十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lang/>
        </w:rPr>
        <w:t xml:space="preserve">条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违反本办法第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十四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条规定，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具备再生水使用条件的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法人或者其他组织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拒绝使用符合用水水质要求的再生水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，由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水务部门或者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其他有关行业主管部门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依据《安徽省节约用水条例》等有关规定依法处理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。</w:t>
      </w:r>
    </w:p>
    <w:p w14:paraId="25EF0817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第二十七条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违反本办法第二十一条、第二十二条等规定，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未依法配备监测装置，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或者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伪造、篡改水质、水量等数据，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或者未依法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履行巡查、养护等职责的，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由水务部门或者其他有关行业主管部门</w:t>
      </w:r>
      <w:r>
        <w:rPr>
          <w:rFonts w:hint="default" w:ascii="Times New Roman" w:hAnsi="Times New Roman" w:eastAsia="仿宋_GB2312" w:cs="Times New Roman"/>
          <w:sz w:val="32"/>
          <w:szCs w:val="32"/>
          <w:lang/>
        </w:rPr>
        <w:t>依法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处理。</w:t>
      </w:r>
    </w:p>
    <w:p w14:paraId="7841C5E6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黑体" w:cs="Times New Roman"/>
          <w:sz w:val="32"/>
          <w:szCs w:val="32"/>
          <w:lang/>
        </w:rPr>
        <w:t>第二十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  <w:lang/>
        </w:rPr>
        <w:t xml:space="preserve">条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违反本办法第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二十三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条规定，实施危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再生水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使用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安全行为的，由城市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管理部门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依据《安徽省城镇供水条例》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等有关规定依法处理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。</w:t>
      </w:r>
    </w:p>
    <w:p w14:paraId="62A42FD1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/>
        </w:rPr>
      </w:pPr>
      <w:r>
        <w:rPr>
          <w:rFonts w:hint="default" w:ascii="Times New Roman" w:hAnsi="Times New Roman" w:eastAsia="黑体" w:cs="Times New Roman"/>
          <w:sz w:val="32"/>
          <w:szCs w:val="32"/>
          <w:lang/>
        </w:rPr>
        <w:t>第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二十九</w:t>
      </w:r>
      <w:r>
        <w:rPr>
          <w:rFonts w:hint="default" w:ascii="Times New Roman" w:hAnsi="Times New Roman" w:eastAsia="黑体" w:cs="Times New Roman"/>
          <w:sz w:val="32"/>
          <w:szCs w:val="32"/>
          <w:lang/>
        </w:rPr>
        <w:t xml:space="preserve">条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再生水管理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有关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及其工作人员违反本办法规定，在再生水利用管理中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玩忽职守、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滥用职权、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徇私舞弊的，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对直接负责的主管人员和其他责任人员依法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给予处分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构成犯罪的，依法追究刑事责任。</w:t>
      </w:r>
    </w:p>
    <w:p w14:paraId="274486E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等线" w:cs="Times New Roman"/>
          <w:lang/>
        </w:rPr>
      </w:pPr>
      <w:r>
        <w:rPr>
          <w:rFonts w:hint="default" w:ascii="Times New Roman" w:hAnsi="Times New Roman" w:eastAsia="黑体" w:cs="Times New Roman"/>
          <w:sz w:val="32"/>
          <w:szCs w:val="32"/>
          <w:lang/>
        </w:rPr>
        <w:t>第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三十</w:t>
      </w:r>
      <w:r>
        <w:rPr>
          <w:rFonts w:hint="default" w:ascii="Times New Roman" w:hAnsi="Times New Roman" w:eastAsia="黑体" w:cs="Times New Roman"/>
          <w:sz w:val="32"/>
          <w:szCs w:val="32"/>
          <w:lang/>
        </w:rPr>
        <w:t xml:space="preserve">条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lang/>
        </w:rPr>
        <w:t>本办法自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2026年2月1日起施行</w:t>
      </w:r>
      <w:r>
        <w:rPr>
          <w:rFonts w:hint="eastAsia" w:ascii="Times New Roman" w:hAnsi="Times New Roman" w:eastAsia="仿宋_GB2312" w:cs="Times New Roman"/>
          <w:sz w:val="32"/>
          <w:szCs w:val="32"/>
          <w:lang/>
        </w:rPr>
        <w:t>。</w:t>
      </w:r>
    </w:p>
    <w:p w14:paraId="21242E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49B38"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56C34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56C34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159C4056">
    <w:pPr>
      <w:pStyle w:val="7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淮北市人民政府发布     </w:t>
    </w:r>
  </w:p>
  <w:p w14:paraId="73AAD2E3"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738E8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3AF598AD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淮北市人民政府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规章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BD3230"/>
    <w:multiLevelType w:val="multilevel"/>
    <w:tmpl w:val="23BD3230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ind w:left="850" w:hanging="708"/>
      </w:pPr>
      <w:rPr>
        <w:rFonts w:hint="eastAsia" w:cs="Times New Roman"/>
      </w:rPr>
    </w:lvl>
    <w:lvl w:ilvl="4" w:tentative="0">
      <w:start w:val="1"/>
      <w:numFmt w:val="decimal"/>
      <w:pStyle w:val="3"/>
      <w:lvlText w:val="%1.%2.%3.%4.%5"/>
      <w:lvlJc w:val="left"/>
      <w:pPr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ZDMxZjRkYzdiNmM5ZDNiMTYwMWFjYWYwMWQ1ZTEifQ=="/>
  </w:docVars>
  <w:rsids>
    <w:rsidRoot w:val="00172A27"/>
    <w:rsid w:val="019E71BD"/>
    <w:rsid w:val="04AF1083"/>
    <w:rsid w:val="04B679C3"/>
    <w:rsid w:val="080F63D8"/>
    <w:rsid w:val="09341458"/>
    <w:rsid w:val="0B0912D7"/>
    <w:rsid w:val="152D2DCA"/>
    <w:rsid w:val="1533131A"/>
    <w:rsid w:val="164E0D8B"/>
    <w:rsid w:val="1B383938"/>
    <w:rsid w:val="1B9B048B"/>
    <w:rsid w:val="1BD15C4A"/>
    <w:rsid w:val="1DEC284C"/>
    <w:rsid w:val="1E6523AC"/>
    <w:rsid w:val="22440422"/>
    <w:rsid w:val="25D21FBB"/>
    <w:rsid w:val="273B0C78"/>
    <w:rsid w:val="2E675F4F"/>
    <w:rsid w:val="2ECE6E19"/>
    <w:rsid w:val="31A15F24"/>
    <w:rsid w:val="395347B5"/>
    <w:rsid w:val="39A232A0"/>
    <w:rsid w:val="39E745AA"/>
    <w:rsid w:val="3B5A6BBB"/>
    <w:rsid w:val="3E696B86"/>
    <w:rsid w:val="3EDA13A6"/>
    <w:rsid w:val="3FDC2BE9"/>
    <w:rsid w:val="42F058B7"/>
    <w:rsid w:val="436109F6"/>
    <w:rsid w:val="441A38D4"/>
    <w:rsid w:val="4BC77339"/>
    <w:rsid w:val="4C9236C5"/>
    <w:rsid w:val="4FF64A3A"/>
    <w:rsid w:val="505C172E"/>
    <w:rsid w:val="507647BC"/>
    <w:rsid w:val="52F46F0B"/>
    <w:rsid w:val="53D8014D"/>
    <w:rsid w:val="55AE7D4E"/>
    <w:rsid w:val="55E064E0"/>
    <w:rsid w:val="572C6D10"/>
    <w:rsid w:val="5A920D4D"/>
    <w:rsid w:val="5DC34279"/>
    <w:rsid w:val="5E822A2F"/>
    <w:rsid w:val="608816D1"/>
    <w:rsid w:val="60EF4E7F"/>
    <w:rsid w:val="665233C1"/>
    <w:rsid w:val="6AD9688B"/>
    <w:rsid w:val="6B7C3484"/>
    <w:rsid w:val="6D0E3F22"/>
    <w:rsid w:val="6F180D9F"/>
    <w:rsid w:val="717F7CE5"/>
    <w:rsid w:val="72FF1F9F"/>
    <w:rsid w:val="76346E28"/>
    <w:rsid w:val="7AA85D71"/>
    <w:rsid w:val="7C6E62C9"/>
    <w:rsid w:val="7C9011D9"/>
    <w:rsid w:val="7DC651C5"/>
    <w:rsid w:val="7DDD9F1A"/>
    <w:rsid w:val="7FCC2834"/>
    <w:rsid w:val="F67E2044"/>
    <w:rsid w:val="FB4D55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5"/>
    <w:next w:val="1"/>
    <w:qFormat/>
    <w:uiPriority w:val="0"/>
    <w:pPr>
      <w:keepNext/>
      <w:keepLines/>
      <w:widowControl w:val="0"/>
      <w:numPr>
        <w:ilvl w:val="4"/>
        <w:numId w:val="1"/>
      </w:numPr>
      <w:suppressAutoHyphens/>
      <w:ind w:left="851" w:hanging="851"/>
      <w:jc w:val="both"/>
      <w:outlineLvl w:val="4"/>
    </w:pPr>
    <w:rPr>
      <w:rFonts w:ascii="Calibri" w:hAnsi="Calibri" w:eastAsia="宋体" w:cs="Times New Roman"/>
      <w:b/>
      <w:bCs/>
      <w:kern w:val="2"/>
      <w:sz w:val="21"/>
      <w:szCs w:val="28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/>
      <w:kern w:val="0"/>
      <w:sz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autoRedefine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2455</Words>
  <Characters>2467</Characters>
  <Lines>1</Lines>
  <Paragraphs>1</Paragraphs>
  <TotalTime>1</TotalTime>
  <ScaleCrop>false</ScaleCrop>
  <LinksUpToDate>false</LinksUpToDate>
  <CharactersWithSpaces>2511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2021-09-10T10:41:00Z</dcterms:created>
  <dc:creator>t</dc:creator>
  <cp:lastModifiedBy>风之诺言</cp:lastModifiedBy>
  <cp:lastPrinted>2021-10-27T11:30:00Z</cp:lastPrinted>
  <dcterms:modified xsi:type="dcterms:W3CDTF">2025-12-25T04:49:37Z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823939438BAC45879C19CE62FD7A8E52_13</vt:lpwstr>
  </property>
  <property fmtid="{D5CDD505-2E9C-101B-9397-08002B2CF9AE}" pid="4" name="KSOTemplateDocerSaveRecord">
    <vt:lpwstr>eyJoZGlkIjoiMGFjZDMxZjRkYzdiNmM5ZDNiMTYwMWFjYWYwMWQ1ZTEiLCJ1c2VySWQiOiIyNTIzMjIyMjQifQ==</vt:lpwstr>
  </property>
</Properties>
</file>