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淮北市建投控股集团有限公司2022年政府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《中华人民共和国政府信息公开条例》(国务院令第711号)规定和《国务院办公厅政府信息与政务公开办公室关于印发&lt;中华人民共和国政府信息公开工作年度报告格式&gt;的通知》(国办公开办函〔2021〕30号)要求，现发布《淮北市建投控股集团有限公司2022年政府信息公开工作年度报告》。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本报告中所列数据的统计期限自202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年1月1日起至202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年12月31日止。如有疑问，联系淮北市建投控股集团有限公司办公室。（地址：淮北市相山区濉溪北路18号，邮编：235000，电话:0561-3370571）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(一)主动公开情况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2022年，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市建投集团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认真贯彻落实新修订《中华人民共和国政府信息公开条例》等文件要求，围绕年度政务公开重点工作安排，加强重点领域信息公开，全年主动公开各类信息共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依申请公开情况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年，市建投集团共接到依申请公开办件0件。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政府信息管理情况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一是安排专人负责信息公开工作。市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建投集团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明确了工作人员及政务公开领导小组办公室，严格进行涉密审核，做到“公开不涉密，涉密不公开”。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二是严格执行信息发布“三审制”，明确发布的信息均由部室负责人初审，分管领导把关审阅后方能发布。三是做好错敏字、外链及个人隐私信息排查，及时发现认真整改，提高信息发布质量。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政府信息公开平台建设情况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一是加强市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建投集团门户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网站集约化管理。坚持数字化转型，所有可公开的信息均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建投集团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网站予以公开，及时更新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招标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招聘、录用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等信息，确保信息发布的时效性。二是结合市建投集团工作实际，进一步优化调整栏目设置，方便群众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快捷便利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了解所需信息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着力满足社会各界的需求。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监督保障情况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加强错别字、涉密和敏感信息发布前检测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，加强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政府信息公开平台监测维护，确保内容及时更新、合理分类，杜绝错链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内容混杂。对上级检查反馈的问题及时整改到位，确保政务公开工作规范高效。全年未发生因不履行政务公开义务而发生的责任追究情况。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现行有效件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074"/>
        <w:gridCol w:w="3144"/>
        <w:gridCol w:w="680"/>
        <w:gridCol w:w="680"/>
        <w:gridCol w:w="680"/>
        <w:gridCol w:w="680"/>
        <w:gridCol w:w="680"/>
        <w:gridCol w:w="680"/>
        <w:gridCol w:w="6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3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二、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32"/>
                <w:szCs w:val="32"/>
                <w:lang w:val="en-US" w:eastAsia="zh-CN" w:bidi="ar"/>
              </w:rPr>
              <w:t>上年结转政府信息公开申请数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主要存在以下问题：一是发布形式较为单一，形式上缺乏多样性。二是信息公开更新的时效性还有待加强。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下一步时间建投集团认真改进，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一是提升公开质量。严格按照信息发布审核制度，强化责任意识，确保发布信息的准确性和权威性。二是聚焦民生关切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的内容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，进一步丰富解读形式，采取图表解读等形式让百姓更便捷理解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按照《国务院办公厅关于印发&lt;政府信息公开信息处理费管理办法&gt;的通知》（国办函〔2020〕109号）规定的按件、按量收费标准，本年度没有产生信息公开处理费。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MWI1OTNhNmU0M2Y5YTliMjcyYmM2ZWQ5ZGNhMWEifQ=="/>
  </w:docVars>
  <w:rsids>
    <w:rsidRoot w:val="31D24E58"/>
    <w:rsid w:val="19C33AEE"/>
    <w:rsid w:val="2566238A"/>
    <w:rsid w:val="30DC69AA"/>
    <w:rsid w:val="31D24E58"/>
    <w:rsid w:val="43B63FE3"/>
    <w:rsid w:val="65736F26"/>
    <w:rsid w:val="798D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1841</Words>
  <Characters>1884</Characters>
  <Lines>0</Lines>
  <Paragraphs>0</Paragraphs>
  <TotalTime>18</TotalTime>
  <ScaleCrop>false</ScaleCrop>
  <LinksUpToDate>false</LinksUpToDate>
  <CharactersWithSpaces>1914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2023-01-13T03:12:00Z</dcterms:created>
  <dc:creator>金丰科技---李灿</dc:creator>
  <cp:lastModifiedBy>金丰科技---李灿</cp:lastModifiedBy>
  <dcterms:modified xsi:type="dcterms:W3CDTF">2023-01-17T07:01:42Z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A39A33E57C6441A7B87B63C25D9568D5</vt:lpwstr>
  </property>
</Properties>
</file>