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安徽省物价局、财政厅关于同意继续执行注册城市规划师资格等考试收费标准的函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皖价费函〔2009〕107号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2009年6月11日</w:t>
      </w:r>
    </w:p>
    <w:p>
      <w:pPr>
        <w:adjustRightInd w:val="0"/>
        <w:snapToGrid w:val="0"/>
        <w:spacing w:line="600" w:lineRule="exact"/>
        <w:jc w:val="center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/>
        </w:rPr>
        <w:t>省人事厅,各市、试点县物价局、财政局: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你厅《关于申报管理咨询师职业水平等考试收费标准的函》（皖人函〔2009〕9号）悉。经研究，现函复如下：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一、鉴于省物价局、财政厅《关于注册城市规划师执业资格等考试收费标准的函》（皖价费〔2008〕158号）执行期已满，同意注册规划师执业资格等考试收费标准继续按原规定执行。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（一）注册城市规划师考试费：客观题每人每科60元，专业题每人每科60元，考务费按国家规定标准收取。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（二）房地产经纪人考试费：客观题每人每科60元（含报名费），考务费按国家规定标准收取。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考务费按规定全额上缴国家，考试费主要用于组织报名、资格审查、租用考试场地、聘用监考人员、运输保管试卷、阅卷、邮寄等费用支出。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二、本文规定的收费标准为最终收费，除此之外，不得再向考生收取其它任何费用，严禁擅自扩大收费范围，提高收费标准，加重考生负担。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三、收费单位应及时到物价部门办理《收费许可证》变更手续，实行亮证收费，并向社会公布收费项目、收费标准、收费范围、收费依据以及价格投诉举报电话12358等，接受考生和社会的监督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同时要主动接受物价、财政部门的监督检查。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四、收费单位收费时，使用省财政厅统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印制的政府非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税收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票据。考试费收入缴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省国库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省级财政预算管理。缴库时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列“政府收支分类科目”103类“非税收入”04款“行政事业性收费收入”50项“人力资源和社会保障行政事业性收费收入”04目“考试考务费”。支出通过部门预算核拨。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五、本文自下发之日起执行。原省物价局、财政厅《关于注册城市规划师执业资格等考试收费标准的函》(皖价费〔2008〕158号)同时废止。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六、关于管理咨询师职业水平考试费等有关问题，待国家文件明确后另行下文。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B7EF3D3-5517-4706-BD71-EE298F40B05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6548937-7AF4-4D46-989D-B89DD6FFC60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29E5DDD-9BE8-4AC2-9F5F-649D0F6EC3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3AD5CFA-24D1-4FD3-857B-6B07E5553F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AAC57D8-8D77-4613-8250-5ECB58A2BD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3687E"/>
    <w:rsid w:val="2176031C"/>
    <w:rsid w:val="52D3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2022-01-17T15:59:00Z</dcterms:created>
  <dc:creator>admin</dc:creator>
  <cp:lastModifiedBy>小梨涡er</cp:lastModifiedBy>
  <dcterms:modified xsi:type="dcterms:W3CDTF">2022-01-18T09:34:27Z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38C3B4E15C084FA9ABF24C9905B4E119</vt:lpwstr>
  </property>
</Properties>
</file>