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auto"/>
          <w:sz w:val="36"/>
          <w:szCs w:val="36"/>
        </w:rPr>
      </w:pPr>
      <w:r>
        <w:rPr>
          <w:rFonts w:hint="eastAsia" w:ascii="宋体" w:hAnsi="宋体"/>
          <w:b/>
          <w:color w:val="auto"/>
          <w:sz w:val="36"/>
          <w:szCs w:val="36"/>
          <w:lang w:val="en-US" w:eastAsia="zh-CN"/>
        </w:rPr>
        <w:t>淮北市人民政府驻京联络处</w:t>
      </w:r>
      <w:r>
        <w:rPr>
          <w:rFonts w:hint="eastAsia" w:ascii="宋体" w:hAnsi="宋体"/>
          <w:b/>
          <w:color w:val="auto"/>
          <w:sz w:val="36"/>
          <w:szCs w:val="36"/>
          <w:lang w:eastAsia="zh-CN"/>
        </w:rPr>
        <w:t>202</w:t>
      </w:r>
      <w:r>
        <w:rPr>
          <w:rFonts w:hint="eastAsia" w:ascii="宋体" w:hAnsi="宋体"/>
          <w:b/>
          <w:color w:val="auto"/>
          <w:sz w:val="36"/>
          <w:szCs w:val="36"/>
          <w:lang w:val="en-US" w:eastAsia="zh-CN"/>
        </w:rPr>
        <w:t>2</w:t>
      </w:r>
      <w:r>
        <w:rPr>
          <w:rFonts w:ascii="宋体" w:hAnsi="宋体"/>
          <w:b/>
          <w:color w:val="auto"/>
          <w:sz w:val="36"/>
          <w:szCs w:val="36"/>
        </w:rPr>
        <w:t>年</w:t>
      </w:r>
      <w:r>
        <w:rPr>
          <w:rFonts w:hint="eastAsia" w:ascii="宋体" w:hAnsi="宋体"/>
          <w:b/>
          <w:color w:val="auto"/>
          <w:sz w:val="36"/>
          <w:szCs w:val="36"/>
        </w:rPr>
        <w:t>度一般公共预算财政拨款</w:t>
      </w:r>
      <w:r>
        <w:rPr>
          <w:rFonts w:ascii="宋体" w:hAnsi="宋体"/>
          <w:b/>
          <w:color w:val="auto"/>
          <w:sz w:val="36"/>
          <w:szCs w:val="36"/>
        </w:rPr>
        <w:t>“三公</w:t>
      </w:r>
      <w:r>
        <w:rPr>
          <w:rFonts w:hint="eastAsia" w:ascii="宋体" w:hAnsi="宋体"/>
          <w:b/>
          <w:color w:val="auto"/>
          <w:sz w:val="36"/>
          <w:szCs w:val="36"/>
        </w:rPr>
        <w:t>”</w:t>
      </w:r>
      <w:r>
        <w:rPr>
          <w:rFonts w:ascii="宋体" w:hAnsi="宋体"/>
          <w:b/>
          <w:color w:val="auto"/>
          <w:sz w:val="36"/>
          <w:szCs w:val="36"/>
        </w:rPr>
        <w:t>经费</w:t>
      </w:r>
      <w:r>
        <w:rPr>
          <w:rFonts w:hint="eastAsia" w:ascii="宋体" w:hAnsi="宋体"/>
          <w:b/>
          <w:color w:val="auto"/>
          <w:sz w:val="36"/>
          <w:szCs w:val="36"/>
        </w:rPr>
        <w:t>支出决算</w:t>
      </w:r>
    </w:p>
    <w:p>
      <w:pPr>
        <w:jc w:val="center"/>
        <w:rPr>
          <w:rFonts w:hint="eastAsia" w:ascii="楷体_GB2312" w:eastAsia="楷体_GB2312"/>
          <w:color w:val="auto"/>
          <w:szCs w:val="32"/>
        </w:rPr>
      </w:pPr>
    </w:p>
    <w:p>
      <w:pPr>
        <w:adjustRightInd w:val="0"/>
        <w:snapToGrid w:val="0"/>
        <w:spacing w:line="360" w:lineRule="auto"/>
        <w:jc w:val="center"/>
        <w:rPr>
          <w:rFonts w:hint="eastAsia" w:ascii="宋体" w:hAnsi="宋体"/>
          <w:color w:val="auto"/>
          <w:sz w:val="6"/>
          <w:szCs w:val="32"/>
        </w:rPr>
      </w:pPr>
    </w:p>
    <w:p>
      <w:pPr>
        <w:rPr>
          <w:rFonts w:hint="eastAsia" w:ascii="黑体" w:hAnsi="黑体" w:eastAsia="黑体"/>
          <w:color w:val="auto"/>
          <w:szCs w:val="32"/>
        </w:rPr>
      </w:pPr>
      <w:r>
        <w:rPr>
          <w:rFonts w:ascii="黑体" w:hAnsi="黑体" w:eastAsia="黑体"/>
          <w:color w:val="auto"/>
          <w:szCs w:val="32"/>
        </w:rPr>
        <w:t xml:space="preserve">    </w:t>
      </w:r>
      <w:r>
        <w:rPr>
          <w:rFonts w:hint="eastAsia" w:ascii="黑体" w:hAnsi="黑体" w:eastAsia="黑体"/>
          <w:color w:val="auto"/>
          <w:szCs w:val="32"/>
        </w:rPr>
        <w:t>一、</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2</w:t>
      </w:r>
      <w:r>
        <w:rPr>
          <w:rFonts w:hint="eastAsia" w:ascii="黑体" w:hAnsi="黑体" w:eastAsia="黑体"/>
          <w:color w:val="auto"/>
          <w:szCs w:val="32"/>
        </w:rPr>
        <w:t>年度一般公共预算财政拨款“三公”经费支出决算表</w:t>
      </w:r>
    </w:p>
    <w:p>
      <w:pPr>
        <w:ind w:firstLine="7216" w:firstLineChars="2298"/>
        <w:rPr>
          <w:rFonts w:hint="eastAsia" w:ascii="黑体" w:hAnsi="黑体" w:eastAsia="黑体"/>
          <w:color w:val="auto"/>
          <w:szCs w:val="32"/>
        </w:rPr>
      </w:pPr>
      <w:r>
        <w:rPr>
          <w:rFonts w:hint="eastAsia" w:ascii="仿宋_GB2312" w:hAnsi="仿宋_GB2312" w:cs="仿宋_GB2312"/>
          <w:color w:val="auto"/>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合  计</w:t>
            </w:r>
          </w:p>
        </w:tc>
        <w:tc>
          <w:tcPr>
            <w:tcW w:w="215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i w:val="0"/>
                <w:iCs w:val="0"/>
                <w:color w:val="000000"/>
                <w:kern w:val="0"/>
                <w:sz w:val="32"/>
                <w:szCs w:val="32"/>
                <w:u w:val="none"/>
                <w:lang w:val="en-US" w:eastAsia="zh-CN" w:bidi="ar"/>
              </w:rPr>
              <w:t>13.03</w:t>
            </w:r>
          </w:p>
        </w:tc>
        <w:tc>
          <w:tcPr>
            <w:tcW w:w="22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i w:val="0"/>
                <w:iCs w:val="0"/>
                <w:color w:val="000000"/>
                <w:kern w:val="0"/>
                <w:sz w:val="32"/>
                <w:szCs w:val="32"/>
                <w:u w:val="none"/>
                <w:lang w:val="en-US" w:eastAsia="zh-CN" w:bidi="ar"/>
              </w:rPr>
              <w:t>13.03</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因公出国（境）费</w:t>
            </w:r>
          </w:p>
        </w:tc>
        <w:tc>
          <w:tcPr>
            <w:tcW w:w="2157" w:type="dxa"/>
            <w:tcBorders>
              <w:top w:val="nil"/>
              <w:left w:val="nil"/>
              <w:bottom w:val="single" w:color="auto" w:sz="4" w:space="0"/>
              <w:right w:val="single" w:color="auto" w:sz="4" w:space="0"/>
            </w:tcBorders>
            <w:noWrap w:val="0"/>
            <w:vAlign w:val="center"/>
          </w:tcPr>
          <w:p>
            <w:pPr>
              <w:jc w:val="center"/>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0</w:t>
            </w:r>
          </w:p>
        </w:tc>
        <w:tc>
          <w:tcPr>
            <w:tcW w:w="2220" w:type="dxa"/>
            <w:tcBorders>
              <w:top w:val="nil"/>
              <w:left w:val="nil"/>
              <w:bottom w:val="single" w:color="auto" w:sz="4" w:space="0"/>
              <w:right w:val="single" w:color="auto" w:sz="4" w:space="0"/>
            </w:tcBorders>
            <w:noWrap w:val="0"/>
            <w:vAlign w:val="center"/>
          </w:tcPr>
          <w:p>
            <w:pPr>
              <w:jc w:val="center"/>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公务接待费</w:t>
            </w:r>
          </w:p>
        </w:tc>
        <w:tc>
          <w:tcPr>
            <w:tcW w:w="215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i w:val="0"/>
                <w:iCs w:val="0"/>
                <w:color w:val="000000"/>
                <w:kern w:val="0"/>
                <w:sz w:val="32"/>
                <w:szCs w:val="32"/>
                <w:u w:val="none"/>
                <w:lang w:val="en-US" w:eastAsia="zh-CN" w:bidi="ar"/>
              </w:rPr>
              <w:t>2.12</w:t>
            </w:r>
          </w:p>
        </w:tc>
        <w:tc>
          <w:tcPr>
            <w:tcW w:w="22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i w:val="0"/>
                <w:iCs w:val="0"/>
                <w:color w:val="000000"/>
                <w:kern w:val="0"/>
                <w:sz w:val="32"/>
                <w:szCs w:val="32"/>
                <w:u w:val="none"/>
                <w:lang w:val="en-US" w:eastAsia="zh-CN" w:bidi="ar"/>
              </w:rPr>
              <w:t>2.12</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公务用车购置及运行维护费</w:t>
            </w:r>
          </w:p>
        </w:tc>
        <w:tc>
          <w:tcPr>
            <w:tcW w:w="215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i w:val="0"/>
                <w:iCs w:val="0"/>
                <w:color w:val="000000"/>
                <w:kern w:val="0"/>
                <w:sz w:val="32"/>
                <w:szCs w:val="32"/>
                <w:u w:val="none"/>
                <w:lang w:val="en-US" w:eastAsia="zh-CN" w:bidi="ar"/>
              </w:rPr>
              <w:t>10.91</w:t>
            </w:r>
          </w:p>
        </w:tc>
        <w:tc>
          <w:tcPr>
            <w:tcW w:w="22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i w:val="0"/>
                <w:iCs w:val="0"/>
                <w:color w:val="000000"/>
                <w:kern w:val="0"/>
                <w:sz w:val="32"/>
                <w:szCs w:val="32"/>
                <w:u w:val="none"/>
                <w:lang w:val="en-US" w:eastAsia="zh-CN" w:bidi="ar"/>
              </w:rPr>
              <w:t>10.91</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xml:space="preserve">  其中：公务用车购置费</w:t>
            </w:r>
          </w:p>
        </w:tc>
        <w:tc>
          <w:tcPr>
            <w:tcW w:w="2157" w:type="dxa"/>
            <w:tcBorders>
              <w:top w:val="nil"/>
              <w:left w:val="nil"/>
              <w:bottom w:val="single" w:color="auto" w:sz="4" w:space="0"/>
              <w:right w:val="single" w:color="auto" w:sz="4" w:space="0"/>
            </w:tcBorders>
            <w:noWrap w:val="0"/>
            <w:vAlign w:val="center"/>
          </w:tcPr>
          <w:p>
            <w:pPr>
              <w:jc w:val="center"/>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0</w:t>
            </w:r>
          </w:p>
        </w:tc>
        <w:tc>
          <w:tcPr>
            <w:tcW w:w="2220" w:type="dxa"/>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xml:space="preserve">        公务用车运行维护费</w:t>
            </w:r>
          </w:p>
        </w:tc>
        <w:tc>
          <w:tcPr>
            <w:tcW w:w="2157"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i w:val="0"/>
                <w:iCs w:val="0"/>
                <w:color w:val="000000"/>
                <w:kern w:val="0"/>
                <w:sz w:val="32"/>
                <w:szCs w:val="32"/>
                <w:u w:val="none"/>
                <w:lang w:val="en-US" w:eastAsia="zh-CN" w:bidi="ar"/>
              </w:rPr>
              <w:t>10.91</w:t>
            </w:r>
          </w:p>
        </w:tc>
        <w:tc>
          <w:tcPr>
            <w:tcW w:w="222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i w:val="0"/>
                <w:iCs w:val="0"/>
                <w:color w:val="000000"/>
                <w:kern w:val="0"/>
                <w:sz w:val="32"/>
                <w:szCs w:val="32"/>
                <w:u w:val="none"/>
                <w:lang w:val="en-US" w:eastAsia="zh-CN" w:bidi="ar"/>
              </w:rPr>
              <w:t>10.91</w:t>
            </w:r>
          </w:p>
        </w:tc>
      </w:tr>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color w:val="auto"/>
          <w:szCs w:val="32"/>
        </w:rPr>
      </w:pPr>
      <w:r>
        <w:rPr>
          <w:rFonts w:hint="eastAsia" w:ascii="仿宋_GB2312" w:hAnsi="仿宋"/>
          <w:color w:val="auto"/>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color w:val="auto"/>
          <w:sz w:val="21"/>
          <w:szCs w:val="21"/>
          <w:lang w:eastAsia="zh-CN"/>
        </w:rPr>
        <w:t xml:space="preserve"> </w:t>
      </w:r>
      <w:r>
        <w:rPr>
          <w:rFonts w:hint="eastAsia" w:ascii="仿宋_GB2312" w:hAnsi="仿宋"/>
          <w:color w:val="auto"/>
          <w:szCs w:val="32"/>
          <w:lang w:eastAsia="zh-CN"/>
        </w:rPr>
        <w:t xml:space="preserve"> </w:t>
      </w:r>
      <w:r>
        <w:rPr>
          <w:rFonts w:hint="eastAsia" w:ascii="黑体" w:hAnsi="黑体" w:eastAsia="黑体"/>
          <w:color w:val="auto"/>
          <w:szCs w:val="32"/>
        </w:rPr>
        <w:t xml:space="preserve">                                      </w:t>
      </w:r>
    </w:p>
    <w:p>
      <w:pPr>
        <w:rPr>
          <w:rFonts w:hint="eastAsia" w:ascii="黑体" w:hAnsi="黑体" w:eastAsia="黑体"/>
          <w:color w:val="auto"/>
          <w:szCs w:val="32"/>
        </w:rPr>
      </w:pPr>
      <w:r>
        <w:rPr>
          <w:rFonts w:ascii="黑体" w:hAnsi="黑体" w:eastAsia="黑体"/>
          <w:color w:val="auto"/>
          <w:szCs w:val="32"/>
        </w:rPr>
        <w:t xml:space="preserve">    </w:t>
      </w:r>
      <w:r>
        <w:rPr>
          <w:rFonts w:hint="eastAsia" w:ascii="黑体" w:hAnsi="黑体" w:eastAsia="黑体"/>
          <w:color w:val="auto"/>
          <w:szCs w:val="32"/>
        </w:rPr>
        <w:t>二</w:t>
      </w:r>
      <w:r>
        <w:rPr>
          <w:rFonts w:ascii="黑体" w:hAnsi="黑体" w:eastAsia="黑体"/>
          <w:color w:val="auto"/>
          <w:szCs w:val="32"/>
        </w:rPr>
        <w:t>、</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2</w:t>
      </w:r>
      <w:r>
        <w:rPr>
          <w:rFonts w:ascii="黑体" w:hAnsi="黑体" w:eastAsia="黑体"/>
          <w:color w:val="auto"/>
          <w:szCs w:val="32"/>
        </w:rPr>
        <w:t>年</w:t>
      </w:r>
      <w:r>
        <w:rPr>
          <w:rFonts w:hint="eastAsia" w:ascii="黑体" w:hAnsi="黑体" w:eastAsia="黑体"/>
          <w:color w:val="auto"/>
          <w:szCs w:val="32"/>
        </w:rPr>
        <w:t>度一般公共预算财政拨款“三公”经费支出</w:t>
      </w:r>
      <w:r>
        <w:rPr>
          <w:rFonts w:ascii="黑体" w:hAnsi="黑体" w:eastAsia="黑体"/>
          <w:color w:val="auto"/>
          <w:szCs w:val="32"/>
        </w:rPr>
        <w:t>情况说明</w:t>
      </w:r>
    </w:p>
    <w:p>
      <w:pPr>
        <w:ind w:firstLine="628" w:firstLineChars="200"/>
        <w:rPr>
          <w:rFonts w:hint="eastAsia" w:ascii="仿宋_GB2312" w:hAnsi="仿宋"/>
          <w:b/>
          <w:color w:val="auto"/>
          <w:szCs w:val="32"/>
        </w:rPr>
      </w:pPr>
      <w:r>
        <w:rPr>
          <w:rFonts w:hint="eastAsia" w:ascii="仿宋_GB2312" w:hAnsi="仿宋"/>
          <w:b/>
          <w:color w:val="auto"/>
          <w:szCs w:val="32"/>
        </w:rPr>
        <w:t>（一）一般公共预算财政拨款“三公”经费支出决算总体情况说明。</w:t>
      </w:r>
    </w:p>
    <w:p>
      <w:pPr>
        <w:ind w:firstLine="628" w:firstLineChars="200"/>
        <w:rPr>
          <w:rFonts w:hint="eastAsia" w:ascii="仿宋_GB2312" w:hAnsi="仿宋"/>
          <w:color w:val="auto"/>
          <w:szCs w:val="32"/>
          <w:u w:val="none"/>
        </w:rPr>
      </w:pPr>
      <w:r>
        <w:rPr>
          <w:rFonts w:hint="eastAsia" w:ascii="仿宋_GB2312" w:hAnsi="仿宋"/>
          <w:color w:val="auto"/>
          <w:szCs w:val="32"/>
          <w:lang w:val="en-US" w:eastAsia="zh-CN"/>
        </w:rPr>
        <w:t>淮北市人民政府驻京联络处</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年度一般公共预算财政拨款“三公”经费支出预算为</w:t>
      </w:r>
      <w:r>
        <w:rPr>
          <w:rFonts w:hint="eastAsia" w:ascii="仿宋_GB2312" w:hAnsi="仿宋"/>
          <w:color w:val="auto"/>
          <w:szCs w:val="32"/>
          <w:lang w:val="en-US" w:eastAsia="zh-CN"/>
        </w:rPr>
        <w:t>13.03</w:t>
      </w:r>
      <w:r>
        <w:rPr>
          <w:rFonts w:hint="eastAsia" w:ascii="仿宋_GB2312" w:hAnsi="仿宋"/>
          <w:color w:val="auto"/>
          <w:szCs w:val="32"/>
        </w:rPr>
        <w:t>万元，支出决算</w:t>
      </w:r>
      <w:r>
        <w:rPr>
          <w:rFonts w:hint="eastAsia" w:ascii="仿宋_GB2312" w:hAnsi="仿宋"/>
          <w:color w:val="auto"/>
          <w:szCs w:val="32"/>
          <w:lang w:eastAsia="zh-CN"/>
        </w:rPr>
        <w:t>为</w:t>
      </w:r>
      <w:r>
        <w:rPr>
          <w:rFonts w:hint="eastAsia" w:ascii="仿宋_GB2312" w:hAnsi="仿宋"/>
          <w:color w:val="auto"/>
          <w:szCs w:val="32"/>
          <w:lang w:val="en-US" w:eastAsia="zh-CN"/>
        </w:rPr>
        <w:t>13.03</w:t>
      </w:r>
      <w:r>
        <w:rPr>
          <w:rFonts w:hint="eastAsia" w:ascii="仿宋_GB2312" w:hAnsi="仿宋"/>
          <w:color w:val="auto"/>
          <w:szCs w:val="32"/>
        </w:rPr>
        <w:t>万元，完成预算的</w:t>
      </w:r>
      <w:r>
        <w:rPr>
          <w:rFonts w:hint="eastAsia" w:ascii="仿宋_GB2312" w:hAnsi="仿宋"/>
          <w:color w:val="auto"/>
          <w:szCs w:val="32"/>
          <w:lang w:val="en-US" w:eastAsia="zh-CN"/>
        </w:rPr>
        <w:t>100</w:t>
      </w:r>
      <w:r>
        <w:rPr>
          <w:rFonts w:hint="eastAsia" w:ascii="仿宋_GB2312" w:hAnsi="仿宋"/>
          <w:color w:val="auto"/>
          <w:szCs w:val="32"/>
        </w:rPr>
        <w:t>%</w:t>
      </w:r>
      <w:r>
        <w:rPr>
          <w:rFonts w:hint="eastAsia" w:ascii="仿宋_GB2312" w:hAnsi="仿宋"/>
          <w:color w:val="auto"/>
          <w:szCs w:val="32"/>
          <w:lang w:eastAsia="zh-CN"/>
        </w:rPr>
        <w:t>；</w:t>
      </w:r>
      <w:r>
        <w:rPr>
          <w:rFonts w:hint="eastAsia" w:ascii="仿宋_GB2312" w:hAnsi="仿宋"/>
          <w:color w:val="auto"/>
          <w:szCs w:val="32"/>
          <w:u w:val="none"/>
          <w:lang w:eastAsia="zh-CN"/>
        </w:rPr>
        <w:t>较上年</w:t>
      </w:r>
      <w:r>
        <w:rPr>
          <w:rFonts w:hint="eastAsia" w:ascii="仿宋_GB2312" w:hAnsi="仿宋"/>
          <w:color w:val="auto"/>
          <w:szCs w:val="32"/>
          <w:u w:val="none"/>
          <w:lang w:val="en-US" w:eastAsia="zh-CN"/>
        </w:rPr>
        <w:t>减少2.61</w:t>
      </w:r>
      <w:r>
        <w:rPr>
          <w:rFonts w:hint="eastAsia" w:ascii="仿宋_GB2312" w:hAnsi="仿宋"/>
          <w:color w:val="auto"/>
          <w:szCs w:val="32"/>
          <w:u w:val="none"/>
        </w:rPr>
        <w:t>万元</w:t>
      </w:r>
      <w:r>
        <w:rPr>
          <w:rFonts w:hint="eastAsia" w:ascii="仿宋_GB2312" w:hAnsi="仿宋"/>
          <w:color w:val="auto"/>
          <w:szCs w:val="32"/>
          <w:u w:val="none"/>
          <w:lang w:eastAsia="zh-CN"/>
        </w:rPr>
        <w:t>，</w:t>
      </w:r>
      <w:r>
        <w:rPr>
          <w:rFonts w:hint="eastAsia" w:ascii="仿宋_GB2312" w:hAnsi="仿宋"/>
          <w:color w:val="auto"/>
          <w:szCs w:val="32"/>
          <w:u w:val="none"/>
          <w:lang w:val="en-US" w:eastAsia="zh-CN"/>
        </w:rPr>
        <w:t>下降16.7%。</w:t>
      </w:r>
      <w:r>
        <w:rPr>
          <w:rFonts w:hint="eastAsia" w:ascii="仿宋_GB2312" w:hAnsi="仿宋"/>
          <w:color w:val="auto"/>
          <w:szCs w:val="32"/>
          <w:u w:val="none"/>
        </w:rPr>
        <w:t>决算数</w:t>
      </w:r>
      <w:r>
        <w:rPr>
          <w:rFonts w:hint="eastAsia" w:ascii="仿宋_GB2312" w:hAnsi="仿宋"/>
          <w:color w:val="auto"/>
          <w:szCs w:val="32"/>
          <w:u w:val="none"/>
          <w:lang w:val="en-US" w:eastAsia="zh-CN"/>
        </w:rPr>
        <w:t>与</w:t>
      </w:r>
      <w:r>
        <w:rPr>
          <w:rFonts w:hint="eastAsia" w:ascii="仿宋_GB2312" w:hAnsi="仿宋"/>
          <w:color w:val="auto"/>
          <w:szCs w:val="32"/>
          <w:u w:val="none"/>
        </w:rPr>
        <w:t>预算数</w:t>
      </w:r>
      <w:r>
        <w:rPr>
          <w:rFonts w:hint="eastAsia" w:ascii="仿宋_GB2312" w:hAnsi="仿宋"/>
          <w:color w:val="auto"/>
          <w:szCs w:val="32"/>
          <w:u w:val="none"/>
          <w:lang w:val="en-US" w:eastAsia="zh-CN"/>
        </w:rPr>
        <w:t>一致</w:t>
      </w:r>
      <w:r>
        <w:rPr>
          <w:rFonts w:hint="eastAsia" w:ascii="仿宋_GB2312" w:hAnsi="仿宋"/>
          <w:color w:val="auto"/>
          <w:szCs w:val="32"/>
          <w:u w:val="none"/>
        </w:rPr>
        <w:t>。决算数</w:t>
      </w:r>
      <w:r>
        <w:rPr>
          <w:rFonts w:hint="eastAsia" w:ascii="仿宋_GB2312" w:hAnsi="仿宋"/>
          <w:color w:val="auto"/>
          <w:szCs w:val="32"/>
          <w:u w:val="none"/>
          <w:lang w:eastAsia="zh-CN"/>
        </w:rPr>
        <w:t>较上年</w:t>
      </w:r>
      <w:r>
        <w:rPr>
          <w:rFonts w:hint="eastAsia" w:ascii="仿宋_GB2312" w:hAnsi="仿宋"/>
          <w:color w:val="auto"/>
          <w:szCs w:val="32"/>
          <w:u w:val="none"/>
          <w:lang w:val="en-US" w:eastAsia="zh-CN"/>
        </w:rPr>
        <w:t>减少</w:t>
      </w:r>
      <w:r>
        <w:rPr>
          <w:rFonts w:hint="eastAsia" w:ascii="仿宋_GB2312" w:hAnsi="仿宋"/>
          <w:color w:val="auto"/>
          <w:szCs w:val="32"/>
          <w:u w:val="none"/>
        </w:rPr>
        <w:t>的主要原因</w:t>
      </w:r>
      <w:r>
        <w:rPr>
          <w:rFonts w:hint="eastAsia" w:ascii="仿宋_GB2312" w:hAnsi="仿宋"/>
          <w:color w:val="auto"/>
          <w:szCs w:val="32"/>
          <w:u w:val="none"/>
          <w:lang w:eastAsia="zh-CN"/>
        </w:rPr>
        <w:t>：一是严格压减财政支出；二是贯彻落实过紧日子等相关规定</w:t>
      </w:r>
      <w:r>
        <w:rPr>
          <w:rFonts w:hint="eastAsia" w:ascii="仿宋_GB2312" w:hAnsi="仿宋"/>
          <w:color w:val="auto"/>
          <w:szCs w:val="32"/>
          <w:u w:val="none"/>
        </w:rPr>
        <w:t>。</w:t>
      </w:r>
    </w:p>
    <w:p>
      <w:pPr>
        <w:ind w:firstLine="628" w:firstLineChars="200"/>
        <w:rPr>
          <w:rFonts w:hint="eastAsia" w:ascii="仿宋_GB2312" w:hAnsi="仿宋"/>
          <w:b/>
          <w:color w:val="auto"/>
          <w:szCs w:val="32"/>
        </w:rPr>
      </w:pPr>
      <w:r>
        <w:rPr>
          <w:rFonts w:hint="eastAsia" w:ascii="仿宋_GB2312" w:hAnsi="仿宋"/>
          <w:b/>
          <w:bCs/>
          <w:color w:val="auto"/>
          <w:szCs w:val="32"/>
        </w:rPr>
        <w:t>（二）</w:t>
      </w:r>
      <w:r>
        <w:rPr>
          <w:rFonts w:hint="eastAsia" w:ascii="仿宋_GB2312" w:hAnsi="仿宋"/>
          <w:b/>
          <w:color w:val="auto"/>
          <w:szCs w:val="32"/>
        </w:rPr>
        <w:t>一般公共预算财政拨款“三公”经费支出决算具体情况说明。</w:t>
      </w:r>
    </w:p>
    <w:p>
      <w:pPr>
        <w:ind w:firstLine="628" w:firstLineChars="200"/>
        <w:rPr>
          <w:rFonts w:hint="eastAsia" w:ascii="仿宋_GB2312" w:hAnsi="仿宋"/>
          <w:color w:val="auto"/>
          <w:szCs w:val="32"/>
        </w:rPr>
      </w:pPr>
      <w:r>
        <w:rPr>
          <w:rFonts w:hint="eastAsia" w:ascii="仿宋_GB2312" w:hAnsi="仿宋"/>
          <w:color w:val="auto"/>
          <w:szCs w:val="32"/>
          <w:lang w:val="en-US" w:eastAsia="zh-CN"/>
        </w:rPr>
        <w:t>淮北市人民政府驻京联络处</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年度一般公共预算财政拨款“三公”经费支出决算中，因公出国（境）费支出决算</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%;公务接待费支出决算</w:t>
      </w:r>
      <w:r>
        <w:rPr>
          <w:rFonts w:hint="eastAsia" w:ascii="仿宋_GB2312" w:hAnsi="仿宋"/>
          <w:color w:val="auto"/>
          <w:szCs w:val="32"/>
          <w:lang w:val="en-US" w:eastAsia="zh-CN"/>
        </w:rPr>
        <w:t>2.12</w:t>
      </w:r>
      <w:r>
        <w:rPr>
          <w:rFonts w:hint="eastAsia" w:ascii="仿宋_GB2312" w:hAnsi="仿宋"/>
          <w:color w:val="auto"/>
          <w:szCs w:val="32"/>
        </w:rPr>
        <w:t>万元，占</w:t>
      </w:r>
      <w:r>
        <w:rPr>
          <w:rFonts w:hint="eastAsia" w:ascii="仿宋_GB2312" w:hAnsi="仿宋"/>
          <w:color w:val="auto"/>
          <w:szCs w:val="32"/>
          <w:lang w:val="en-US" w:eastAsia="zh-CN"/>
        </w:rPr>
        <w:t>16.3</w:t>
      </w:r>
      <w:r>
        <w:rPr>
          <w:rFonts w:hint="eastAsia" w:ascii="仿宋_GB2312" w:hAnsi="仿宋"/>
          <w:color w:val="auto"/>
          <w:szCs w:val="32"/>
        </w:rPr>
        <w:t>%；公务用车购置及运行维护费支出决算</w:t>
      </w:r>
      <w:r>
        <w:rPr>
          <w:rFonts w:hint="eastAsia" w:ascii="仿宋_GB2312" w:hAnsi="仿宋"/>
          <w:color w:val="auto"/>
          <w:szCs w:val="32"/>
          <w:lang w:val="en-US" w:eastAsia="zh-CN"/>
        </w:rPr>
        <w:t>10.91</w:t>
      </w:r>
      <w:r>
        <w:rPr>
          <w:rFonts w:hint="eastAsia" w:ascii="仿宋_GB2312" w:hAnsi="仿宋"/>
          <w:color w:val="auto"/>
          <w:szCs w:val="32"/>
        </w:rPr>
        <w:t>万元，占</w:t>
      </w:r>
      <w:r>
        <w:rPr>
          <w:rFonts w:hint="eastAsia" w:ascii="仿宋_GB2312" w:hAnsi="仿宋"/>
          <w:color w:val="auto"/>
          <w:szCs w:val="32"/>
          <w:lang w:val="en-US" w:eastAsia="zh-CN"/>
        </w:rPr>
        <w:t>83.7</w:t>
      </w:r>
      <w:r>
        <w:rPr>
          <w:rFonts w:hint="eastAsia" w:ascii="仿宋_GB2312" w:hAnsi="仿宋"/>
          <w:color w:val="auto"/>
          <w:szCs w:val="32"/>
        </w:rPr>
        <w:t>%。具体情况如下：</w:t>
      </w:r>
    </w:p>
    <w:p>
      <w:pPr>
        <w:ind w:firstLine="628"/>
        <w:rPr>
          <w:rFonts w:hint="eastAsia" w:ascii="仿宋_GB2312" w:hAnsi="仿宋"/>
          <w:b w:val="0"/>
          <w:bCs w:val="0"/>
          <w:color w:val="auto"/>
          <w:szCs w:val="32"/>
        </w:rPr>
      </w:pPr>
      <w:r>
        <w:rPr>
          <w:rFonts w:hint="eastAsia" w:ascii="仿宋_GB2312" w:hAnsi="仿宋"/>
          <w:b/>
          <w:bCs/>
          <w:color w:val="auto"/>
          <w:szCs w:val="32"/>
        </w:rPr>
        <w:t>1.因公出国（境）费</w:t>
      </w:r>
      <w:r>
        <w:rPr>
          <w:rFonts w:hint="eastAsia" w:ascii="仿宋_GB2312" w:hAnsi="仿宋"/>
          <w:color w:val="auto"/>
          <w:szCs w:val="32"/>
          <w:lang w:eastAsia="zh-CN"/>
        </w:rPr>
        <w:t>预算为0万元，支出决算为0万元，完成预算的100%，决算数与预算数相同；较上年减少0万元，下降0%。原因是2021年度、2022年度均未安排因公出国（境）计划。故2022年</w:t>
      </w:r>
      <w:r>
        <w:rPr>
          <w:rFonts w:hint="eastAsia" w:ascii="仿宋_GB2312" w:hAnsi="仿宋"/>
          <w:color w:val="auto"/>
          <w:szCs w:val="32"/>
          <w:lang w:val="en-US" w:eastAsia="zh-CN"/>
        </w:rPr>
        <w:t>淮北市人民政府驻京联络处</w:t>
      </w:r>
      <w:r>
        <w:rPr>
          <w:rFonts w:hint="eastAsia" w:ascii="仿宋_GB2312" w:hAnsi="仿宋"/>
          <w:color w:val="auto"/>
          <w:szCs w:val="32"/>
          <w:lang w:eastAsia="zh-CN"/>
        </w:rPr>
        <w:t>因公出国（境）团组0次，出国（境）0人次</w:t>
      </w:r>
      <w:r>
        <w:rPr>
          <w:rFonts w:hint="eastAsia" w:ascii="仿宋_GB2312" w:hAnsi="仿宋"/>
          <w:b w:val="0"/>
          <w:bCs w:val="0"/>
          <w:color w:val="auto"/>
          <w:szCs w:val="32"/>
        </w:rPr>
        <w:t>。</w:t>
      </w:r>
    </w:p>
    <w:p>
      <w:pPr>
        <w:ind w:firstLine="628" w:firstLineChars="200"/>
        <w:rPr>
          <w:rFonts w:hint="eastAsia" w:ascii="仿宋_GB2312" w:hAnsi="仿宋"/>
          <w:color w:val="auto"/>
          <w:szCs w:val="32"/>
        </w:rPr>
      </w:pPr>
      <w:r>
        <w:rPr>
          <w:rFonts w:hint="eastAsia" w:ascii="仿宋_GB2312" w:hAnsi="仿宋"/>
          <w:b/>
          <w:bCs/>
          <w:color w:val="auto"/>
          <w:szCs w:val="32"/>
        </w:rPr>
        <w:t>2.公务接待费</w:t>
      </w:r>
      <w:r>
        <w:rPr>
          <w:rFonts w:hint="eastAsia" w:ascii="仿宋_GB2312" w:hAnsi="仿宋"/>
          <w:color w:val="auto"/>
          <w:szCs w:val="32"/>
          <w:lang w:eastAsia="zh-CN"/>
        </w:rPr>
        <w:t>预算为</w:t>
      </w:r>
      <w:r>
        <w:rPr>
          <w:rFonts w:hint="eastAsia" w:ascii="仿宋_GB2312" w:hAnsi="仿宋"/>
          <w:color w:val="auto"/>
          <w:szCs w:val="32"/>
          <w:lang w:val="en-US" w:eastAsia="zh-CN"/>
        </w:rPr>
        <w:t>2.12</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2.12万元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100.0</w:t>
      </w:r>
      <w:r>
        <w:rPr>
          <w:rFonts w:hint="eastAsia" w:ascii="仿宋_GB2312" w:hAnsi="仿宋"/>
          <w:color w:val="auto"/>
          <w:szCs w:val="32"/>
          <w:lang w:eastAsia="zh-CN"/>
        </w:rPr>
        <w:t>%；</w:t>
      </w:r>
      <w:r>
        <w:rPr>
          <w:rFonts w:hint="eastAsia" w:ascii="仿宋_GB2312" w:hAnsi="仿宋"/>
          <w:color w:val="auto"/>
          <w:szCs w:val="32"/>
          <w:u w:val="none"/>
          <w:lang w:eastAsia="zh-CN"/>
        </w:rPr>
        <w:t>较上年</w:t>
      </w:r>
      <w:r>
        <w:rPr>
          <w:rFonts w:hint="eastAsia" w:ascii="仿宋_GB2312" w:hAnsi="仿宋"/>
          <w:color w:val="auto"/>
          <w:szCs w:val="32"/>
          <w:u w:val="none"/>
          <w:lang w:val="en-US" w:eastAsia="zh-CN"/>
        </w:rPr>
        <w:t>减少1.68</w:t>
      </w:r>
      <w:r>
        <w:rPr>
          <w:rFonts w:hint="eastAsia" w:ascii="仿宋_GB2312" w:hAnsi="仿宋"/>
          <w:color w:val="auto"/>
          <w:szCs w:val="32"/>
          <w:u w:val="none"/>
        </w:rPr>
        <w:t>万元</w:t>
      </w:r>
      <w:r>
        <w:rPr>
          <w:rFonts w:hint="eastAsia" w:ascii="仿宋_GB2312" w:hAnsi="仿宋"/>
          <w:color w:val="auto"/>
          <w:szCs w:val="32"/>
          <w:u w:val="none"/>
          <w:lang w:eastAsia="zh-CN"/>
        </w:rPr>
        <w:t>，</w:t>
      </w:r>
      <w:r>
        <w:rPr>
          <w:rFonts w:hint="eastAsia" w:ascii="仿宋_GB2312" w:hAnsi="仿宋"/>
          <w:color w:val="auto"/>
          <w:szCs w:val="32"/>
          <w:u w:val="none"/>
          <w:lang w:val="en-US" w:eastAsia="zh-CN"/>
        </w:rPr>
        <w:t>下降44.2%。</w:t>
      </w:r>
      <w:r>
        <w:rPr>
          <w:rFonts w:hint="eastAsia" w:ascii="仿宋_GB2312" w:hAnsi="仿宋"/>
          <w:color w:val="auto"/>
          <w:szCs w:val="32"/>
          <w:u w:val="none"/>
        </w:rPr>
        <w:t>决算数</w:t>
      </w:r>
      <w:r>
        <w:rPr>
          <w:rFonts w:hint="eastAsia" w:ascii="仿宋_GB2312" w:hAnsi="仿宋"/>
          <w:color w:val="auto"/>
          <w:szCs w:val="32"/>
          <w:u w:val="none"/>
          <w:lang w:val="en-US" w:eastAsia="zh-CN"/>
        </w:rPr>
        <w:t>与</w:t>
      </w:r>
      <w:r>
        <w:rPr>
          <w:rFonts w:hint="eastAsia" w:ascii="仿宋_GB2312" w:hAnsi="仿宋"/>
          <w:color w:val="auto"/>
          <w:szCs w:val="32"/>
          <w:u w:val="none"/>
        </w:rPr>
        <w:t>预算数</w:t>
      </w:r>
      <w:r>
        <w:rPr>
          <w:rFonts w:hint="eastAsia" w:ascii="仿宋_GB2312" w:hAnsi="仿宋"/>
          <w:color w:val="auto"/>
          <w:szCs w:val="32"/>
          <w:u w:val="none"/>
          <w:lang w:val="en-US" w:eastAsia="zh-CN"/>
        </w:rPr>
        <w:t>一致</w:t>
      </w:r>
      <w:r>
        <w:rPr>
          <w:rFonts w:hint="eastAsia" w:ascii="仿宋_GB2312" w:hAnsi="仿宋"/>
          <w:color w:val="auto"/>
          <w:szCs w:val="32"/>
          <w:u w:val="none"/>
        </w:rPr>
        <w:t>。决算数</w:t>
      </w:r>
      <w:r>
        <w:rPr>
          <w:rFonts w:hint="eastAsia" w:ascii="仿宋_GB2312" w:hAnsi="仿宋"/>
          <w:color w:val="auto"/>
          <w:szCs w:val="32"/>
          <w:u w:val="none"/>
          <w:lang w:eastAsia="zh-CN"/>
        </w:rPr>
        <w:t>较上年</w:t>
      </w:r>
      <w:r>
        <w:rPr>
          <w:rFonts w:hint="eastAsia" w:ascii="仿宋_GB2312" w:hAnsi="仿宋"/>
          <w:color w:val="auto"/>
          <w:szCs w:val="32"/>
          <w:u w:val="none"/>
          <w:lang w:val="en-US" w:eastAsia="zh-CN"/>
        </w:rPr>
        <w:t>减少</w:t>
      </w:r>
      <w:r>
        <w:rPr>
          <w:rFonts w:hint="eastAsia" w:ascii="仿宋_GB2312" w:hAnsi="仿宋"/>
          <w:color w:val="auto"/>
          <w:szCs w:val="32"/>
          <w:u w:val="none"/>
        </w:rPr>
        <w:t>的主要原因是一是严格压减财政支出；二是贯彻落实过紧日子等相关规定。</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w:t>
      </w:r>
      <w:r>
        <w:rPr>
          <w:rFonts w:hint="eastAsia" w:ascii="仿宋_GB2312" w:hAnsi="仿宋"/>
          <w:color w:val="auto"/>
          <w:szCs w:val="32"/>
          <w:lang w:val="en-US" w:eastAsia="zh-CN"/>
        </w:rPr>
        <w:t>淮北市人民政府驻京联络处</w:t>
      </w:r>
      <w:r>
        <w:rPr>
          <w:rFonts w:hint="eastAsia" w:ascii="仿宋_GB2312" w:hAnsi="仿宋"/>
          <w:color w:val="auto"/>
          <w:szCs w:val="32"/>
        </w:rPr>
        <w:t>国内公务接待共2</w:t>
      </w:r>
      <w:r>
        <w:rPr>
          <w:rFonts w:hint="eastAsia" w:ascii="仿宋_GB2312" w:hAnsi="仿宋"/>
          <w:color w:val="auto"/>
          <w:szCs w:val="32"/>
          <w:lang w:val="en-US" w:eastAsia="zh-CN"/>
        </w:rPr>
        <w:t>1</w:t>
      </w:r>
      <w:r>
        <w:rPr>
          <w:rFonts w:hint="eastAsia" w:ascii="仿宋_GB2312" w:hAnsi="仿宋"/>
          <w:color w:val="auto"/>
          <w:szCs w:val="32"/>
        </w:rPr>
        <w:t>批次（其中外事接待</w:t>
      </w:r>
      <w:r>
        <w:rPr>
          <w:rFonts w:hint="eastAsia" w:ascii="仿宋_GB2312" w:hAnsi="仿宋"/>
          <w:color w:val="auto"/>
          <w:szCs w:val="32"/>
          <w:lang w:val="en-US" w:eastAsia="zh-CN"/>
        </w:rPr>
        <w:t>0</w:t>
      </w:r>
      <w:r>
        <w:rPr>
          <w:rFonts w:hint="eastAsia" w:ascii="仿宋_GB2312" w:hAnsi="仿宋"/>
          <w:color w:val="auto"/>
          <w:szCs w:val="32"/>
        </w:rPr>
        <w:t>批次），</w:t>
      </w:r>
      <w:r>
        <w:rPr>
          <w:rFonts w:hint="eastAsia" w:ascii="仿宋_GB2312" w:hAnsi="仿宋"/>
          <w:color w:val="auto"/>
          <w:szCs w:val="32"/>
          <w:lang w:val="en-US" w:eastAsia="zh-CN"/>
        </w:rPr>
        <w:t>189</w:t>
      </w:r>
      <w:r>
        <w:rPr>
          <w:rFonts w:hint="eastAsia" w:ascii="仿宋_GB2312" w:hAnsi="仿宋"/>
          <w:color w:val="auto"/>
          <w:szCs w:val="32"/>
        </w:rPr>
        <w:t>人次（其中外事接待</w:t>
      </w:r>
      <w:r>
        <w:rPr>
          <w:rFonts w:hint="eastAsia" w:ascii="仿宋_GB2312" w:hAnsi="仿宋"/>
          <w:color w:val="auto"/>
          <w:szCs w:val="32"/>
          <w:lang w:val="en-US" w:eastAsia="zh-CN"/>
        </w:rPr>
        <w:t>0</w:t>
      </w:r>
      <w:r>
        <w:rPr>
          <w:rFonts w:hint="eastAsia" w:ascii="仿宋_GB2312" w:hAnsi="仿宋"/>
          <w:color w:val="auto"/>
          <w:szCs w:val="32"/>
        </w:rPr>
        <w:t>人次）。</w:t>
      </w:r>
      <w:r>
        <w:rPr>
          <w:rFonts w:hint="eastAsia" w:ascii="仿宋" w:hAnsi="仿宋" w:eastAsia="仿宋"/>
          <w:szCs w:val="32"/>
        </w:rPr>
        <w:t>主要是用于招商及对外联络，来京各项公务接待</w:t>
      </w:r>
      <w:r>
        <w:rPr>
          <w:rFonts w:hint="eastAsia" w:ascii="仿宋_GB2312" w:hAnsi="仿宋"/>
          <w:color w:val="auto"/>
          <w:szCs w:val="32"/>
        </w:rPr>
        <w:t>。经费使用贯彻</w:t>
      </w:r>
      <w:r>
        <w:rPr>
          <w:rFonts w:hint="eastAsia" w:ascii="仿宋_GB2312" w:hAnsi="仿宋"/>
          <w:color w:val="auto"/>
          <w:szCs w:val="32"/>
          <w:lang w:val="en-US" w:eastAsia="zh-CN"/>
        </w:rPr>
        <w:t>落实</w:t>
      </w:r>
      <w:r>
        <w:rPr>
          <w:rFonts w:hint="eastAsia" w:ascii="仿宋_GB2312" w:hAnsi="仿宋"/>
          <w:color w:val="auto"/>
          <w:szCs w:val="32"/>
        </w:rPr>
        <w:t>中央八项规定</w:t>
      </w:r>
      <w:r>
        <w:rPr>
          <w:rFonts w:hint="eastAsia" w:ascii="仿宋_GB2312" w:hAnsi="仿宋"/>
          <w:color w:val="auto"/>
          <w:szCs w:val="32"/>
          <w:lang w:eastAsia="zh-CN"/>
        </w:rPr>
        <w:t>精神</w:t>
      </w:r>
      <w:bookmarkStart w:id="0" w:name="_GoBack"/>
      <w:bookmarkEnd w:id="0"/>
      <w:r>
        <w:rPr>
          <w:rFonts w:hint="eastAsia" w:ascii="仿宋_GB2312" w:hAnsi="仿宋"/>
          <w:color w:val="auto"/>
          <w:szCs w:val="32"/>
        </w:rPr>
        <w:t>和</w:t>
      </w:r>
      <w:r>
        <w:rPr>
          <w:rFonts w:hint="eastAsia" w:ascii="仿宋_GB2312" w:hAnsi="仿宋"/>
          <w:color w:val="auto"/>
          <w:szCs w:val="32"/>
          <w:lang w:val="en-US" w:eastAsia="zh-CN"/>
        </w:rPr>
        <w:t>市</w:t>
      </w:r>
      <w:r>
        <w:rPr>
          <w:rFonts w:hint="eastAsia" w:ascii="仿宋_GB2312" w:hAnsi="仿宋"/>
          <w:color w:val="auto"/>
          <w:szCs w:val="32"/>
          <w:lang w:eastAsia="zh-CN"/>
        </w:rPr>
        <w:t>委</w:t>
      </w:r>
      <w:r>
        <w:rPr>
          <w:rFonts w:hint="eastAsia" w:ascii="仿宋_GB2312" w:hAnsi="仿宋"/>
          <w:color w:val="auto"/>
          <w:szCs w:val="32"/>
        </w:rPr>
        <w:t>实</w:t>
      </w:r>
      <w:r>
        <w:rPr>
          <w:rFonts w:hint="eastAsia" w:ascii="仿宋_GB2312" w:hAnsi="宋体" w:cs="宋体"/>
          <w:color w:val="auto"/>
          <w:kern w:val="0"/>
          <w:szCs w:val="32"/>
        </w:rPr>
        <w:t>施细则</w:t>
      </w:r>
      <w:r>
        <w:rPr>
          <w:rFonts w:hint="eastAsia" w:ascii="仿宋_GB2312" w:hAnsi="仿宋"/>
          <w:color w:val="auto"/>
          <w:szCs w:val="32"/>
        </w:rPr>
        <w:t>，严格执行《</w:t>
      </w:r>
      <w:r>
        <w:rPr>
          <w:rFonts w:hint="eastAsia" w:ascii="仿宋_GB2312" w:hAnsi="仿宋"/>
          <w:color w:val="auto"/>
          <w:szCs w:val="32"/>
          <w:lang w:val="en-US" w:eastAsia="zh-CN"/>
        </w:rPr>
        <w:t>关于印发&lt;淮北市市直单位接待经费管理暂行办法&gt;的通知</w:t>
      </w:r>
      <w:r>
        <w:rPr>
          <w:rFonts w:hint="eastAsia" w:ascii="仿宋_GB2312" w:hAnsi="仿宋"/>
          <w:color w:val="auto"/>
          <w:szCs w:val="32"/>
        </w:rPr>
        <w:t>》（财行〔201</w:t>
      </w:r>
      <w:r>
        <w:rPr>
          <w:rFonts w:hint="eastAsia" w:ascii="仿宋_GB2312" w:hAnsi="仿宋"/>
          <w:color w:val="auto"/>
          <w:szCs w:val="32"/>
          <w:lang w:val="en-US" w:eastAsia="zh-CN"/>
        </w:rPr>
        <w:t>3</w:t>
      </w:r>
      <w:r>
        <w:rPr>
          <w:rFonts w:hint="eastAsia" w:ascii="仿宋_GB2312" w:hAnsi="仿宋"/>
          <w:color w:val="auto"/>
          <w:szCs w:val="32"/>
        </w:rPr>
        <w:t>〕</w:t>
      </w:r>
      <w:r>
        <w:rPr>
          <w:rFonts w:hint="eastAsia" w:ascii="仿宋_GB2312" w:hAnsi="仿宋"/>
          <w:color w:val="auto"/>
          <w:szCs w:val="32"/>
          <w:lang w:val="en-US" w:eastAsia="zh-CN"/>
        </w:rPr>
        <w:t>133</w:t>
      </w:r>
      <w:r>
        <w:rPr>
          <w:rFonts w:hint="eastAsia" w:ascii="仿宋_GB2312" w:hAnsi="仿宋"/>
          <w:color w:val="auto"/>
          <w:szCs w:val="32"/>
        </w:rPr>
        <w:t>号）</w:t>
      </w:r>
      <w:r>
        <w:rPr>
          <w:rFonts w:hint="eastAsia" w:ascii="仿宋_GB2312" w:hAnsi="仿宋"/>
          <w:color w:val="auto"/>
          <w:szCs w:val="32"/>
          <w:lang w:eastAsia="zh-CN"/>
        </w:rPr>
        <w:t>、《</w:t>
      </w:r>
      <w:r>
        <w:rPr>
          <w:rFonts w:hint="eastAsia" w:ascii="仿宋_GB2312" w:hAnsi="仿宋"/>
          <w:color w:val="auto"/>
          <w:szCs w:val="32"/>
          <w:lang w:val="en-US" w:eastAsia="zh-CN"/>
        </w:rPr>
        <w:t>淮北市财政局淮北市机关事务管理中心关于调整市直机关公务接待费用餐标准的通知</w:t>
      </w:r>
      <w:r>
        <w:rPr>
          <w:rFonts w:hint="eastAsia" w:ascii="仿宋_GB2312" w:hAnsi="仿宋"/>
          <w:color w:val="auto"/>
          <w:szCs w:val="32"/>
          <w:lang w:eastAsia="zh-CN"/>
        </w:rPr>
        <w:t>》</w:t>
      </w:r>
      <w:r>
        <w:rPr>
          <w:rFonts w:hint="eastAsia" w:ascii="仿宋_GB2312" w:hAnsi="仿宋"/>
          <w:color w:val="auto"/>
          <w:szCs w:val="32"/>
        </w:rPr>
        <w:t>（财行〔20</w:t>
      </w:r>
      <w:r>
        <w:rPr>
          <w:rFonts w:hint="eastAsia" w:ascii="仿宋_GB2312" w:hAnsi="仿宋"/>
          <w:color w:val="auto"/>
          <w:szCs w:val="32"/>
          <w:lang w:val="en-US" w:eastAsia="zh-CN"/>
        </w:rPr>
        <w:t>21</w:t>
      </w:r>
      <w:r>
        <w:rPr>
          <w:rFonts w:hint="eastAsia" w:ascii="仿宋_GB2312" w:hAnsi="仿宋"/>
          <w:color w:val="auto"/>
          <w:szCs w:val="32"/>
        </w:rPr>
        <w:t>〕</w:t>
      </w:r>
      <w:r>
        <w:rPr>
          <w:rFonts w:hint="eastAsia" w:ascii="仿宋_GB2312" w:hAnsi="仿宋"/>
          <w:color w:val="auto"/>
          <w:szCs w:val="32"/>
          <w:lang w:val="en-US" w:eastAsia="zh-CN"/>
        </w:rPr>
        <w:t>85</w:t>
      </w:r>
      <w:r>
        <w:rPr>
          <w:rFonts w:hint="eastAsia" w:ascii="仿宋_GB2312" w:hAnsi="仿宋"/>
          <w:color w:val="auto"/>
          <w:szCs w:val="32"/>
        </w:rPr>
        <w:t>号）</w:t>
      </w:r>
      <w:r>
        <w:rPr>
          <w:rFonts w:hint="eastAsia" w:ascii="仿宋_GB2312" w:hAnsi="仿宋"/>
          <w:color w:val="auto"/>
          <w:szCs w:val="32"/>
          <w:lang w:eastAsia="zh-CN"/>
        </w:rPr>
        <w:t>等</w:t>
      </w:r>
      <w:r>
        <w:rPr>
          <w:rFonts w:hint="eastAsia" w:ascii="仿宋_GB2312" w:hAnsi="仿宋"/>
          <w:color w:val="auto"/>
          <w:szCs w:val="32"/>
        </w:rPr>
        <w:t>相关规定。</w:t>
      </w:r>
    </w:p>
    <w:p>
      <w:pPr>
        <w:ind w:firstLine="628" w:firstLineChars="200"/>
      </w:pPr>
      <w:r>
        <w:rPr>
          <w:rFonts w:hint="eastAsia" w:ascii="仿宋_GB2312" w:hAnsi="仿宋"/>
          <w:b/>
          <w:bCs/>
          <w:color w:val="auto"/>
          <w:szCs w:val="32"/>
        </w:rPr>
        <w:t>3.公务用车购置及运行维护费</w:t>
      </w:r>
      <w:r>
        <w:rPr>
          <w:rFonts w:hint="eastAsia" w:ascii="仿宋_GB2312" w:hAnsi="仿宋"/>
          <w:color w:val="auto"/>
          <w:szCs w:val="32"/>
          <w:lang w:eastAsia="zh-CN"/>
        </w:rPr>
        <w:t>预算为</w:t>
      </w:r>
      <w:r>
        <w:rPr>
          <w:rFonts w:hint="eastAsia" w:ascii="仿宋_GB2312" w:hAnsi="仿宋"/>
          <w:color w:val="auto"/>
          <w:szCs w:val="32"/>
          <w:lang w:val="en-US" w:eastAsia="zh-CN"/>
        </w:rPr>
        <w:t>10.91</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10.91万元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100</w:t>
      </w:r>
      <w:r>
        <w:rPr>
          <w:rFonts w:hint="eastAsia" w:ascii="仿宋_GB2312" w:hAnsi="仿宋"/>
          <w:color w:val="auto"/>
          <w:szCs w:val="32"/>
          <w:lang w:eastAsia="zh-CN"/>
        </w:rPr>
        <w:t>%；</w:t>
      </w:r>
      <w:r>
        <w:rPr>
          <w:rFonts w:hint="eastAsia" w:ascii="仿宋_GB2312" w:hAnsi="仿宋"/>
          <w:color w:val="auto"/>
          <w:szCs w:val="32"/>
          <w:u w:val="none"/>
          <w:lang w:eastAsia="zh-CN"/>
        </w:rPr>
        <w:t>较上年</w:t>
      </w:r>
      <w:r>
        <w:rPr>
          <w:rFonts w:hint="eastAsia" w:ascii="仿宋_GB2312" w:hAnsi="仿宋"/>
          <w:color w:val="auto"/>
          <w:szCs w:val="32"/>
          <w:u w:val="none"/>
          <w:lang w:val="en-US" w:eastAsia="zh-CN"/>
        </w:rPr>
        <w:t>减少0.93</w:t>
      </w:r>
      <w:r>
        <w:rPr>
          <w:rFonts w:hint="eastAsia" w:ascii="仿宋_GB2312" w:hAnsi="仿宋"/>
          <w:color w:val="auto"/>
          <w:szCs w:val="32"/>
          <w:u w:val="none"/>
        </w:rPr>
        <w:t>万元</w:t>
      </w:r>
      <w:r>
        <w:rPr>
          <w:rFonts w:hint="eastAsia" w:ascii="仿宋_GB2312" w:hAnsi="仿宋"/>
          <w:color w:val="auto"/>
          <w:szCs w:val="32"/>
          <w:u w:val="none"/>
          <w:lang w:eastAsia="zh-CN"/>
        </w:rPr>
        <w:t>，</w:t>
      </w:r>
      <w:r>
        <w:rPr>
          <w:rFonts w:hint="eastAsia" w:ascii="仿宋_GB2312" w:hAnsi="仿宋"/>
          <w:color w:val="auto"/>
          <w:szCs w:val="32"/>
          <w:u w:val="none"/>
          <w:lang w:val="en-US" w:eastAsia="zh-CN"/>
        </w:rPr>
        <w:t>下降7.9%。</w:t>
      </w:r>
      <w:r>
        <w:rPr>
          <w:rFonts w:hint="eastAsia" w:ascii="仿宋_GB2312" w:hAnsi="仿宋"/>
          <w:color w:val="auto"/>
          <w:szCs w:val="32"/>
          <w:u w:val="none"/>
        </w:rPr>
        <w:t>决算数</w:t>
      </w:r>
      <w:r>
        <w:rPr>
          <w:rFonts w:hint="eastAsia" w:ascii="仿宋_GB2312" w:hAnsi="仿宋"/>
          <w:color w:val="auto"/>
          <w:szCs w:val="32"/>
          <w:u w:val="none"/>
          <w:lang w:val="en-US" w:eastAsia="zh-CN"/>
        </w:rPr>
        <w:t>与</w:t>
      </w:r>
      <w:r>
        <w:rPr>
          <w:rFonts w:hint="eastAsia" w:ascii="仿宋_GB2312" w:hAnsi="仿宋"/>
          <w:color w:val="auto"/>
          <w:szCs w:val="32"/>
          <w:u w:val="none"/>
        </w:rPr>
        <w:t>预算数</w:t>
      </w:r>
      <w:r>
        <w:rPr>
          <w:rFonts w:hint="eastAsia" w:ascii="仿宋_GB2312" w:hAnsi="仿宋"/>
          <w:color w:val="auto"/>
          <w:szCs w:val="32"/>
          <w:u w:val="none"/>
          <w:lang w:val="en-US" w:eastAsia="zh-CN"/>
        </w:rPr>
        <w:t>一致</w:t>
      </w:r>
      <w:r>
        <w:rPr>
          <w:rFonts w:hint="eastAsia" w:ascii="仿宋_GB2312" w:hAnsi="仿宋"/>
          <w:color w:val="auto"/>
          <w:szCs w:val="32"/>
          <w:u w:val="none"/>
        </w:rPr>
        <w:t>。</w:t>
      </w:r>
      <w:r>
        <w:rPr>
          <w:rFonts w:hint="eastAsia" w:ascii="仿宋_GB2312" w:hAnsi="仿宋"/>
          <w:color w:val="auto"/>
          <w:szCs w:val="32"/>
          <w:highlight w:val="none"/>
          <w:u w:val="none"/>
        </w:rPr>
        <w:t>决算数</w:t>
      </w:r>
      <w:r>
        <w:rPr>
          <w:rFonts w:hint="eastAsia" w:ascii="仿宋_GB2312" w:hAnsi="仿宋"/>
          <w:color w:val="auto"/>
          <w:szCs w:val="32"/>
          <w:highlight w:val="none"/>
          <w:u w:val="none"/>
          <w:lang w:eastAsia="zh-CN"/>
        </w:rPr>
        <w:t>较上年</w:t>
      </w:r>
      <w:r>
        <w:rPr>
          <w:rFonts w:hint="eastAsia" w:ascii="仿宋_GB2312" w:hAnsi="仿宋"/>
          <w:color w:val="auto"/>
          <w:szCs w:val="32"/>
          <w:highlight w:val="none"/>
          <w:u w:val="none"/>
          <w:lang w:val="en-US" w:eastAsia="zh-CN"/>
        </w:rPr>
        <w:t>减少</w:t>
      </w:r>
      <w:r>
        <w:rPr>
          <w:rFonts w:hint="eastAsia" w:ascii="仿宋_GB2312" w:hAnsi="仿宋"/>
          <w:color w:val="auto"/>
          <w:szCs w:val="32"/>
          <w:highlight w:val="none"/>
          <w:u w:val="none"/>
        </w:rPr>
        <w:t>的主要原因</w:t>
      </w:r>
      <w:r>
        <w:rPr>
          <w:rFonts w:hint="eastAsia" w:ascii="仿宋_GB2312" w:hAnsi="仿宋"/>
          <w:color w:val="auto"/>
          <w:szCs w:val="32"/>
          <w:highlight w:val="none"/>
          <w:u w:val="none"/>
          <w:lang w:val="en-US" w:eastAsia="zh-CN"/>
        </w:rPr>
        <w:t>按照规定，压减开支</w:t>
      </w:r>
      <w:r>
        <w:rPr>
          <w:rFonts w:hint="eastAsia" w:ascii="仿宋_GB2312" w:hAnsi="仿宋"/>
          <w:color w:val="auto"/>
          <w:szCs w:val="32"/>
          <w:u w:val="none"/>
        </w:rPr>
        <w:t>。</w:t>
      </w:r>
      <w:r>
        <w:rPr>
          <w:rFonts w:hint="eastAsia" w:ascii="仿宋_GB2312" w:hAnsi="仿宋"/>
          <w:color w:val="auto"/>
          <w:szCs w:val="32"/>
        </w:rPr>
        <w:t>其中，公务用车购置费</w:t>
      </w:r>
      <w:r>
        <w:rPr>
          <w:rFonts w:hint="eastAsia" w:ascii="仿宋_GB2312" w:hAnsi="仿宋"/>
          <w:color w:val="auto"/>
          <w:szCs w:val="32"/>
          <w:lang w:eastAsia="zh-CN"/>
        </w:rPr>
        <w:t>预算为0万元，支出决算为0万元，完成预算的100%，决算数与预算数相同；较上年减少0万元，下降0%。原因是2021年度、2022年度均未安排公务用车购置计划。故2022年</w:t>
      </w:r>
      <w:r>
        <w:rPr>
          <w:rFonts w:hint="eastAsia" w:ascii="仿宋_GB2312" w:hAnsi="仿宋"/>
          <w:color w:val="auto"/>
          <w:szCs w:val="32"/>
          <w:lang w:val="en-US" w:eastAsia="zh-CN"/>
        </w:rPr>
        <w:t>淮北市人民政府驻京联络处</w:t>
      </w:r>
      <w:r>
        <w:rPr>
          <w:rFonts w:hint="eastAsia" w:ascii="仿宋_GB2312" w:hAnsi="仿宋"/>
          <w:color w:val="auto"/>
          <w:szCs w:val="32"/>
          <w:lang w:eastAsia="zh-CN"/>
        </w:rPr>
        <w:t>公务用车购置费</w:t>
      </w:r>
      <w:r>
        <w:rPr>
          <w:rFonts w:hint="eastAsia" w:ascii="仿宋_GB2312" w:hAnsi="仿宋"/>
          <w:color w:val="auto"/>
          <w:szCs w:val="32"/>
          <w:lang w:val="en-US" w:eastAsia="zh-CN"/>
        </w:rPr>
        <w:t>0万元</w:t>
      </w:r>
      <w:r>
        <w:rPr>
          <w:rFonts w:hint="eastAsia" w:ascii="仿宋_GB2312" w:hAnsi="仿宋"/>
          <w:color w:val="auto"/>
          <w:szCs w:val="32"/>
          <w:lang w:eastAsia="zh-CN"/>
        </w:rPr>
        <w:t>。</w:t>
      </w:r>
      <w:r>
        <w:rPr>
          <w:rFonts w:hint="eastAsia" w:ascii="仿宋_GB2312" w:hAnsi="仿宋"/>
          <w:color w:val="auto"/>
          <w:szCs w:val="32"/>
        </w:rPr>
        <w:t>公务用车运行维护费</w:t>
      </w:r>
      <w:r>
        <w:rPr>
          <w:rFonts w:hint="eastAsia" w:ascii="仿宋_GB2312" w:hAnsi="仿宋"/>
          <w:color w:val="auto"/>
          <w:szCs w:val="32"/>
          <w:lang w:eastAsia="zh-CN"/>
        </w:rPr>
        <w:t>预算为</w:t>
      </w:r>
      <w:r>
        <w:rPr>
          <w:rFonts w:hint="eastAsia" w:ascii="仿宋_GB2312" w:hAnsi="仿宋"/>
          <w:color w:val="auto"/>
          <w:szCs w:val="32"/>
          <w:lang w:val="en-US" w:eastAsia="zh-CN"/>
        </w:rPr>
        <w:t>10.91</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10.91万元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100</w:t>
      </w:r>
      <w:r>
        <w:rPr>
          <w:rFonts w:hint="eastAsia" w:ascii="仿宋_GB2312" w:hAnsi="仿宋"/>
          <w:color w:val="auto"/>
          <w:szCs w:val="32"/>
          <w:lang w:eastAsia="zh-CN"/>
        </w:rPr>
        <w:t>%；</w:t>
      </w:r>
      <w:r>
        <w:rPr>
          <w:rFonts w:hint="eastAsia" w:ascii="仿宋_GB2312" w:hAnsi="仿宋"/>
          <w:color w:val="auto"/>
          <w:szCs w:val="32"/>
          <w:u w:val="none"/>
          <w:lang w:eastAsia="zh-CN"/>
        </w:rPr>
        <w:t>较上年</w:t>
      </w:r>
      <w:r>
        <w:rPr>
          <w:rFonts w:hint="eastAsia" w:ascii="仿宋_GB2312" w:hAnsi="仿宋"/>
          <w:color w:val="auto"/>
          <w:szCs w:val="32"/>
          <w:u w:val="none"/>
          <w:lang w:val="en-US" w:eastAsia="zh-CN"/>
        </w:rPr>
        <w:t>减少0.93</w:t>
      </w:r>
      <w:r>
        <w:rPr>
          <w:rFonts w:hint="eastAsia" w:ascii="仿宋_GB2312" w:hAnsi="仿宋"/>
          <w:color w:val="auto"/>
          <w:szCs w:val="32"/>
          <w:u w:val="none"/>
        </w:rPr>
        <w:t>万元</w:t>
      </w:r>
      <w:r>
        <w:rPr>
          <w:rFonts w:hint="eastAsia" w:ascii="仿宋_GB2312" w:hAnsi="仿宋"/>
          <w:color w:val="auto"/>
          <w:szCs w:val="32"/>
          <w:u w:val="none"/>
          <w:lang w:eastAsia="zh-CN"/>
        </w:rPr>
        <w:t>，</w:t>
      </w:r>
      <w:r>
        <w:rPr>
          <w:rFonts w:hint="eastAsia" w:ascii="仿宋_GB2312" w:hAnsi="仿宋"/>
          <w:color w:val="auto"/>
          <w:szCs w:val="32"/>
          <w:u w:val="none"/>
          <w:lang w:val="en-US" w:eastAsia="zh-CN"/>
        </w:rPr>
        <w:t>下降7.9%。</w:t>
      </w:r>
      <w:r>
        <w:rPr>
          <w:rFonts w:hint="eastAsia" w:ascii="仿宋_GB2312" w:hAnsi="仿宋"/>
          <w:color w:val="auto"/>
          <w:szCs w:val="32"/>
          <w:u w:val="none"/>
        </w:rPr>
        <w:t>决算数</w:t>
      </w:r>
      <w:r>
        <w:rPr>
          <w:rFonts w:hint="eastAsia" w:ascii="仿宋_GB2312" w:hAnsi="仿宋"/>
          <w:color w:val="auto"/>
          <w:szCs w:val="32"/>
          <w:u w:val="none"/>
          <w:lang w:val="en-US" w:eastAsia="zh-CN"/>
        </w:rPr>
        <w:t>与</w:t>
      </w:r>
      <w:r>
        <w:rPr>
          <w:rFonts w:hint="eastAsia" w:ascii="仿宋_GB2312" w:hAnsi="仿宋"/>
          <w:color w:val="auto"/>
          <w:szCs w:val="32"/>
          <w:u w:val="none"/>
        </w:rPr>
        <w:t>预算数</w:t>
      </w:r>
      <w:r>
        <w:rPr>
          <w:rFonts w:hint="eastAsia" w:ascii="仿宋_GB2312" w:hAnsi="仿宋"/>
          <w:color w:val="auto"/>
          <w:szCs w:val="32"/>
          <w:u w:val="none"/>
          <w:lang w:val="en-US" w:eastAsia="zh-CN"/>
        </w:rPr>
        <w:t>一致</w:t>
      </w:r>
      <w:r>
        <w:rPr>
          <w:rFonts w:hint="eastAsia" w:ascii="仿宋_GB2312" w:hAnsi="仿宋"/>
          <w:color w:val="auto"/>
          <w:szCs w:val="32"/>
          <w:u w:val="none"/>
        </w:rPr>
        <w:t>。决算数</w:t>
      </w:r>
      <w:r>
        <w:rPr>
          <w:rFonts w:hint="eastAsia" w:ascii="仿宋_GB2312" w:hAnsi="仿宋"/>
          <w:color w:val="auto"/>
          <w:szCs w:val="32"/>
          <w:u w:val="none"/>
          <w:lang w:eastAsia="zh-CN"/>
        </w:rPr>
        <w:t>较上年</w:t>
      </w:r>
      <w:r>
        <w:rPr>
          <w:rFonts w:hint="eastAsia" w:ascii="仿宋_GB2312" w:hAnsi="仿宋"/>
          <w:color w:val="auto"/>
          <w:szCs w:val="32"/>
          <w:u w:val="none"/>
          <w:lang w:val="en-US" w:eastAsia="zh-CN"/>
        </w:rPr>
        <w:t>减少</w:t>
      </w:r>
      <w:r>
        <w:rPr>
          <w:rFonts w:hint="eastAsia" w:ascii="仿宋_GB2312" w:hAnsi="仿宋"/>
          <w:color w:val="auto"/>
          <w:szCs w:val="32"/>
          <w:u w:val="none"/>
        </w:rPr>
        <w:t>的主要原因是</w:t>
      </w:r>
      <w:r>
        <w:rPr>
          <w:rFonts w:hint="eastAsia" w:ascii="仿宋_GB2312" w:hAnsi="仿宋"/>
          <w:szCs w:val="32"/>
        </w:rPr>
        <w:t>厉行节约，减少开支</w:t>
      </w:r>
      <w:r>
        <w:rPr>
          <w:rFonts w:hint="eastAsia" w:ascii="仿宋_GB2312" w:hAnsi="仿宋"/>
          <w:color w:val="auto"/>
          <w:szCs w:val="32"/>
          <w:u w:val="none"/>
        </w:rPr>
        <w:t>。</w:t>
      </w:r>
      <w:r>
        <w:rPr>
          <w:rFonts w:hint="eastAsia" w:ascii="仿宋_GB2312" w:hAnsi="仿宋"/>
          <w:color w:val="auto"/>
          <w:szCs w:val="32"/>
        </w:rPr>
        <w:t>公务用车运行维护费，包括车辆燃料费、维修费、过路过桥费、保险费等支出，主要用于车量加油费及维修保险费。截至</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年12月31日，</w:t>
      </w:r>
      <w:r>
        <w:rPr>
          <w:rFonts w:hint="eastAsia" w:ascii="仿宋_GB2312" w:hAnsi="仿宋"/>
          <w:color w:val="auto"/>
          <w:szCs w:val="32"/>
          <w:lang w:val="en-US" w:eastAsia="zh-CN"/>
        </w:rPr>
        <w:t>淮北市人民政府驻京联络处</w:t>
      </w:r>
      <w:r>
        <w:rPr>
          <w:rFonts w:hint="eastAsia" w:ascii="仿宋_GB2312" w:hAnsi="仿宋" w:cs="Times New Roman"/>
          <w:color w:val="auto"/>
          <w:szCs w:val="32"/>
          <w:lang w:val="en-US" w:eastAsia="zh-CN"/>
        </w:rPr>
        <w:t>机关</w:t>
      </w:r>
      <w:r>
        <w:rPr>
          <w:rFonts w:hint="eastAsia" w:ascii="仿宋_GB2312" w:hAnsi="仿宋"/>
          <w:color w:val="auto"/>
          <w:szCs w:val="32"/>
        </w:rPr>
        <w:t>财政拨款的公务用车保有量为</w:t>
      </w:r>
      <w:r>
        <w:rPr>
          <w:rFonts w:hint="eastAsia" w:ascii="仿宋_GB2312" w:hAnsi="仿宋"/>
          <w:color w:val="auto"/>
          <w:szCs w:val="32"/>
          <w:lang w:val="en-US" w:eastAsia="zh-CN"/>
        </w:rPr>
        <w:t>2</w:t>
      </w:r>
      <w:r>
        <w:rPr>
          <w:rFonts w:hint="eastAsia" w:ascii="仿宋_GB2312" w:hAnsi="仿宋"/>
          <w:color w:val="auto"/>
          <w:szCs w:val="32"/>
        </w:rPr>
        <w:t>辆。</w:t>
      </w:r>
    </w:p>
    <w:sectPr>
      <w:footerReference r:id="rId3" w:type="default"/>
      <w:footerReference r:id="rId4" w:type="even"/>
      <w:pgSz w:w="11906" w:h="16838"/>
      <w:pgMar w:top="2155" w:right="1531" w:bottom="1588" w:left="1588" w:header="0" w:footer="1588" w:gutter="0"/>
      <w:pgBorders>
        <w:top w:val="none" w:sz="0" w:space="0"/>
        <w:left w:val="none" w:sz="0" w:space="0"/>
        <w:bottom w:val="none" w:sz="0" w:space="0"/>
        <w:right w:val="none" w:sz="0" w:space="0"/>
      </w:pgBorders>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Fonts w:ascii="仿宋_GB2312"/>
        <w:sz w:val="28"/>
      </w:rPr>
    </w:pPr>
    <w:r>
      <w:rPr>
        <w:rStyle w:val="6"/>
        <w:rFonts w:hint="eastAsia" w:ascii="仿宋_GB2312"/>
        <w:sz w:val="28"/>
      </w:rPr>
      <w:t>-</w:t>
    </w:r>
    <w:r>
      <w:rPr>
        <w:rFonts w:hint="eastAsia" w:ascii="仿宋_GB2312"/>
        <w:sz w:val="28"/>
        <w:szCs w:val="28"/>
      </w:rPr>
      <w:fldChar w:fldCharType="begin"/>
    </w:r>
    <w:r>
      <w:rPr>
        <w:rStyle w:val="6"/>
        <w:rFonts w:hint="eastAsia" w:ascii="仿宋_GB2312"/>
        <w:sz w:val="28"/>
        <w:szCs w:val="28"/>
      </w:rPr>
      <w:instrText xml:space="preserve"> PAGE </w:instrText>
    </w:r>
    <w:r>
      <w:rPr>
        <w:rFonts w:hint="eastAsia" w:ascii="仿宋_GB2312"/>
        <w:sz w:val="28"/>
        <w:szCs w:val="28"/>
      </w:rPr>
      <w:fldChar w:fldCharType="separate"/>
    </w:r>
    <w:r>
      <w:rPr>
        <w:rStyle w:val="6"/>
        <w:rFonts w:ascii="仿宋_GB2312"/>
        <w:sz w:val="28"/>
        <w:szCs w:val="28"/>
      </w:rPr>
      <w:t>50</w:t>
    </w:r>
    <w:r>
      <w:rPr>
        <w:rFonts w:hint="eastAsia" w:ascii="仿宋_GB2312"/>
        <w:sz w:val="28"/>
        <w:szCs w:val="28"/>
      </w:rPr>
      <w:fldChar w:fldCharType="end"/>
    </w:r>
    <w:r>
      <w:rPr>
        <w:rStyle w:val="6"/>
        <w:rFonts w:hint="eastAsia" w:ascii="仿宋_GB2312"/>
        <w:sz w:val="28"/>
        <w:szCs w:val="28"/>
      </w:rPr>
      <w:t>-</w:t>
    </w:r>
  </w:p>
  <w:p>
    <w:pPr>
      <w:pStyle w:val="3"/>
      <w:ind w:right="360"/>
      <w:jc w:val="right"/>
      <w:rPr>
        <w:rFonts w:hint="eastAsia"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NTUwOWQzNTUwYzhiMWEyNjhkYjBjMDk0MjYxZjAifQ=="/>
  </w:docVars>
  <w:rsids>
    <w:rsidRoot w:val="00000000"/>
    <w:rsid w:val="12F7157D"/>
    <w:rsid w:val="2723358B"/>
    <w:rsid w:val="289B5D70"/>
    <w:rsid w:val="2BEB44EF"/>
    <w:rsid w:val="2D7E2BEB"/>
    <w:rsid w:val="360C2810"/>
    <w:rsid w:val="44113205"/>
    <w:rsid w:val="4D090366"/>
    <w:rsid w:val="524A1B28"/>
    <w:rsid w:val="53F86322"/>
    <w:rsid w:val="5E5212B4"/>
    <w:rsid w:val="65541F08"/>
    <w:rsid w:val="6DF8036A"/>
    <w:rsid w:val="7375150F"/>
    <w:rsid w:val="79DD6C0C"/>
    <w:rsid w:val="7F485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1299</Words>
  <Characters>1480</Characters>
  <Lines>0</Lines>
  <Paragraphs>0</Paragraphs>
  <TotalTime>2</TotalTime>
  <ScaleCrop>false</ScaleCrop>
  <LinksUpToDate>false</LinksUpToDate>
  <CharactersWithSpaces>1546</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2023-08-08T03:01:00Z</dcterms:created>
  <dc:creator>Administrator</dc:creator>
  <cp:lastModifiedBy>阿念</cp:lastModifiedBy>
  <dcterms:modified xsi:type="dcterms:W3CDTF">2025-08-15T03:03:05Z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2ACA309A8B624EBDAD11CC844F379292_12</vt:lpwstr>
  </property>
</Properties>
</file>