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B1F7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bookmarkStart w:id="0" w:name="zhengwen"/>
      <w:bookmarkEnd w:id="0"/>
      <w:bookmarkStart w:id="1" w:name="hongtouend"/>
      <w:bookmarkEnd w:id="1"/>
    </w:p>
    <w:p w14:paraId="19C13E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</w:p>
    <w:p w14:paraId="27F2B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淮北市人民政府办公室</w:t>
      </w:r>
    </w:p>
    <w:p w14:paraId="4160E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关于印发淮北市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肉牛产业高质量发展十条</w:t>
      </w:r>
    </w:p>
    <w:p w14:paraId="7437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政策措施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暂行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）的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通知</w:t>
      </w:r>
    </w:p>
    <w:p w14:paraId="4582EBC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淮政办〔2023〕25号</w:t>
      </w:r>
    </w:p>
    <w:p w14:paraId="487D20A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3B9E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濉溪县、各区人民政府，市政府有关部门，各有关单位：</w:t>
      </w:r>
    </w:p>
    <w:p w14:paraId="290D3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《淮北市肉牛产业高质量发展十条政策措施（暂行）》已经市政府同意，现印发给你们，请结合实际，抓好贯彻落实。</w:t>
      </w:r>
    </w:p>
    <w:p w14:paraId="4B8D0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 w14:paraId="0F961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 w14:paraId="59A59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 w14:paraId="1138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淮北市人民政府办公室</w:t>
      </w:r>
    </w:p>
    <w:p w14:paraId="7A8EB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672" w:rightChars="32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2023年11月2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日</w:t>
      </w:r>
    </w:p>
    <w:p w14:paraId="50665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714" w:rightChars="34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 w14:paraId="031EF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714" w:rightChars="34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 w14:paraId="2D49D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714" w:rightChars="34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 w14:paraId="2B554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714" w:rightChars="34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 w14:paraId="2664D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714" w:rightChars="3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 w14:paraId="00A3E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714" w:rightChars="34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 w14:paraId="6F8D9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淮北市肉牛产业高质量发展十条政策措施</w:t>
      </w:r>
    </w:p>
    <w:p w14:paraId="3B7AB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（暂行）</w:t>
      </w:r>
    </w:p>
    <w:p w14:paraId="69FF712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cs="Times New Roman"/>
        </w:rPr>
      </w:pPr>
    </w:p>
    <w:p w14:paraId="0F1A104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为深入贯彻落实省委省政府关于肉牛产业高质量发展决策部署，助推乡村产业振兴，结合我市实际，每年从市农业高质高效发展资金中安排专项资金2000万元，用于支持肉牛产业发展，特制定如下措施。</w:t>
      </w:r>
    </w:p>
    <w:p w14:paraId="2621335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一、支持肉牛养殖扩容增量。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促进规模养殖，对新建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或改扩建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标准化牛舍面积1000平方米以上、存栏基础母牛50头（含50头）或存栏育肥牛100头（含100头）以上的养殖场，符合动物防疫和环保要求的，对新建或者改扩建部分，每平方米补助50元，补助金额最高不超过50万元。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（责任单位：市农业农村局、市生态环境局、市自然资源和规划局、市乡村振兴局，各县区人民政府）</w:t>
      </w:r>
    </w:p>
    <w:p w14:paraId="18ECAEA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二、加快肉牛良种繁育推广。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支持基础母牛繁育，对存栏基础母牛10头（含10头）以上的养殖场（户），实行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以存栏母牛定补贴主体，以新增犊牛定补贴资金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，对新繁育的犊牛给予每头500元的补贴。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（责任单位：市农业农村局，各县区人民政府）</w:t>
      </w:r>
    </w:p>
    <w:p w14:paraId="051A14F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三、推动肉牛产业提档升级。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凡在本市备案屠宰企业屠宰加工的育肥出栏肉牛，养殖场（户）可凭动物产地检疫合格证明、销售票据等相关凭证，按500元/头的标准申报补贴。对市内备案屠宰企业或肉牛加工企业产值在上一年基础上每增加5000万元，给予20万元的奖励。鼓励肉牛企业创品牌，对当年新认定为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淮优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皖美农品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品牌的，分别一次性给予2万元、5万元奖励；对当年创建成国家、省级名牌的，分别一次性给予20万元、10万元奖励；对当年认定的国家级、省级、市级农业产业化龙头企业、家庭农场、合作社，分别给予一次性50万元、10万元、5万元奖励；对当年获得国家地理标志产品的，一次性奖励10万元。支持使用口子酒糟饲喂肉牛，打造区域公共品牌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（责任单位：市农业农村局、市财政局，各县区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人民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政府）</w:t>
      </w:r>
    </w:p>
    <w:p w14:paraId="36F6D96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四、支持粪污资源产业化发展。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继续实施秸秆产业化支持政策和粮改饲项目。对新引进或改造提升以畜禽粪污为原料的生物质能源企业、有机肥生产企业，按固定资产投资实际完成额30%的比例给予一次性奖励，奖励金额最高不超过100万元。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（责任单位：市农业农村局、市财政局，各县区人民政府）</w:t>
      </w:r>
    </w:p>
    <w:p w14:paraId="0CEC9ED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五、培育肉牛产业特色镇、示范村。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鼓励有条件的镇村，因地制宜发展肉牛养殖，对实现养殖场建设规范化、粪污处理资源化，肉牛年饲养量5000头以上的镇、1000头以上的村，可认定为肉牛产业特色镇和示范村。对当年新增肉牛饲养量达到5000头以上的特色镇和1000头以上的示范村分别给予100万元和20万元的资金奖励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（责任单位：市农业农村局、市生态环境局，各县区人民政府）</w:t>
      </w:r>
    </w:p>
    <w:p w14:paraId="1EE551C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六、鼓励建设标准化公租牛棚。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鼓励有条件的县（区）、镇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涉农街道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利用乡村振兴衔接资金、统筹使用农业项目资金、申报专项债、利用社会资本等方式，建设标准化公租牛棚，优先支持光牧一体的标准化公租牛棚建设。鼓励现有小型养殖户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皖美农品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，对租赁公租牛棚的养殖户，每年给予50%的租金补贴。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（责任单位：市农业农村局、市生态环境局、市自然资源和规划局、市乡村振兴局，各县区人民政府）</w:t>
      </w:r>
    </w:p>
    <w:p w14:paraId="289E08A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七、坚持科技赋能创新驱动。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托市农科院，充分利用国家、省级农业科技部门和高校科技资源，组建技术服务专家团队，开展人才培养、良种繁育、成果转化和疫病防控。探索开展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科技特派员（团）+企业+基地+合作社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服务模式。对促进科技成果转化，符合《安徽省促进科技成果转化实施细则（修订）》（皖政办〔2017〕77号）的，按文件兑现奖励政策。鼓励科技创新，在市级重大专项项目立项中给予优先立项支持。对企业牵头在淮举办大型专业协会或年会的，一次性给予10万元补助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（责任单位：市农业农村局、市科技局）</w:t>
      </w:r>
    </w:p>
    <w:p w14:paraId="4B5DE68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八、搭建开放合作平台。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搭建产业服务平台，支持运用智慧化手段，建立肉牛、饲草交易大市场。鼓励肉牛龙头企业或新型农业经营主体组建肉牛产业化联合体，推行酒糟、秸秆饲料化等节粮养殖模式，为本市养殖主体提供市外架子牛购买、疫病防控、技术指导、产品销售等服务，促进一二三产融合发展。对给市内养殖场（户）（不含牵头组建产业化联合体的养殖企业自身）提供架子牛服务达到1000头以上的产业化联合体，每头给予100元补贴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（责任单位：市农业农村局，各县区人民政府）</w:t>
      </w:r>
    </w:p>
    <w:p w14:paraId="585F484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九、完善财政金融保险政策服务。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支持农业新型经营主体发展肉牛养殖业，对肉牛养殖贷款主体按贷款市场报价利率（LPR）的60%给予贴息。积极探索政府、保险公司、银行、养殖主体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四方联动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的金融扶持政策。推广肉牛养殖特色保险，每头肉牛保额提高至15000元，养殖场（户）自缴保费20%。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（责任单位：市财政局、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市农业农村局、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市地方金融监管局、国家金融监督管理总局淮北监管分局）</w:t>
      </w:r>
    </w:p>
    <w:p w14:paraId="240A8C8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十、支持肉牛产业用地需求。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县（区）要依据国土空间规划，合理布局和预留肉牛产业发展用地空间。鼓励优先使用存量建设用地、存量设施农业用地、未利用地以及其他农用地发展肉牛产业，鼓励通过多种方式盘活使用各类工矿废弃地。肉牛加工等使用国有建设用地时，在确保土地市场公平公正公开的前提下，可将产业主管部门提出的产业类型等要求纳入供地条件，实施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标准地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供地。肉牛养殖、辅助设施用地和饲草种植，可以使用一般耕地和其他农用地，不得占用永久基本农田。对暂时无法明确具体位置的肉牛养殖项目，在乡镇和村庄规划中采取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留白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方式，重点保障肉牛养殖项目落地。对肉牛养殖和辅助设施占用一般耕地的，各县（区）要将该项目纳入各县（区）年度耕地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进出平衡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总体方案，严格落实耕地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进出平衡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（责任单位：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eastAsia="zh-CN"/>
        </w:rPr>
        <w:t>各县区人民政府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，市自然资源和规划局、市农业农村局、市发展改革委）</w:t>
      </w:r>
    </w:p>
    <w:p w14:paraId="2EB9404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本政策补贴资金列入市财政产业扶持政策清单，实行总量控制，申报资金总额超出本年度专项资金总额时，实际兑现资金额度按比例压缩核减。同类政策不得重复奖补。</w:t>
      </w:r>
    </w:p>
    <w:p w14:paraId="2305C4D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具体实施细则由市农业农村局会同有关部门制定。本政策由市农业农村局负责解释，自2024年1月1日起施行，暂定有效期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年。</w:t>
      </w:r>
    </w:p>
    <w:p w14:paraId="3684D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279C8"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5747F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85747F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74B2814E">
    <w:pPr>
      <w:pStyle w:val="8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淮北市人民政府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1971E902"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3CDAD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0B398FE8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淮北市人民政府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DMxZjRkYzdiNmM5ZDNiMTYwMWFjYWYwMWQ1ZTEifQ=="/>
  </w:docVars>
  <w:rsids>
    <w:rsidRoot w:val="00172A27"/>
    <w:rsid w:val="019E71BD"/>
    <w:rsid w:val="03BE7AB1"/>
    <w:rsid w:val="04B679C3"/>
    <w:rsid w:val="05CE14E6"/>
    <w:rsid w:val="05E40728"/>
    <w:rsid w:val="069914E0"/>
    <w:rsid w:val="07051715"/>
    <w:rsid w:val="080F63D8"/>
    <w:rsid w:val="081C7397"/>
    <w:rsid w:val="09341458"/>
    <w:rsid w:val="0B0912D7"/>
    <w:rsid w:val="0EA67BD0"/>
    <w:rsid w:val="152D2DCA"/>
    <w:rsid w:val="162200AD"/>
    <w:rsid w:val="1D102CD1"/>
    <w:rsid w:val="1DEC284C"/>
    <w:rsid w:val="1E6523AC"/>
    <w:rsid w:val="207271D0"/>
    <w:rsid w:val="217A66EA"/>
    <w:rsid w:val="22440422"/>
    <w:rsid w:val="28E676D0"/>
    <w:rsid w:val="2FD70D57"/>
    <w:rsid w:val="31A15F24"/>
    <w:rsid w:val="395347B5"/>
    <w:rsid w:val="39A232A0"/>
    <w:rsid w:val="39D907EC"/>
    <w:rsid w:val="39E745AA"/>
    <w:rsid w:val="3B5A6BBB"/>
    <w:rsid w:val="3BA72A7A"/>
    <w:rsid w:val="3CC50082"/>
    <w:rsid w:val="3D993FA3"/>
    <w:rsid w:val="3EDA13A6"/>
    <w:rsid w:val="40650E7A"/>
    <w:rsid w:val="42F058B7"/>
    <w:rsid w:val="436109F6"/>
    <w:rsid w:val="43ED1C06"/>
    <w:rsid w:val="441A38D4"/>
    <w:rsid w:val="4A246879"/>
    <w:rsid w:val="4BC77339"/>
    <w:rsid w:val="4C9236C5"/>
    <w:rsid w:val="4E79158A"/>
    <w:rsid w:val="505C172E"/>
    <w:rsid w:val="52F46F0B"/>
    <w:rsid w:val="537653F9"/>
    <w:rsid w:val="5377138E"/>
    <w:rsid w:val="53D8014D"/>
    <w:rsid w:val="540D401E"/>
    <w:rsid w:val="55E064E0"/>
    <w:rsid w:val="572C6D10"/>
    <w:rsid w:val="59EE36A9"/>
    <w:rsid w:val="5DC34279"/>
    <w:rsid w:val="608816D1"/>
    <w:rsid w:val="60EF4E7F"/>
    <w:rsid w:val="65637B40"/>
    <w:rsid w:val="659C3AAC"/>
    <w:rsid w:val="665233C1"/>
    <w:rsid w:val="6AD9688B"/>
    <w:rsid w:val="6CF03552"/>
    <w:rsid w:val="6D0E3F22"/>
    <w:rsid w:val="6D5C4EAF"/>
    <w:rsid w:val="6F702D04"/>
    <w:rsid w:val="6F8953A8"/>
    <w:rsid w:val="70DB7702"/>
    <w:rsid w:val="717D7C24"/>
    <w:rsid w:val="72DE6964"/>
    <w:rsid w:val="73B05E0B"/>
    <w:rsid w:val="788956E4"/>
    <w:rsid w:val="7BAF13D5"/>
    <w:rsid w:val="7C5A3120"/>
    <w:rsid w:val="7C9011D9"/>
    <w:rsid w:val="7DC651C5"/>
    <w:rsid w:val="7FC738F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6">
    <w:name w:val="Body Text Indent 2"/>
    <w:basedOn w:val="1"/>
    <w:autoRedefine/>
    <w:unhideWhenUsed/>
    <w:qFormat/>
    <w:uiPriority w:val="0"/>
    <w:pPr>
      <w:spacing w:line="500" w:lineRule="exact"/>
      <w:ind w:firstLine="560" w:firstLineChars="200"/>
      <w:jc w:val="left"/>
    </w:pPr>
    <w:rPr>
      <w:rFonts w:eastAsia="宋体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6">
    <w:name w:val="_Style 2"/>
    <w:basedOn w:val="1"/>
    <w:autoRedefine/>
    <w:qFormat/>
    <w:uiPriority w:val="99"/>
    <w:pPr>
      <w:suppressAutoHyphens/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2458</Words>
  <Characters>2540</Characters>
  <Lines>1</Lines>
  <Paragraphs>1</Paragraphs>
  <TotalTime>0</TotalTime>
  <ScaleCrop>false</ScaleCrop>
  <LinksUpToDate>false</LinksUpToDate>
  <CharactersWithSpaces>2566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风之诺言</cp:lastModifiedBy>
  <cp:lastPrinted>2021-10-26T03:30:00Z</cp:lastPrinted>
  <dcterms:modified xsi:type="dcterms:W3CDTF">2025-04-03T02:41:50Z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DF20F313AD6846598F4D6B062E52FC8C_13</vt:lpwstr>
  </property>
  <property fmtid="{D5CDD505-2E9C-101B-9397-08002B2CF9AE}" pid="4" name="KSOTemplateDocerSaveRecord">
    <vt:lpwstr>eyJoZGlkIjoiMGFjZDMxZjRkYzdiNmM5ZDNiMTYwMWFjYWYwMWQ1ZTEiLCJ1c2VySWQiOiIyNTIzMjIyMjQifQ==</vt:lpwstr>
  </property>
</Properties>
</file>