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6"/>
        <w:kinsoku w:val="0"/>
        <w:overflowPunct w:val="0"/>
        <w:spacing w:line="400" w:lineRule="atLeast"/>
        <w:ind w:left="715" w:firstLine="725"/>
        <w:jc w:val="center"/>
        <w:rPr>
          <w:rFonts w:cs="Times New Roman"/>
          <w:sz w:val="36"/>
          <w:szCs w:val="36"/>
        </w:rPr>
      </w:pPr>
      <w:r>
        <w:rPr>
          <w:rFonts w:cs="Times New Roman"/>
          <w:b/>
          <w:bCs/>
          <w:spacing w:val="18"/>
          <w:w w:val="95"/>
          <w:sz w:val="36"/>
          <w:szCs w:val="36"/>
        </w:rPr>
        <w:t>目     录</w:t>
      </w:r>
    </w:p>
    <w:p>
      <w:pPr>
        <w:pStyle w:val="16"/>
        <w:kinsoku w:val="0"/>
        <w:overflowPunct w:val="0"/>
        <w:spacing w:line="400" w:lineRule="atLeast"/>
        <w:ind w:left="109" w:firstLine="40"/>
        <w:rPr>
          <w:rFonts w:cs="Times New Roman"/>
          <w:sz w:val="2"/>
          <w:szCs w:val="2"/>
        </w:rPr>
      </w:pPr>
    </w:p>
    <w:p>
      <w:pPr>
        <w:pStyle w:val="28"/>
        <w:spacing w:line="360" w:lineRule="auto"/>
        <w:ind w:firstLine="422"/>
        <w:rPr>
          <w:rFonts w:asciiTheme="minorHAnsi" w:hAnsiTheme="minorHAnsi" w:eastAsiaTheme="minorEastAsia" w:cstheme="minorBidi"/>
          <w:b w:val="0"/>
          <w:kern w:val="2"/>
          <w:sz w:val="21"/>
          <w:szCs w:val="22"/>
        </w:rPr>
      </w:pPr>
      <w:r>
        <w:rPr>
          <w:bCs/>
          <w:sz w:val="21"/>
          <w:szCs w:val="21"/>
        </w:rPr>
        <w:fldChar w:fldCharType="begin"/>
      </w:r>
      <w:r>
        <w:rPr>
          <w:bCs/>
          <w:sz w:val="21"/>
          <w:szCs w:val="21"/>
        </w:rPr>
        <w:instrText xml:space="preserve"> TOC \o "1-4" \h \z \u </w:instrText>
      </w:r>
      <w:r>
        <w:rPr>
          <w:bCs/>
          <w:sz w:val="21"/>
          <w:szCs w:val="21"/>
        </w:rPr>
        <w:fldChar w:fldCharType="separate"/>
      </w:r>
      <w:r>
        <w:fldChar w:fldCharType="begin"/>
      </w:r>
      <w:r>
        <w:instrText xml:space="preserve"> HYPERLINK \l "_Toc8032460" </w:instrText>
      </w:r>
      <w:r>
        <w:fldChar w:fldCharType="separate"/>
      </w:r>
      <w:r>
        <w:rPr>
          <w:rStyle w:val="46"/>
          <w:rFonts w:hint="eastAsia"/>
        </w:rPr>
        <w:t>前</w:t>
      </w:r>
      <w:r>
        <w:rPr>
          <w:rStyle w:val="46"/>
        </w:rPr>
        <w:t xml:space="preserve">   </w:t>
      </w:r>
      <w:r>
        <w:rPr>
          <w:rStyle w:val="46"/>
          <w:rFonts w:hint="eastAsia"/>
        </w:rPr>
        <w:t>言</w:t>
      </w:r>
      <w:r>
        <w:tab/>
      </w:r>
      <w:r>
        <w:fldChar w:fldCharType="begin"/>
      </w:r>
      <w:r>
        <w:instrText xml:space="preserve"> PAGEREF _Toc8032460 \h </w:instrText>
      </w:r>
      <w:r>
        <w:fldChar w:fldCharType="separate"/>
      </w:r>
      <w:r>
        <w:t>1</w:t>
      </w:r>
      <w:r>
        <w:fldChar w:fldCharType="end"/>
      </w:r>
      <w:r>
        <w:fldChar w:fldCharType="end"/>
      </w:r>
    </w:p>
    <w:p>
      <w:pPr>
        <w:pStyle w:val="28"/>
        <w:spacing w:line="360" w:lineRule="auto"/>
        <w:ind w:firstLine="562"/>
        <w:rPr>
          <w:rFonts w:asciiTheme="minorHAnsi" w:hAnsiTheme="minorHAnsi" w:eastAsiaTheme="minorEastAsia" w:cstheme="minorBidi"/>
          <w:b w:val="0"/>
          <w:kern w:val="2"/>
          <w:sz w:val="21"/>
          <w:szCs w:val="22"/>
        </w:rPr>
      </w:pPr>
      <w:r>
        <w:fldChar w:fldCharType="begin"/>
      </w:r>
      <w:r>
        <w:instrText xml:space="preserve"> HYPERLINK \l "_Toc8032461" </w:instrText>
      </w:r>
      <w:r>
        <w:fldChar w:fldCharType="separate"/>
      </w:r>
      <w:r>
        <w:rPr>
          <w:rStyle w:val="46"/>
          <w:rFonts w:hint="eastAsia"/>
        </w:rPr>
        <w:t>第一章</w:t>
      </w:r>
      <w:r>
        <w:rPr>
          <w:rStyle w:val="46"/>
        </w:rPr>
        <w:t xml:space="preserve">  </w:t>
      </w:r>
      <w:r>
        <w:rPr>
          <w:rStyle w:val="46"/>
          <w:rFonts w:hint="eastAsia"/>
          <w:spacing w:val="19"/>
        </w:rPr>
        <w:t>背景概况</w:t>
      </w:r>
      <w:r>
        <w:tab/>
      </w:r>
      <w:r>
        <w:fldChar w:fldCharType="begin"/>
      </w:r>
      <w:r>
        <w:instrText xml:space="preserve"> PAGEREF _Toc8032461 \h </w:instrText>
      </w:r>
      <w:r>
        <w:fldChar w:fldCharType="separate"/>
      </w:r>
      <w:r>
        <w:t>3</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"_Toc8032462" </w:instrText>
      </w:r>
      <w:r>
        <w:fldChar w:fldCharType="separate"/>
      </w:r>
      <w:r>
        <w:rPr>
          <w:rStyle w:val="46"/>
        </w:rPr>
        <w:t xml:space="preserve">1.1. </w:t>
      </w:r>
      <w:r>
        <w:rPr>
          <w:rStyle w:val="46"/>
          <w:spacing w:val="52"/>
        </w:rPr>
        <w:t xml:space="preserve"> </w:t>
      </w:r>
      <w:r>
        <w:rPr>
          <w:rStyle w:val="46"/>
          <w:rFonts w:hint="eastAsia"/>
          <w:spacing w:val="16"/>
        </w:rPr>
        <w:t>自然概况</w:t>
      </w:r>
      <w:r>
        <w:tab/>
      </w:r>
      <w:r>
        <w:fldChar w:fldCharType="begin"/>
      </w:r>
      <w:r>
        <w:instrText xml:space="preserve"> PAGEREF _Toc8032462 \h </w:instrText>
      </w:r>
      <w:r>
        <w:fldChar w:fldCharType="separate"/>
      </w:r>
      <w:r>
        <w:t>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"_Toc8032463" </w:instrText>
      </w:r>
      <w:r>
        <w:fldChar w:fldCharType="separate"/>
      </w:r>
      <w:r>
        <w:rPr>
          <w:rStyle w:val="46"/>
        </w:rPr>
        <w:t>1.1.1.</w:t>
      </w:r>
      <w:r>
        <w:rPr>
          <w:rStyle w:val="46"/>
          <w:spacing w:val="54"/>
        </w:rPr>
        <w:t xml:space="preserve"> </w:t>
      </w:r>
      <w:r>
        <w:rPr>
          <w:rStyle w:val="46"/>
          <w:rFonts w:hint="eastAsia"/>
          <w:spacing w:val="16"/>
        </w:rPr>
        <w:t>地理位置</w:t>
      </w:r>
      <w:r>
        <w:tab/>
      </w:r>
      <w:r>
        <w:fldChar w:fldCharType="begin"/>
      </w:r>
      <w:r>
        <w:instrText xml:space="preserve"> PAGEREF _Toc8032463 \h </w:instrText>
      </w:r>
      <w:r>
        <w:fldChar w:fldCharType="separate"/>
      </w:r>
      <w:r>
        <w:t>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"_Toc8032464" </w:instrText>
      </w:r>
      <w:r>
        <w:fldChar w:fldCharType="separate"/>
      </w:r>
      <w:r>
        <w:rPr>
          <w:rStyle w:val="46"/>
        </w:rPr>
        <w:t>1.1.2.</w:t>
      </w:r>
      <w:r>
        <w:rPr>
          <w:rStyle w:val="46"/>
          <w:rFonts w:hint="eastAsia"/>
        </w:rPr>
        <w:t>地形地貌</w:t>
      </w:r>
      <w:r>
        <w:tab/>
      </w:r>
      <w:r>
        <w:fldChar w:fldCharType="begin"/>
      </w:r>
      <w:r>
        <w:instrText xml:space="preserve"> PAGEREF _Toc8032464 \h </w:instrText>
      </w:r>
      <w:r>
        <w:fldChar w:fldCharType="separate"/>
      </w:r>
      <w:r>
        <w:t>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"_Toc8032465" </w:instrText>
      </w:r>
      <w:r>
        <w:fldChar w:fldCharType="separate"/>
      </w:r>
      <w:r>
        <w:rPr>
          <w:rStyle w:val="46"/>
        </w:rPr>
        <w:t xml:space="preserve">1.1.3. </w:t>
      </w:r>
      <w:r>
        <w:rPr>
          <w:rStyle w:val="46"/>
          <w:rFonts w:hint="eastAsia"/>
        </w:rPr>
        <w:t>水文地质</w:t>
      </w:r>
      <w:r>
        <w:tab/>
      </w:r>
      <w:r>
        <w:fldChar w:fldCharType="begin"/>
      </w:r>
      <w:r>
        <w:instrText xml:space="preserve"> PAGEREF _Toc8032465 \h </w:instrText>
      </w:r>
      <w:r>
        <w:fldChar w:fldCharType="separate"/>
      </w:r>
      <w:r>
        <w:t>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"_Toc8032466" </w:instrText>
      </w:r>
      <w:r>
        <w:fldChar w:fldCharType="separate"/>
      </w:r>
      <w:r>
        <w:rPr>
          <w:rStyle w:val="46"/>
        </w:rPr>
        <w:t xml:space="preserve">1.1.4  </w:t>
      </w:r>
      <w:r>
        <w:rPr>
          <w:rStyle w:val="46"/>
          <w:rFonts w:hint="eastAsia"/>
        </w:rPr>
        <w:t>社会经济发展概况</w:t>
      </w:r>
      <w:r>
        <w:tab/>
      </w:r>
      <w:r>
        <w:fldChar w:fldCharType="begin"/>
      </w:r>
      <w:r>
        <w:instrText xml:space="preserve"> PAGEREF _Toc8032466 \h </w:instrText>
      </w:r>
      <w:r>
        <w:fldChar w:fldCharType="separate"/>
      </w:r>
      <w:r>
        <w:t>7</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"_Toc8032467" </w:instrText>
      </w:r>
      <w:r>
        <w:fldChar w:fldCharType="separate"/>
      </w:r>
      <w:r>
        <w:rPr>
          <w:rStyle w:val="46"/>
        </w:rPr>
        <w:t xml:space="preserve">1.2  </w:t>
      </w:r>
      <w:r>
        <w:rPr>
          <w:rStyle w:val="46"/>
          <w:rFonts w:hint="eastAsia"/>
        </w:rPr>
        <w:t>城市总体规划概况</w:t>
      </w:r>
      <w:r>
        <w:tab/>
      </w:r>
      <w:r>
        <w:fldChar w:fldCharType="begin"/>
      </w:r>
      <w:r>
        <w:instrText xml:space="preserve"> PAGEREF _Toc8032467 \h </w:instrText>
      </w:r>
      <w:r>
        <w:fldChar w:fldCharType="separate"/>
      </w:r>
      <w:r>
        <w:t>8</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"_Toc8032468" </w:instrText>
      </w:r>
      <w:r>
        <w:fldChar w:fldCharType="separate"/>
      </w:r>
      <w:r>
        <w:rPr>
          <w:rStyle w:val="46"/>
        </w:rPr>
        <w:t xml:space="preserve">1.2.1 </w:t>
      </w:r>
      <w:r>
        <w:rPr>
          <w:rStyle w:val="46"/>
          <w:rFonts w:hint="eastAsia"/>
        </w:rPr>
        <w:t>淮北市城市总体规划概况</w:t>
      </w:r>
      <w:r>
        <w:tab/>
      </w:r>
      <w:r>
        <w:fldChar w:fldCharType="begin"/>
      </w:r>
      <w:r>
        <w:instrText xml:space="preserve"> PAGEREF _Toc8032468 \h </w:instrText>
      </w:r>
      <w:r>
        <w:fldChar w:fldCharType="separate"/>
      </w:r>
      <w:r>
        <w:t>8</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"_Toc8032469" </w:instrText>
      </w:r>
      <w:r>
        <w:fldChar w:fldCharType="separate"/>
      </w:r>
      <w:r>
        <w:rPr>
          <w:rStyle w:val="46"/>
        </w:rPr>
        <w:t xml:space="preserve">1.2.1.1 </w:t>
      </w:r>
      <w:r>
        <w:rPr>
          <w:rStyle w:val="46"/>
          <w:rFonts w:hint="eastAsia"/>
        </w:rPr>
        <w:t>规划期限</w:t>
      </w:r>
      <w:r>
        <w:tab/>
      </w:r>
      <w:r>
        <w:fldChar w:fldCharType="begin"/>
      </w:r>
      <w:r>
        <w:instrText xml:space="preserve"> PAGEREF _Toc8032469 \h </w:instrText>
      </w:r>
      <w:r>
        <w:fldChar w:fldCharType="separate"/>
      </w:r>
      <w:r>
        <w:t>8</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"_Toc8032470" </w:instrText>
      </w:r>
      <w:r>
        <w:fldChar w:fldCharType="separate"/>
      </w:r>
      <w:r>
        <w:rPr>
          <w:rStyle w:val="46"/>
        </w:rPr>
        <w:t xml:space="preserve">1.2.1.2 </w:t>
      </w:r>
      <w:r>
        <w:rPr>
          <w:rStyle w:val="46"/>
          <w:rFonts w:hint="eastAsia"/>
        </w:rPr>
        <w:t>规划范围</w:t>
      </w:r>
      <w:r>
        <w:tab/>
      </w:r>
      <w:r>
        <w:fldChar w:fldCharType="begin"/>
      </w:r>
      <w:r>
        <w:instrText xml:space="preserve"> PAGEREF _Toc8032470 \h </w:instrText>
      </w:r>
      <w:r>
        <w:fldChar w:fldCharType="separate"/>
      </w:r>
      <w:r>
        <w:t>8</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"_Toc8032471" </w:instrText>
      </w:r>
      <w:r>
        <w:fldChar w:fldCharType="separate"/>
      </w:r>
      <w:r>
        <w:rPr>
          <w:rStyle w:val="46"/>
        </w:rPr>
        <w:t xml:space="preserve">1.2.1.3 </w:t>
      </w:r>
      <w:r>
        <w:rPr>
          <w:rStyle w:val="46"/>
          <w:rFonts w:hint="eastAsia"/>
        </w:rPr>
        <w:t>城市性质和职能</w:t>
      </w:r>
      <w:r>
        <w:tab/>
      </w:r>
      <w:r>
        <w:fldChar w:fldCharType="begin"/>
      </w:r>
      <w:r>
        <w:instrText xml:space="preserve"> PAGEREF _Toc8032471 \h </w:instrText>
      </w:r>
      <w:r>
        <w:fldChar w:fldCharType="separate"/>
      </w:r>
      <w:r>
        <w:t>8</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"_Toc8032472" </w:instrText>
      </w:r>
      <w:r>
        <w:fldChar w:fldCharType="separate"/>
      </w:r>
      <w:r>
        <w:rPr>
          <w:rStyle w:val="46"/>
        </w:rPr>
        <w:t xml:space="preserve">1.2.1.4 </w:t>
      </w:r>
      <w:r>
        <w:rPr>
          <w:rStyle w:val="46"/>
          <w:rFonts w:hint="eastAsia"/>
        </w:rPr>
        <w:t>城市人口规模</w:t>
      </w:r>
      <w:r>
        <w:tab/>
      </w:r>
      <w:r>
        <w:fldChar w:fldCharType="begin"/>
      </w:r>
      <w:r>
        <w:instrText xml:space="preserve"> PAGEREF _Toc8032472 \h </w:instrText>
      </w:r>
      <w:r>
        <w:fldChar w:fldCharType="separate"/>
      </w:r>
      <w:r>
        <w:t>8</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"_Toc8032473" </w:instrText>
      </w:r>
      <w:r>
        <w:fldChar w:fldCharType="separate"/>
      </w:r>
      <w:r>
        <w:rPr>
          <w:rStyle w:val="46"/>
        </w:rPr>
        <w:t xml:space="preserve">1.2.1.5 </w:t>
      </w:r>
      <w:r>
        <w:rPr>
          <w:rStyle w:val="46"/>
          <w:rFonts w:hint="eastAsia"/>
        </w:rPr>
        <w:t>城市建设用地规模</w:t>
      </w:r>
      <w:r>
        <w:tab/>
      </w:r>
      <w:r>
        <w:fldChar w:fldCharType="begin"/>
      </w:r>
      <w:r>
        <w:instrText xml:space="preserve"> PAGEREF _Toc8032473 \h </w:instrText>
      </w:r>
      <w:r>
        <w:fldChar w:fldCharType="separate"/>
      </w:r>
      <w:r>
        <w:t>8</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"_Toc8032474" </w:instrText>
      </w:r>
      <w:r>
        <w:fldChar w:fldCharType="separate"/>
      </w:r>
      <w:r>
        <w:rPr>
          <w:rStyle w:val="46"/>
        </w:rPr>
        <w:t>1.2.1.6</w:t>
      </w:r>
      <w:r>
        <w:rPr>
          <w:rStyle w:val="46"/>
          <w:rFonts w:hint="eastAsia"/>
        </w:rPr>
        <w:t>城区（城市开发边界内）规模</w:t>
      </w:r>
      <w:r>
        <w:tab/>
      </w:r>
      <w:r>
        <w:fldChar w:fldCharType="begin"/>
      </w:r>
      <w:r>
        <w:instrText xml:space="preserve"> PAGEREF _Toc8032474 \h </w:instrText>
      </w:r>
      <w:r>
        <w:fldChar w:fldCharType="separate"/>
      </w:r>
      <w:r>
        <w:t>9</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"_Toc8032475" </w:instrText>
      </w:r>
      <w:r>
        <w:fldChar w:fldCharType="separate"/>
      </w:r>
      <w:r>
        <w:rPr>
          <w:rStyle w:val="46"/>
        </w:rPr>
        <w:t>1.2.1.7</w:t>
      </w:r>
      <w:r>
        <w:rPr>
          <w:rStyle w:val="46"/>
          <w:rFonts w:hint="eastAsia"/>
        </w:rPr>
        <w:t>城区（城市开发边界内）空间发展策略</w:t>
      </w:r>
      <w:r>
        <w:tab/>
      </w:r>
      <w:r>
        <w:fldChar w:fldCharType="begin"/>
      </w:r>
      <w:r>
        <w:instrText xml:space="preserve"> PAGEREF _Toc8032475 \h </w:instrText>
      </w:r>
      <w:r>
        <w:fldChar w:fldCharType="separate"/>
      </w:r>
      <w:r>
        <w:t>9</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"_Toc8032476" </w:instrText>
      </w:r>
      <w:r>
        <w:fldChar w:fldCharType="separate"/>
      </w:r>
      <w:r>
        <w:rPr>
          <w:rStyle w:val="46"/>
        </w:rPr>
        <w:t>1.2.1.8</w:t>
      </w:r>
      <w:r>
        <w:rPr>
          <w:rStyle w:val="46"/>
          <w:rFonts w:hint="eastAsia"/>
        </w:rPr>
        <w:t>城区（城市开发边界内）空间布局结构</w:t>
      </w:r>
      <w:r>
        <w:tab/>
      </w:r>
      <w:r>
        <w:fldChar w:fldCharType="begin"/>
      </w:r>
      <w:r>
        <w:instrText xml:space="preserve"> PAGEREF _Toc8032476 \h </w:instrText>
      </w:r>
      <w:r>
        <w:fldChar w:fldCharType="separate"/>
      </w:r>
      <w:r>
        <w:t>9</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"_Toc8032477" </w:instrText>
      </w:r>
      <w:r>
        <w:fldChar w:fldCharType="separate"/>
      </w:r>
      <w:r>
        <w:rPr>
          <w:rStyle w:val="46"/>
        </w:rPr>
        <w:t>1.2.1.9</w:t>
      </w:r>
      <w:r>
        <w:rPr>
          <w:rStyle w:val="46"/>
          <w:rFonts w:hint="eastAsia"/>
        </w:rPr>
        <w:t>城区（城市开发边界内）用地布局规划</w:t>
      </w:r>
      <w:r>
        <w:tab/>
      </w:r>
      <w:r>
        <w:fldChar w:fldCharType="begin"/>
      </w:r>
      <w:r>
        <w:instrText xml:space="preserve"> PAGEREF _Toc8032477 \h </w:instrText>
      </w:r>
      <w:r>
        <w:fldChar w:fldCharType="separate"/>
      </w:r>
      <w:r>
        <w:t>9</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"_Toc8032478" </w:instrText>
      </w:r>
      <w:r>
        <w:fldChar w:fldCharType="separate"/>
      </w:r>
      <w:r>
        <w:rPr>
          <w:rStyle w:val="46"/>
        </w:rPr>
        <w:t xml:space="preserve">1.2.1.10 </w:t>
      </w:r>
      <w:r>
        <w:rPr>
          <w:rStyle w:val="46"/>
          <w:rFonts w:hint="eastAsia"/>
        </w:rPr>
        <w:t>城市发展职能</w:t>
      </w:r>
      <w:r>
        <w:tab/>
      </w:r>
      <w:r>
        <w:fldChar w:fldCharType="begin"/>
      </w:r>
      <w:r>
        <w:instrText xml:space="preserve"> PAGEREF _Toc8032478 \h </w:instrText>
      </w:r>
      <w:r>
        <w:fldChar w:fldCharType="separate"/>
      </w:r>
      <w:r>
        <w:t>10</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"_Toc8032479" </w:instrText>
      </w:r>
      <w:r>
        <w:fldChar w:fldCharType="separate"/>
      </w:r>
      <w:r>
        <w:rPr>
          <w:rStyle w:val="46"/>
        </w:rPr>
        <w:t xml:space="preserve">1.2.1.11 </w:t>
      </w:r>
      <w:r>
        <w:rPr>
          <w:rStyle w:val="46"/>
          <w:rFonts w:hint="eastAsia"/>
        </w:rPr>
        <w:t>城市发展目标</w:t>
      </w:r>
      <w:r>
        <w:tab/>
      </w:r>
      <w:r>
        <w:fldChar w:fldCharType="begin"/>
      </w:r>
      <w:r>
        <w:instrText xml:space="preserve"> PAGEREF _Toc8032479 \h </w:instrText>
      </w:r>
      <w:r>
        <w:fldChar w:fldCharType="separate"/>
      </w:r>
      <w:r>
        <w:t>10</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"_Toc8032480" </w:instrText>
      </w:r>
      <w:r>
        <w:fldChar w:fldCharType="separate"/>
      </w:r>
      <w:r>
        <w:rPr>
          <w:rStyle w:val="46"/>
        </w:rPr>
        <w:t xml:space="preserve">1.2.2 </w:t>
      </w:r>
      <w:r>
        <w:rPr>
          <w:rStyle w:val="46"/>
          <w:rFonts w:hint="eastAsia"/>
        </w:rPr>
        <w:t>淮北市土地利用总体规划</w:t>
      </w:r>
      <w:r>
        <w:tab/>
      </w:r>
      <w:r>
        <w:fldChar w:fldCharType="begin"/>
      </w:r>
      <w:r>
        <w:instrText xml:space="preserve"> PAGEREF _Toc8032480 \h </w:instrText>
      </w:r>
      <w:r>
        <w:fldChar w:fldCharType="separate"/>
      </w:r>
      <w:r>
        <w:t>10</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"_Toc8032481" </w:instrText>
      </w:r>
      <w:r>
        <w:fldChar w:fldCharType="separate"/>
      </w:r>
      <w:r>
        <w:rPr>
          <w:rStyle w:val="46"/>
        </w:rPr>
        <w:t>1.3</w:t>
      </w:r>
      <w:r>
        <w:rPr>
          <w:rStyle w:val="46"/>
          <w:rFonts w:hint="eastAsia"/>
        </w:rPr>
        <w:t>《淮北市海绵城市专项规划（</w:t>
      </w:r>
      <w:r>
        <w:rPr>
          <w:rStyle w:val="46"/>
        </w:rPr>
        <w:t>2016~2030</w:t>
      </w:r>
      <w:r>
        <w:rPr>
          <w:rStyle w:val="46"/>
          <w:rFonts w:hint="eastAsia"/>
        </w:rPr>
        <w:t>）》简介</w:t>
      </w:r>
      <w:r>
        <w:tab/>
      </w:r>
      <w:r>
        <w:fldChar w:fldCharType="begin"/>
      </w:r>
      <w:r>
        <w:instrText xml:space="preserve"> PAGEREF _Toc8032481 \h </w:instrText>
      </w:r>
      <w:r>
        <w:fldChar w:fldCharType="separate"/>
      </w:r>
      <w:r>
        <w:t>11</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"_Toc8032482" </w:instrText>
      </w:r>
      <w:r>
        <w:fldChar w:fldCharType="separate"/>
      </w:r>
      <w:r>
        <w:rPr>
          <w:rStyle w:val="46"/>
        </w:rPr>
        <w:t>1.3.1</w:t>
      </w:r>
      <w:r>
        <w:rPr>
          <w:rStyle w:val="46"/>
          <w:rFonts w:hint="eastAsia"/>
        </w:rPr>
        <w:t>规划期限</w:t>
      </w:r>
      <w:r>
        <w:tab/>
      </w:r>
      <w:r>
        <w:fldChar w:fldCharType="begin"/>
      </w:r>
      <w:r>
        <w:instrText xml:space="preserve"> PAGEREF _Toc8032482 \h </w:instrText>
      </w:r>
      <w:r>
        <w:fldChar w:fldCharType="separate"/>
      </w:r>
      <w:r>
        <w:t>11</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"_Toc8032483" </w:instrText>
      </w:r>
      <w:r>
        <w:fldChar w:fldCharType="separate"/>
      </w:r>
      <w:r>
        <w:rPr>
          <w:rStyle w:val="46"/>
        </w:rPr>
        <w:t xml:space="preserve">1.3.2  </w:t>
      </w:r>
      <w:r>
        <w:rPr>
          <w:rStyle w:val="46"/>
          <w:rFonts w:hint="eastAsia"/>
        </w:rPr>
        <w:t>规划范围</w:t>
      </w:r>
      <w:r>
        <w:tab/>
      </w:r>
      <w:r>
        <w:fldChar w:fldCharType="begin"/>
      </w:r>
      <w:r>
        <w:instrText xml:space="preserve"> PAGEREF _Toc8032483 \h </w:instrText>
      </w:r>
      <w:r>
        <w:fldChar w:fldCharType="separate"/>
      </w:r>
      <w:r>
        <w:t>11</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"_Toc8032484" </w:instrText>
      </w:r>
      <w:r>
        <w:fldChar w:fldCharType="separate"/>
      </w:r>
      <w:r>
        <w:rPr>
          <w:rStyle w:val="46"/>
        </w:rPr>
        <w:t xml:space="preserve">1.3.2 </w:t>
      </w:r>
      <w:r>
        <w:rPr>
          <w:rStyle w:val="46"/>
          <w:rFonts w:hint="eastAsia"/>
        </w:rPr>
        <w:t>规划目标</w:t>
      </w:r>
      <w:r>
        <w:tab/>
      </w:r>
      <w:r>
        <w:fldChar w:fldCharType="begin"/>
      </w:r>
      <w:r>
        <w:instrText xml:space="preserve"> PAGEREF _Toc8032484 \h </w:instrText>
      </w:r>
      <w:r>
        <w:fldChar w:fldCharType="separate"/>
      </w:r>
      <w:r>
        <w:t>11</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"_Toc8032485" </w:instrText>
      </w:r>
      <w:r>
        <w:fldChar w:fldCharType="separate"/>
      </w:r>
      <w:r>
        <w:rPr>
          <w:rStyle w:val="46"/>
        </w:rPr>
        <w:t xml:space="preserve">1.3.3 </w:t>
      </w:r>
      <w:r>
        <w:rPr>
          <w:rStyle w:val="46"/>
          <w:rFonts w:hint="eastAsia"/>
        </w:rPr>
        <w:t>指标思想</w:t>
      </w:r>
      <w:r>
        <w:tab/>
      </w:r>
      <w:r>
        <w:fldChar w:fldCharType="begin"/>
      </w:r>
      <w:r>
        <w:instrText xml:space="preserve"> PAGEREF _Toc8032485 \h </w:instrText>
      </w:r>
      <w:r>
        <w:fldChar w:fldCharType="separate"/>
      </w:r>
      <w:r>
        <w:t>11</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"_Toc8032486" </w:instrText>
      </w:r>
      <w:r>
        <w:fldChar w:fldCharType="separate"/>
      </w:r>
      <w:r>
        <w:rPr>
          <w:rStyle w:val="46"/>
        </w:rPr>
        <w:t xml:space="preserve">1.3.4  </w:t>
      </w:r>
      <w:r>
        <w:rPr>
          <w:rStyle w:val="46"/>
          <w:rFonts w:hint="eastAsia"/>
        </w:rPr>
        <w:t>海绵城市建设总体目标</w:t>
      </w:r>
      <w:r>
        <w:tab/>
      </w:r>
      <w:r>
        <w:fldChar w:fldCharType="begin"/>
      </w:r>
      <w:r>
        <w:instrText xml:space="preserve"> PAGEREF _Toc8032486 \h </w:instrText>
      </w:r>
      <w:r>
        <w:fldChar w:fldCharType="separate"/>
      </w:r>
      <w:r>
        <w:t>12</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"_Toc8032487" </w:instrText>
      </w:r>
      <w:r>
        <w:fldChar w:fldCharType="separate"/>
      </w:r>
      <w:r>
        <w:rPr>
          <w:rStyle w:val="46"/>
        </w:rPr>
        <w:t xml:space="preserve">1.3.5  </w:t>
      </w:r>
      <w:r>
        <w:rPr>
          <w:rStyle w:val="46"/>
          <w:rFonts w:hint="eastAsia"/>
        </w:rPr>
        <w:t>海绵城市指标体系</w:t>
      </w:r>
      <w:r>
        <w:tab/>
      </w:r>
      <w:r>
        <w:fldChar w:fldCharType="begin"/>
      </w:r>
      <w:r>
        <w:instrText xml:space="preserve"> PAGEREF _Toc8032487 \h </w:instrText>
      </w:r>
      <w:r>
        <w:fldChar w:fldCharType="separate"/>
      </w:r>
      <w:r>
        <w:t>12</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"_Toc8032488" </w:instrText>
      </w:r>
      <w:r>
        <w:fldChar w:fldCharType="separate"/>
      </w:r>
      <w:r>
        <w:rPr>
          <w:rStyle w:val="46"/>
        </w:rPr>
        <w:t>1.4</w:t>
      </w:r>
      <w:r>
        <w:rPr>
          <w:rStyle w:val="46"/>
          <w:rFonts w:hint="eastAsia"/>
        </w:rPr>
        <w:t>《淮北市城市排水（雨水）防涝综合规划》（</w:t>
      </w:r>
      <w:r>
        <w:rPr>
          <w:rStyle w:val="46"/>
        </w:rPr>
        <w:t>2014-2020</w:t>
      </w:r>
      <w:r>
        <w:rPr>
          <w:rStyle w:val="46"/>
          <w:rFonts w:hint="eastAsia"/>
        </w:rPr>
        <w:t>）简介</w:t>
      </w:r>
      <w:r>
        <w:tab/>
      </w:r>
      <w:r>
        <w:fldChar w:fldCharType="begin"/>
      </w:r>
      <w:r>
        <w:instrText xml:space="preserve"> PAGEREF _Toc8032488 \h </w:instrText>
      </w:r>
      <w:r>
        <w:fldChar w:fldCharType="separate"/>
      </w:r>
      <w:r>
        <w:t>12</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"_Toc8032489" </w:instrText>
      </w:r>
      <w:r>
        <w:fldChar w:fldCharType="separate"/>
      </w:r>
      <w:r>
        <w:rPr>
          <w:rStyle w:val="46"/>
        </w:rPr>
        <w:t xml:space="preserve">1.4.1 </w:t>
      </w:r>
      <w:r>
        <w:rPr>
          <w:rStyle w:val="46"/>
          <w:rFonts w:hint="eastAsia"/>
        </w:rPr>
        <w:t>规划范围</w:t>
      </w:r>
      <w:r>
        <w:tab/>
      </w:r>
      <w:r>
        <w:fldChar w:fldCharType="begin"/>
      </w:r>
      <w:r>
        <w:instrText xml:space="preserve"> PAGEREF _Toc8032489 \h </w:instrText>
      </w:r>
      <w:r>
        <w:fldChar w:fldCharType="separate"/>
      </w:r>
      <w:r>
        <w:t>12</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"_Toc8032490" </w:instrText>
      </w:r>
      <w:r>
        <w:fldChar w:fldCharType="separate"/>
      </w:r>
      <w:r>
        <w:rPr>
          <w:rStyle w:val="46"/>
        </w:rPr>
        <w:t xml:space="preserve">1.4.2 </w:t>
      </w:r>
      <w:r>
        <w:rPr>
          <w:rStyle w:val="46"/>
          <w:rFonts w:hint="eastAsia"/>
        </w:rPr>
        <w:t>规划期限</w:t>
      </w:r>
      <w:r>
        <w:tab/>
      </w:r>
      <w:r>
        <w:fldChar w:fldCharType="begin"/>
      </w:r>
      <w:r>
        <w:instrText xml:space="preserve"> PAGEREF _Toc8032490 \h </w:instrText>
      </w:r>
      <w:r>
        <w:fldChar w:fldCharType="separate"/>
      </w:r>
      <w:r>
        <w:t>13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"_Toc8032491" </w:instrText>
      </w:r>
      <w:r>
        <w:fldChar w:fldCharType="separate"/>
      </w:r>
      <w:r>
        <w:rPr>
          <w:rStyle w:val="46"/>
        </w:rPr>
        <w:t>1.4.3</w:t>
      </w:r>
      <w:r>
        <w:rPr>
          <w:rStyle w:val="46"/>
          <w:rFonts w:hint="eastAsia"/>
        </w:rPr>
        <w:t>规划标准</w:t>
      </w:r>
      <w:r>
        <w:tab/>
      </w:r>
      <w:r>
        <w:fldChar w:fldCharType="begin"/>
      </w:r>
      <w:r>
        <w:instrText xml:space="preserve"> PAGEREF _Toc8032491 \h </w:instrText>
      </w:r>
      <w:r>
        <w:fldChar w:fldCharType="separate"/>
      </w:r>
      <w:r>
        <w:t>13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"_Toc8032492" </w:instrText>
      </w:r>
      <w:r>
        <w:fldChar w:fldCharType="separate"/>
      </w:r>
      <w:r>
        <w:rPr>
          <w:rStyle w:val="46"/>
        </w:rPr>
        <w:t>1.4.4</w:t>
      </w:r>
      <w:r>
        <w:rPr>
          <w:rStyle w:val="46"/>
          <w:rFonts w:hint="eastAsia"/>
        </w:rPr>
        <w:t>城市雨水径流控制</w:t>
      </w:r>
      <w:r>
        <w:tab/>
      </w:r>
      <w:r>
        <w:fldChar w:fldCharType="begin"/>
      </w:r>
      <w:r>
        <w:instrText xml:space="preserve"> PAGEREF _Toc8032492 \h </w:instrText>
      </w:r>
      <w:r>
        <w:fldChar w:fldCharType="separate"/>
      </w:r>
      <w:r>
        <w:t>13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"_Toc8032493" </w:instrText>
      </w:r>
      <w:r>
        <w:fldChar w:fldCharType="separate"/>
      </w:r>
      <w:r>
        <w:rPr>
          <w:rStyle w:val="46"/>
        </w:rPr>
        <w:t>1.4.5</w:t>
      </w:r>
      <w:r>
        <w:rPr>
          <w:rStyle w:val="46"/>
          <w:rFonts w:hint="eastAsia"/>
        </w:rPr>
        <w:t>城市排水（雨水）管网系统规划</w:t>
      </w:r>
      <w:r>
        <w:tab/>
      </w:r>
      <w:r>
        <w:fldChar w:fldCharType="begin"/>
      </w:r>
      <w:r>
        <w:instrText xml:space="preserve"> PAGEREF _Toc8032493 \h </w:instrText>
      </w:r>
      <w:r>
        <w:fldChar w:fldCharType="separate"/>
      </w:r>
      <w:r>
        <w:t>13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"_Toc8032494" </w:instrText>
      </w:r>
      <w:r>
        <w:fldChar w:fldCharType="separate"/>
      </w:r>
      <w:r>
        <w:rPr>
          <w:rStyle w:val="46"/>
        </w:rPr>
        <w:t>1.4.6</w:t>
      </w:r>
      <w:r>
        <w:rPr>
          <w:rStyle w:val="46"/>
          <w:rFonts w:hint="eastAsia"/>
        </w:rPr>
        <w:t>城市防涝系统规划</w:t>
      </w:r>
      <w:r>
        <w:tab/>
      </w:r>
      <w:r>
        <w:fldChar w:fldCharType="begin"/>
      </w:r>
      <w:r>
        <w:instrText xml:space="preserve"> PAGEREF _Toc8032494 \h </w:instrText>
      </w:r>
      <w:r>
        <w:fldChar w:fldCharType="separate"/>
      </w:r>
      <w:r>
        <w:t>13</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"_Toc8032495" </w:instrText>
      </w:r>
      <w:r>
        <w:fldChar w:fldCharType="separate"/>
      </w:r>
      <w:r>
        <w:rPr>
          <w:rStyle w:val="46"/>
        </w:rPr>
        <w:t xml:space="preserve">1.5  </w:t>
      </w:r>
      <w:r>
        <w:rPr>
          <w:rStyle w:val="46"/>
          <w:rFonts w:hint="eastAsia"/>
        </w:rPr>
        <w:t>《淮北市城市绿地系统专项规划（修编）</w:t>
      </w:r>
      <w:r>
        <w:rPr>
          <w:rStyle w:val="46"/>
        </w:rPr>
        <w:t>2012-2020</w:t>
      </w:r>
      <w:r>
        <w:rPr>
          <w:rStyle w:val="46"/>
          <w:rFonts w:hint="eastAsia"/>
        </w:rPr>
        <w:t>》</w:t>
      </w:r>
      <w:r>
        <w:tab/>
      </w:r>
      <w:r>
        <w:fldChar w:fldCharType="begin"/>
      </w:r>
      <w:r>
        <w:instrText xml:space="preserve"> PAGEREF _Toc8032495 \h </w:instrText>
      </w:r>
      <w:r>
        <w:fldChar w:fldCharType="separate"/>
      </w:r>
      <w:r>
        <w:t>13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"_Toc8032496" </w:instrText>
      </w:r>
      <w:r>
        <w:fldChar w:fldCharType="separate"/>
      </w:r>
      <w:r>
        <w:rPr>
          <w:rStyle w:val="46"/>
        </w:rPr>
        <w:t xml:space="preserve">1.5.1 </w:t>
      </w:r>
      <w:r>
        <w:rPr>
          <w:rStyle w:val="46"/>
          <w:rFonts w:hint="eastAsia"/>
        </w:rPr>
        <w:t>规划目标</w:t>
      </w:r>
      <w:r>
        <w:tab/>
      </w:r>
      <w:r>
        <w:fldChar w:fldCharType="begin"/>
      </w:r>
      <w:r>
        <w:instrText xml:space="preserve"> PAGEREF _Toc8032496 \h </w:instrText>
      </w:r>
      <w:r>
        <w:fldChar w:fldCharType="separate"/>
      </w:r>
      <w:r>
        <w:t>13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"_Toc8032497" </w:instrText>
      </w:r>
      <w:r>
        <w:fldChar w:fldCharType="separate"/>
      </w:r>
      <w:r>
        <w:rPr>
          <w:rStyle w:val="46"/>
        </w:rPr>
        <w:t xml:space="preserve">1.5.2 </w:t>
      </w:r>
      <w:r>
        <w:rPr>
          <w:rStyle w:val="46"/>
          <w:rFonts w:hint="eastAsia"/>
        </w:rPr>
        <w:t>规划指标</w:t>
      </w:r>
      <w:r>
        <w:tab/>
      </w:r>
      <w:r>
        <w:fldChar w:fldCharType="begin"/>
      </w:r>
      <w:r>
        <w:instrText xml:space="preserve"> PAGEREF _Toc8032497 \h </w:instrText>
      </w:r>
      <w:r>
        <w:fldChar w:fldCharType="separate"/>
      </w:r>
      <w:r>
        <w:t>13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"_Toc8032498" </w:instrText>
      </w:r>
      <w:r>
        <w:fldChar w:fldCharType="separate"/>
      </w:r>
      <w:r>
        <w:rPr>
          <w:rStyle w:val="46"/>
        </w:rPr>
        <w:t xml:space="preserve">1.5.3 </w:t>
      </w:r>
      <w:r>
        <w:rPr>
          <w:rStyle w:val="46"/>
          <w:rFonts w:hint="eastAsia"/>
        </w:rPr>
        <w:t>市域绿地系统结构</w:t>
      </w:r>
      <w:r>
        <w:tab/>
      </w:r>
      <w:r>
        <w:fldChar w:fldCharType="begin"/>
      </w:r>
      <w:r>
        <w:instrText xml:space="preserve"> PAGEREF _Toc8032498 \h </w:instrText>
      </w:r>
      <w:r>
        <w:fldChar w:fldCharType="separate"/>
      </w:r>
      <w:r>
        <w:t>14</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"_Toc8032499" </w:instrText>
      </w:r>
      <w:r>
        <w:fldChar w:fldCharType="separate"/>
      </w:r>
      <w:r>
        <w:rPr>
          <w:rStyle w:val="46"/>
        </w:rPr>
        <w:t xml:space="preserve">1.5.4 </w:t>
      </w:r>
      <w:r>
        <w:rPr>
          <w:rStyle w:val="46"/>
          <w:rFonts w:hint="eastAsia"/>
        </w:rPr>
        <w:t>市域绿地系统布局</w:t>
      </w:r>
      <w:r>
        <w:tab/>
      </w:r>
      <w:r>
        <w:fldChar w:fldCharType="begin"/>
      </w:r>
      <w:r>
        <w:instrText xml:space="preserve"> PAGEREF _Toc8032499 \h </w:instrText>
      </w:r>
      <w:r>
        <w:fldChar w:fldCharType="separate"/>
      </w:r>
      <w:r>
        <w:t>14</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"_Toc8032500" </w:instrText>
      </w:r>
      <w:r>
        <w:fldChar w:fldCharType="separate"/>
      </w:r>
      <w:r>
        <w:rPr>
          <w:rStyle w:val="46"/>
        </w:rPr>
        <w:t xml:space="preserve">1.6  </w:t>
      </w:r>
      <w:r>
        <w:rPr>
          <w:rStyle w:val="46"/>
          <w:rFonts w:hint="eastAsia"/>
        </w:rPr>
        <w:t>《淮北市水资源综合规划</w:t>
      </w:r>
      <w:r>
        <w:rPr>
          <w:rStyle w:val="46"/>
        </w:rPr>
        <w:t>2004-2020</w:t>
      </w:r>
      <w:r>
        <w:rPr>
          <w:rStyle w:val="46"/>
          <w:rFonts w:hint="eastAsia"/>
        </w:rPr>
        <w:t>》</w:t>
      </w:r>
      <w:r>
        <w:tab/>
      </w:r>
      <w:r>
        <w:fldChar w:fldCharType="begin"/>
      </w:r>
      <w:r>
        <w:instrText xml:space="preserve"> PAGEREF _Toc8032500 \h </w:instrText>
      </w:r>
      <w:r>
        <w:fldChar w:fldCharType="separate"/>
      </w:r>
      <w:r>
        <w:t>14</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"_Toc8032501" </w:instrText>
      </w:r>
      <w:r>
        <w:fldChar w:fldCharType="separate"/>
      </w:r>
      <w:r>
        <w:rPr>
          <w:rStyle w:val="46"/>
        </w:rPr>
        <w:t>1.6.1</w:t>
      </w:r>
      <w:r>
        <w:rPr>
          <w:rStyle w:val="46"/>
          <w:rFonts w:hint="eastAsia"/>
        </w:rPr>
        <w:t>水资源现状</w:t>
      </w:r>
      <w:r>
        <w:tab/>
      </w:r>
      <w:r>
        <w:fldChar w:fldCharType="begin"/>
      </w:r>
      <w:r>
        <w:instrText xml:space="preserve"> PAGEREF _Toc8032501 \h </w:instrText>
      </w:r>
      <w:r>
        <w:fldChar w:fldCharType="separate"/>
      </w:r>
      <w:r>
        <w:t>14</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"_Toc8032502" </w:instrText>
      </w:r>
      <w:r>
        <w:fldChar w:fldCharType="separate"/>
      </w:r>
      <w:r>
        <w:rPr>
          <w:rStyle w:val="46"/>
        </w:rPr>
        <w:t>1.6.2</w:t>
      </w:r>
      <w:r>
        <w:rPr>
          <w:rStyle w:val="46"/>
          <w:rFonts w:hint="eastAsia"/>
        </w:rPr>
        <w:t>供水预测</w:t>
      </w:r>
      <w:r>
        <w:tab/>
      </w:r>
      <w:r>
        <w:fldChar w:fldCharType="begin"/>
      </w:r>
      <w:r>
        <w:instrText xml:space="preserve"> PAGEREF _Toc8032502 \h </w:instrText>
      </w:r>
      <w:r>
        <w:fldChar w:fldCharType="separate"/>
      </w:r>
      <w:r>
        <w:t>15</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"_Toc8032503" </w:instrText>
      </w:r>
      <w:r>
        <w:fldChar w:fldCharType="separate"/>
      </w:r>
      <w:r>
        <w:rPr>
          <w:rStyle w:val="46"/>
        </w:rPr>
        <w:t xml:space="preserve">1.7  </w:t>
      </w:r>
      <w:r>
        <w:rPr>
          <w:rStyle w:val="46"/>
          <w:rFonts w:hint="eastAsia"/>
        </w:rPr>
        <w:t>《淮北市城市河道综合整治工程可行性研究报告》</w:t>
      </w:r>
      <w:r>
        <w:tab/>
      </w:r>
      <w:r>
        <w:fldChar w:fldCharType="begin"/>
      </w:r>
      <w:r>
        <w:instrText xml:space="preserve"> PAGEREF _Toc8032503 \h </w:instrText>
      </w:r>
      <w:r>
        <w:fldChar w:fldCharType="separate"/>
      </w:r>
      <w:r>
        <w:t>16</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"_Toc8032504" </w:instrText>
      </w:r>
      <w:r>
        <w:fldChar w:fldCharType="separate"/>
      </w:r>
      <w:r>
        <w:rPr>
          <w:rStyle w:val="46"/>
        </w:rPr>
        <w:t>1.7.1</w:t>
      </w:r>
      <w:r>
        <w:rPr>
          <w:rStyle w:val="46"/>
          <w:rFonts w:hint="eastAsia"/>
        </w:rPr>
        <w:t>工程目标</w:t>
      </w:r>
      <w:r>
        <w:tab/>
      </w:r>
      <w:r>
        <w:fldChar w:fldCharType="begin"/>
      </w:r>
      <w:r>
        <w:instrText xml:space="preserve"> PAGEREF _Toc8032504 \h </w:instrText>
      </w:r>
      <w:r>
        <w:fldChar w:fldCharType="separate"/>
      </w:r>
      <w:r>
        <w:t>16</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"_Toc8032505" </w:instrText>
      </w:r>
      <w:r>
        <w:fldChar w:fldCharType="separate"/>
      </w:r>
      <w:r>
        <w:rPr>
          <w:rStyle w:val="46"/>
        </w:rPr>
        <w:t>1.7.2</w:t>
      </w:r>
      <w:r>
        <w:rPr>
          <w:rStyle w:val="46"/>
          <w:rFonts w:hint="eastAsia"/>
        </w:rPr>
        <w:t>工程范围</w:t>
      </w:r>
      <w:r>
        <w:tab/>
      </w:r>
      <w:r>
        <w:fldChar w:fldCharType="begin"/>
      </w:r>
      <w:r>
        <w:instrText xml:space="preserve"> PAGEREF _Toc8032505 \h </w:instrText>
      </w:r>
      <w:r>
        <w:fldChar w:fldCharType="separate"/>
      </w:r>
      <w:r>
        <w:t>16</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"_Toc8032506" </w:instrText>
      </w:r>
      <w:r>
        <w:fldChar w:fldCharType="separate"/>
      </w:r>
      <w:r>
        <w:rPr>
          <w:rStyle w:val="46"/>
        </w:rPr>
        <w:t>1.7.3</w:t>
      </w:r>
      <w:r>
        <w:rPr>
          <w:rStyle w:val="46"/>
          <w:rFonts w:hint="eastAsia"/>
        </w:rPr>
        <w:t>投资估算</w:t>
      </w:r>
      <w:r>
        <w:tab/>
      </w:r>
      <w:r>
        <w:fldChar w:fldCharType="begin"/>
      </w:r>
      <w:r>
        <w:instrText xml:space="preserve"> PAGEREF _Toc8032506 \h </w:instrText>
      </w:r>
      <w:r>
        <w:fldChar w:fldCharType="separate"/>
      </w:r>
      <w:r>
        <w:t>17</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"_Toc8032507" </w:instrText>
      </w:r>
      <w:r>
        <w:fldChar w:fldCharType="separate"/>
      </w:r>
      <w:r>
        <w:rPr>
          <w:rStyle w:val="46"/>
        </w:rPr>
        <w:t>1.7.4</w:t>
      </w:r>
      <w:r>
        <w:rPr>
          <w:rStyle w:val="46"/>
          <w:rFonts w:hint="eastAsia"/>
        </w:rPr>
        <w:t>项目进展</w:t>
      </w:r>
      <w:r>
        <w:tab/>
      </w:r>
      <w:r>
        <w:fldChar w:fldCharType="begin"/>
      </w:r>
      <w:r>
        <w:instrText xml:space="preserve"> PAGEREF _Toc8032507 \h </w:instrText>
      </w:r>
      <w:r>
        <w:fldChar w:fldCharType="separate"/>
      </w:r>
      <w:r>
        <w:t>17</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"_Toc8032508" </w:instrText>
      </w:r>
      <w:r>
        <w:fldChar w:fldCharType="separate"/>
      </w:r>
      <w:r>
        <w:rPr>
          <w:rStyle w:val="46"/>
        </w:rPr>
        <w:t xml:space="preserve">1.8  </w:t>
      </w:r>
      <w:r>
        <w:rPr>
          <w:rStyle w:val="46"/>
          <w:rFonts w:hint="eastAsia"/>
        </w:rPr>
        <w:t>淮北市雨污分流改造工程</w:t>
      </w:r>
      <w:r>
        <w:tab/>
      </w:r>
      <w:r>
        <w:fldChar w:fldCharType="begin"/>
      </w:r>
      <w:r>
        <w:instrText xml:space="preserve"> PAGEREF _Toc8032508 \h </w:instrText>
      </w:r>
      <w:r>
        <w:fldChar w:fldCharType="separate"/>
      </w:r>
      <w:r>
        <w:t>17</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"_Toc8032509" </w:instrText>
      </w:r>
      <w:r>
        <w:fldChar w:fldCharType="separate"/>
      </w:r>
      <w:r>
        <w:rPr>
          <w:rStyle w:val="46"/>
        </w:rPr>
        <w:t xml:space="preserve">1.9  </w:t>
      </w:r>
      <w:r>
        <w:rPr>
          <w:rStyle w:val="46"/>
          <w:rFonts w:hint="eastAsia"/>
        </w:rPr>
        <w:t>淮北市积涝点情况简介</w:t>
      </w:r>
      <w:r>
        <w:tab/>
      </w:r>
      <w:r>
        <w:fldChar w:fldCharType="begin"/>
      </w:r>
      <w:r>
        <w:instrText xml:space="preserve"> PAGEREF _Toc8032509 \h </w:instrText>
      </w:r>
      <w:r>
        <w:fldChar w:fldCharType="separate"/>
      </w:r>
      <w:r>
        <w:t>17</w:t>
      </w:r>
      <w:r>
        <w:fldChar w:fldCharType="end"/>
      </w:r>
      <w:r>
        <w:fldChar w:fldCharType="end"/>
      </w:r>
    </w:p>
    <w:p>
      <w:pPr>
        <w:pStyle w:val="28"/>
        <w:spacing w:line="360" w:lineRule="auto"/>
        <w:ind w:firstLine="562"/>
        <w:rPr>
          <w:rFonts w:asciiTheme="minorHAnsi" w:hAnsiTheme="minorHAnsi" w:eastAsiaTheme="minorEastAsia" w:cstheme="minorBidi"/>
          <w:b w:val="0"/>
          <w:kern w:val="2"/>
          <w:sz w:val="21"/>
          <w:szCs w:val="22"/>
        </w:rPr>
      </w:pPr>
      <w:r>
        <w:fldChar w:fldCharType="begin"/>
      </w:r>
      <w:r>
        <w:instrText xml:space="preserve"> HYPERLINK \l "_Toc8032510" </w:instrText>
      </w:r>
      <w:r>
        <w:fldChar w:fldCharType="separate"/>
      </w:r>
      <w:r>
        <w:rPr>
          <w:rStyle w:val="46"/>
          <w:rFonts w:hint="eastAsia"/>
          <w:spacing w:val="8"/>
        </w:rPr>
        <w:t>第二章</w:t>
      </w:r>
      <w:r>
        <w:rPr>
          <w:rStyle w:val="46"/>
          <w:spacing w:val="8"/>
        </w:rPr>
        <w:t xml:space="preserve">  </w:t>
      </w:r>
      <w:r>
        <w:rPr>
          <w:rStyle w:val="46"/>
          <w:rFonts w:hint="eastAsia"/>
        </w:rPr>
        <w:t>城市现状分析</w:t>
      </w:r>
      <w:r>
        <w:tab/>
      </w:r>
      <w:r>
        <w:fldChar w:fldCharType="begin"/>
      </w:r>
      <w:r>
        <w:instrText xml:space="preserve"> PAGEREF _Toc8032510 \h </w:instrText>
      </w:r>
      <w:r>
        <w:fldChar w:fldCharType="separate"/>
      </w:r>
      <w:r>
        <w:t>19</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"_Toc8032511" </w:instrText>
      </w:r>
      <w:r>
        <w:fldChar w:fldCharType="separate"/>
      </w:r>
      <w:r>
        <w:rPr>
          <w:rStyle w:val="46"/>
        </w:rPr>
        <w:t>2.1</w:t>
      </w:r>
      <w:r>
        <w:rPr>
          <w:rStyle w:val="46"/>
          <w:rFonts w:hint="eastAsia"/>
        </w:rPr>
        <w:t>水资源概况及开发利用现状</w:t>
      </w:r>
      <w:r>
        <w:tab/>
      </w:r>
      <w:r>
        <w:fldChar w:fldCharType="begin"/>
      </w:r>
      <w:r>
        <w:instrText xml:space="preserve"> PAGEREF _Toc8032511 \h </w:instrText>
      </w:r>
      <w:r>
        <w:fldChar w:fldCharType="separate"/>
      </w:r>
      <w:r>
        <w:t>19</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"_Toc8032512" </w:instrText>
      </w:r>
      <w:r>
        <w:fldChar w:fldCharType="separate"/>
      </w:r>
      <w:r>
        <w:rPr>
          <w:rStyle w:val="46"/>
        </w:rPr>
        <w:t>2.2</w:t>
      </w:r>
      <w:r>
        <w:rPr>
          <w:rStyle w:val="46"/>
          <w:rFonts w:hint="eastAsia"/>
        </w:rPr>
        <w:t>水环境质量概况</w:t>
      </w:r>
      <w:r>
        <w:tab/>
      </w:r>
      <w:r>
        <w:fldChar w:fldCharType="begin"/>
      </w:r>
      <w:r>
        <w:instrText xml:space="preserve"> PAGEREF _Toc8032512 \h </w:instrText>
      </w:r>
      <w:r>
        <w:fldChar w:fldCharType="separate"/>
      </w:r>
      <w:r>
        <w:t>21</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"_Toc8032513" </w:instrText>
      </w:r>
      <w:r>
        <w:fldChar w:fldCharType="separate"/>
      </w:r>
      <w:r>
        <w:rPr>
          <w:rStyle w:val="46"/>
        </w:rPr>
        <w:t>2.3</w:t>
      </w:r>
      <w:r>
        <w:rPr>
          <w:rStyle w:val="46"/>
          <w:rFonts w:hint="eastAsia"/>
        </w:rPr>
        <w:t>城市给水现状及规划概况</w:t>
      </w:r>
      <w:r>
        <w:tab/>
      </w:r>
      <w:r>
        <w:fldChar w:fldCharType="begin"/>
      </w:r>
      <w:r>
        <w:instrText xml:space="preserve"> PAGEREF _Toc8032513 \h </w:instrText>
      </w:r>
      <w:r>
        <w:fldChar w:fldCharType="separate"/>
      </w:r>
      <w:r>
        <w:t>21</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"_Toc8032514" </w:instrText>
      </w:r>
      <w:r>
        <w:fldChar w:fldCharType="separate"/>
      </w:r>
      <w:r>
        <w:rPr>
          <w:rStyle w:val="46"/>
        </w:rPr>
        <w:t xml:space="preserve">2.3.1  </w:t>
      </w:r>
      <w:r>
        <w:rPr>
          <w:rStyle w:val="46"/>
          <w:rFonts w:hint="eastAsia"/>
        </w:rPr>
        <w:t>城市供水事业发展史</w:t>
      </w:r>
      <w:r>
        <w:tab/>
      </w:r>
      <w:r>
        <w:fldChar w:fldCharType="begin"/>
      </w:r>
      <w:r>
        <w:instrText xml:space="preserve"> PAGEREF _Toc8032514 \h </w:instrText>
      </w:r>
      <w:r>
        <w:fldChar w:fldCharType="separate"/>
      </w:r>
      <w:r>
        <w:t>21</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"_Toc8032515" </w:instrText>
      </w:r>
      <w:r>
        <w:fldChar w:fldCharType="separate"/>
      </w:r>
      <w:r>
        <w:rPr>
          <w:rStyle w:val="46"/>
        </w:rPr>
        <w:t xml:space="preserve">2.3.2 </w:t>
      </w:r>
      <w:r>
        <w:rPr>
          <w:rStyle w:val="46"/>
          <w:rFonts w:hint="eastAsia"/>
        </w:rPr>
        <w:t>现状泵房及水厂（水池）情况</w:t>
      </w:r>
      <w:r>
        <w:tab/>
      </w:r>
      <w:r>
        <w:fldChar w:fldCharType="begin"/>
      </w:r>
      <w:r>
        <w:instrText xml:space="preserve"> PAGEREF _Toc8032515 \h </w:instrText>
      </w:r>
      <w:r>
        <w:fldChar w:fldCharType="separate"/>
      </w:r>
      <w:r>
        <w:t>22</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"_Toc8032516" </w:instrText>
      </w:r>
      <w:r>
        <w:fldChar w:fldCharType="separate"/>
      </w:r>
      <w:r>
        <w:rPr>
          <w:rStyle w:val="46"/>
        </w:rPr>
        <w:t xml:space="preserve">2.3.3 </w:t>
      </w:r>
      <w:r>
        <w:rPr>
          <w:rStyle w:val="46"/>
          <w:rFonts w:hint="eastAsia"/>
        </w:rPr>
        <w:t>供水水质情况</w:t>
      </w:r>
      <w:r>
        <w:tab/>
      </w:r>
      <w:r>
        <w:fldChar w:fldCharType="begin"/>
      </w:r>
      <w:r>
        <w:instrText xml:space="preserve"> PAGEREF _Toc8032516 \h </w:instrText>
      </w:r>
      <w:r>
        <w:fldChar w:fldCharType="separate"/>
      </w:r>
      <w:r>
        <w:t>24</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"_Toc8032517" </w:instrText>
      </w:r>
      <w:r>
        <w:fldChar w:fldCharType="separate"/>
      </w:r>
      <w:r>
        <w:rPr>
          <w:rStyle w:val="46"/>
        </w:rPr>
        <w:t xml:space="preserve">2.3.4  </w:t>
      </w:r>
      <w:r>
        <w:rPr>
          <w:rStyle w:val="46"/>
          <w:rFonts w:hint="eastAsia"/>
        </w:rPr>
        <w:t>自备水源情况</w:t>
      </w:r>
      <w:r>
        <w:tab/>
      </w:r>
      <w:r>
        <w:fldChar w:fldCharType="begin"/>
      </w:r>
      <w:r>
        <w:instrText xml:space="preserve"> PAGEREF _Toc8032517 \h </w:instrText>
      </w:r>
      <w:r>
        <w:fldChar w:fldCharType="separate"/>
      </w:r>
      <w:r>
        <w:t>25</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"_Toc8032518" </w:instrText>
      </w:r>
      <w:r>
        <w:fldChar w:fldCharType="separate"/>
      </w:r>
      <w:r>
        <w:rPr>
          <w:rStyle w:val="46"/>
        </w:rPr>
        <w:t xml:space="preserve">2.3.5 </w:t>
      </w:r>
      <w:r>
        <w:rPr>
          <w:rStyle w:val="46"/>
          <w:rFonts w:hint="eastAsia"/>
        </w:rPr>
        <w:t>现行水价情况</w:t>
      </w:r>
      <w:r>
        <w:tab/>
      </w:r>
      <w:r>
        <w:fldChar w:fldCharType="begin"/>
      </w:r>
      <w:r>
        <w:instrText xml:space="preserve"> PAGEREF _Toc8032518 \h </w:instrText>
      </w:r>
      <w:r>
        <w:fldChar w:fldCharType="separate"/>
      </w:r>
      <w:r>
        <w:t>25</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"_Toc8032519" </w:instrText>
      </w:r>
      <w:r>
        <w:fldChar w:fldCharType="separate"/>
      </w:r>
      <w:r>
        <w:rPr>
          <w:rStyle w:val="46"/>
        </w:rPr>
        <w:t xml:space="preserve">2.3.6 </w:t>
      </w:r>
      <w:r>
        <w:rPr>
          <w:rStyle w:val="46"/>
          <w:rFonts w:hint="eastAsia"/>
        </w:rPr>
        <w:t>《淮北市城区供水专项规划</w:t>
      </w:r>
      <w:r>
        <w:rPr>
          <w:rStyle w:val="46"/>
        </w:rPr>
        <w:t xml:space="preserve"> 2011-2020</w:t>
      </w:r>
      <w:r>
        <w:rPr>
          <w:rStyle w:val="46"/>
          <w:rFonts w:hint="eastAsia"/>
        </w:rPr>
        <w:t>》</w:t>
      </w:r>
      <w:r>
        <w:tab/>
      </w:r>
      <w:r>
        <w:fldChar w:fldCharType="begin"/>
      </w:r>
      <w:r>
        <w:instrText xml:space="preserve"> PAGEREF _Toc8032519 \h </w:instrText>
      </w:r>
      <w:r>
        <w:fldChar w:fldCharType="separate"/>
      </w:r>
      <w:r>
        <w:t>26</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"_Toc8032520" </w:instrText>
      </w:r>
      <w:r>
        <w:fldChar w:fldCharType="separate"/>
      </w:r>
      <w:r>
        <w:rPr>
          <w:rStyle w:val="46"/>
        </w:rPr>
        <w:t xml:space="preserve">2.3.6.1 </w:t>
      </w:r>
      <w:r>
        <w:rPr>
          <w:rStyle w:val="46"/>
          <w:rFonts w:hint="eastAsia"/>
        </w:rPr>
        <w:t>规划期限及范围</w:t>
      </w:r>
      <w:r>
        <w:tab/>
      </w:r>
      <w:r>
        <w:fldChar w:fldCharType="begin"/>
      </w:r>
      <w:r>
        <w:instrText xml:space="preserve"> PAGEREF _Toc8032520 \h </w:instrText>
      </w:r>
      <w:r>
        <w:fldChar w:fldCharType="separate"/>
      </w:r>
      <w:r>
        <w:t>26</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"_Toc8032521" </w:instrText>
      </w:r>
      <w:r>
        <w:fldChar w:fldCharType="separate"/>
      </w:r>
      <w:r>
        <w:rPr>
          <w:rStyle w:val="46"/>
        </w:rPr>
        <w:t xml:space="preserve">2.3.6.2 </w:t>
      </w:r>
      <w:r>
        <w:rPr>
          <w:rStyle w:val="46"/>
          <w:rFonts w:hint="eastAsia"/>
        </w:rPr>
        <w:t>城市用水量</w:t>
      </w:r>
      <w:r>
        <w:tab/>
      </w:r>
      <w:r>
        <w:fldChar w:fldCharType="begin"/>
      </w:r>
      <w:r>
        <w:instrText xml:space="preserve"> PAGEREF _Toc8032521 \h </w:instrText>
      </w:r>
      <w:r>
        <w:fldChar w:fldCharType="separate"/>
      </w:r>
      <w:r>
        <w:t>26</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"_Toc8032522" </w:instrText>
      </w:r>
      <w:r>
        <w:fldChar w:fldCharType="separate"/>
      </w:r>
      <w:r>
        <w:rPr>
          <w:rStyle w:val="46"/>
        </w:rPr>
        <w:t xml:space="preserve">2.3.6.3 </w:t>
      </w:r>
      <w:r>
        <w:rPr>
          <w:rStyle w:val="46"/>
          <w:rFonts w:hint="eastAsia"/>
        </w:rPr>
        <w:t>供水工程规划</w:t>
      </w:r>
      <w:r>
        <w:tab/>
      </w:r>
      <w:r>
        <w:fldChar w:fldCharType="begin"/>
      </w:r>
      <w:r>
        <w:instrText xml:space="preserve"> PAGEREF _Toc8032522 \h </w:instrText>
      </w:r>
      <w:r>
        <w:fldChar w:fldCharType="separate"/>
      </w:r>
      <w:r>
        <w:t>26</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"_Toc8032523" </w:instrText>
      </w:r>
      <w:r>
        <w:fldChar w:fldCharType="separate"/>
      </w:r>
      <w:r>
        <w:rPr>
          <w:rStyle w:val="46"/>
        </w:rPr>
        <w:t>2.4</w:t>
      </w:r>
      <w:r>
        <w:rPr>
          <w:rStyle w:val="46"/>
          <w:rFonts w:hint="eastAsia"/>
        </w:rPr>
        <w:t>城市排水现状及规划概况</w:t>
      </w:r>
      <w:r>
        <w:tab/>
      </w:r>
      <w:r>
        <w:fldChar w:fldCharType="begin"/>
      </w:r>
      <w:r>
        <w:instrText xml:space="preserve"> PAGEREF _Toc8032523 \h </w:instrText>
      </w:r>
      <w:r>
        <w:fldChar w:fldCharType="separate"/>
      </w:r>
      <w:r>
        <w:t>26</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"_Toc8032524" </w:instrText>
      </w:r>
      <w:r>
        <w:fldChar w:fldCharType="separate"/>
      </w:r>
      <w:r>
        <w:rPr>
          <w:rStyle w:val="46"/>
        </w:rPr>
        <w:t xml:space="preserve">2.4.1 </w:t>
      </w:r>
      <w:r>
        <w:rPr>
          <w:rStyle w:val="46"/>
          <w:rFonts w:hint="eastAsia"/>
        </w:rPr>
        <w:t>城市排水简要情况</w:t>
      </w:r>
      <w:r>
        <w:tab/>
      </w:r>
      <w:r>
        <w:fldChar w:fldCharType="begin"/>
      </w:r>
      <w:r>
        <w:instrText xml:space="preserve"> PAGEREF _Toc8032524 \h </w:instrText>
      </w:r>
      <w:r>
        <w:fldChar w:fldCharType="separate"/>
      </w:r>
      <w:r>
        <w:t>26</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"_Toc8032525" </w:instrText>
      </w:r>
      <w:r>
        <w:fldChar w:fldCharType="separate"/>
      </w:r>
      <w:r>
        <w:rPr>
          <w:rStyle w:val="46"/>
        </w:rPr>
        <w:t xml:space="preserve">2.4.1.1 </w:t>
      </w:r>
      <w:r>
        <w:rPr>
          <w:rStyle w:val="46"/>
          <w:rFonts w:hint="eastAsia"/>
        </w:rPr>
        <w:t>现状雨水工程情况</w:t>
      </w:r>
      <w:r>
        <w:tab/>
      </w:r>
      <w:r>
        <w:fldChar w:fldCharType="begin"/>
      </w:r>
      <w:r>
        <w:instrText xml:space="preserve"> PAGEREF _Toc8032525 \h </w:instrText>
      </w:r>
      <w:r>
        <w:fldChar w:fldCharType="separate"/>
      </w:r>
      <w:r>
        <w:t>26</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"_Toc8032526" </w:instrText>
      </w:r>
      <w:r>
        <w:fldChar w:fldCharType="separate"/>
      </w:r>
      <w:r>
        <w:rPr>
          <w:rStyle w:val="46"/>
        </w:rPr>
        <w:t>2.4.1.2</w:t>
      </w:r>
      <w:r>
        <w:rPr>
          <w:rStyle w:val="46"/>
          <w:rFonts w:hint="eastAsia"/>
        </w:rPr>
        <w:t>现状污水工程情况</w:t>
      </w:r>
      <w:r>
        <w:tab/>
      </w:r>
      <w:r>
        <w:fldChar w:fldCharType="begin"/>
      </w:r>
      <w:r>
        <w:instrText xml:space="preserve"> PAGEREF _Toc8032526 \h </w:instrText>
      </w:r>
      <w:r>
        <w:fldChar w:fldCharType="separate"/>
      </w:r>
      <w:r>
        <w:t>27</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"_Toc8032527" </w:instrText>
      </w:r>
      <w:r>
        <w:fldChar w:fldCharType="separate"/>
      </w:r>
      <w:r>
        <w:rPr>
          <w:rStyle w:val="46"/>
        </w:rPr>
        <w:t xml:space="preserve">2.4.2  </w:t>
      </w:r>
      <w:r>
        <w:rPr>
          <w:rStyle w:val="46"/>
          <w:rFonts w:hint="eastAsia"/>
        </w:rPr>
        <w:t>《淮北市排水专项规划</w:t>
      </w:r>
      <w:r>
        <w:rPr>
          <w:rStyle w:val="46"/>
        </w:rPr>
        <w:t xml:space="preserve"> 2012-2020</w:t>
      </w:r>
      <w:r>
        <w:rPr>
          <w:rStyle w:val="46"/>
          <w:rFonts w:hint="eastAsia"/>
        </w:rPr>
        <w:t>》</w:t>
      </w:r>
      <w:r>
        <w:tab/>
      </w:r>
      <w:r>
        <w:fldChar w:fldCharType="begin"/>
      </w:r>
      <w:r>
        <w:instrText xml:space="preserve"> PAGEREF _Toc8032527 \h </w:instrText>
      </w:r>
      <w:r>
        <w:fldChar w:fldCharType="separate"/>
      </w:r>
      <w:r>
        <w:t>28</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"_Toc8032528" </w:instrText>
      </w:r>
      <w:r>
        <w:fldChar w:fldCharType="separate"/>
      </w:r>
      <w:r>
        <w:rPr>
          <w:rStyle w:val="46"/>
        </w:rPr>
        <w:t xml:space="preserve">2.4.2.1 </w:t>
      </w:r>
      <w:r>
        <w:rPr>
          <w:rStyle w:val="46"/>
          <w:rFonts w:hint="eastAsia"/>
        </w:rPr>
        <w:t>规划范围</w:t>
      </w:r>
      <w:r>
        <w:tab/>
      </w:r>
      <w:r>
        <w:fldChar w:fldCharType="begin"/>
      </w:r>
      <w:r>
        <w:instrText xml:space="preserve"> PAGEREF _Toc8032528 \h </w:instrText>
      </w:r>
      <w:r>
        <w:fldChar w:fldCharType="separate"/>
      </w:r>
      <w:r>
        <w:t>28</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"_Toc8032529" </w:instrText>
      </w:r>
      <w:r>
        <w:fldChar w:fldCharType="separate"/>
      </w:r>
      <w:r>
        <w:rPr>
          <w:rStyle w:val="46"/>
        </w:rPr>
        <w:t xml:space="preserve">2.4.2.2 </w:t>
      </w:r>
      <w:r>
        <w:rPr>
          <w:rStyle w:val="46"/>
          <w:rFonts w:hint="eastAsia"/>
        </w:rPr>
        <w:t>规划期限</w:t>
      </w:r>
      <w:r>
        <w:tab/>
      </w:r>
      <w:r>
        <w:fldChar w:fldCharType="begin"/>
      </w:r>
      <w:r>
        <w:instrText xml:space="preserve"> PAGEREF _Toc8032529 \h </w:instrText>
      </w:r>
      <w:r>
        <w:fldChar w:fldCharType="separate"/>
      </w:r>
      <w:r>
        <w:t>28</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"_Toc8032530" </w:instrText>
      </w:r>
      <w:r>
        <w:fldChar w:fldCharType="separate"/>
      </w:r>
      <w:r>
        <w:rPr>
          <w:rStyle w:val="46"/>
        </w:rPr>
        <w:t xml:space="preserve">2.4.2.3 </w:t>
      </w:r>
      <w:r>
        <w:rPr>
          <w:rStyle w:val="46"/>
          <w:rFonts w:hint="eastAsia"/>
        </w:rPr>
        <w:t>规划目标</w:t>
      </w:r>
      <w:r>
        <w:tab/>
      </w:r>
      <w:r>
        <w:fldChar w:fldCharType="begin"/>
      </w:r>
      <w:r>
        <w:instrText xml:space="preserve"> PAGEREF _Toc8032530 \h </w:instrText>
      </w:r>
      <w:r>
        <w:fldChar w:fldCharType="separate"/>
      </w:r>
      <w:r>
        <w:t>28</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"_Toc8032531" </w:instrText>
      </w:r>
      <w:r>
        <w:fldChar w:fldCharType="separate"/>
      </w:r>
      <w:r>
        <w:rPr>
          <w:rStyle w:val="46"/>
        </w:rPr>
        <w:t xml:space="preserve">2.4.2.4  </w:t>
      </w:r>
      <w:r>
        <w:rPr>
          <w:rStyle w:val="46"/>
          <w:rFonts w:hint="eastAsia"/>
        </w:rPr>
        <w:t>排水体制</w:t>
      </w:r>
      <w:r>
        <w:tab/>
      </w:r>
      <w:r>
        <w:fldChar w:fldCharType="begin"/>
      </w:r>
      <w:r>
        <w:instrText xml:space="preserve"> PAGEREF _Toc8032531 \h </w:instrText>
      </w:r>
      <w:r>
        <w:fldChar w:fldCharType="separate"/>
      </w:r>
      <w:r>
        <w:t>28</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"_Toc8032532" </w:instrText>
      </w:r>
      <w:r>
        <w:fldChar w:fldCharType="separate"/>
      </w:r>
      <w:r>
        <w:rPr>
          <w:rStyle w:val="46"/>
        </w:rPr>
        <w:t xml:space="preserve">2.4.2.5  </w:t>
      </w:r>
      <w:r>
        <w:rPr>
          <w:rStyle w:val="46"/>
          <w:rFonts w:hint="eastAsia"/>
        </w:rPr>
        <w:t>污水量预测</w:t>
      </w:r>
      <w:r>
        <w:tab/>
      </w:r>
      <w:r>
        <w:fldChar w:fldCharType="begin"/>
      </w:r>
      <w:r>
        <w:instrText xml:space="preserve"> PAGEREF _Toc8032532 \h </w:instrText>
      </w:r>
      <w:r>
        <w:fldChar w:fldCharType="separate"/>
      </w:r>
      <w:r>
        <w:t>28</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"_Toc8032533" </w:instrText>
      </w:r>
      <w:r>
        <w:fldChar w:fldCharType="separate"/>
      </w:r>
      <w:r>
        <w:rPr>
          <w:rStyle w:val="46"/>
        </w:rPr>
        <w:t xml:space="preserve">2.4.2.6 </w:t>
      </w:r>
      <w:r>
        <w:rPr>
          <w:rStyle w:val="46"/>
          <w:rFonts w:hint="eastAsia"/>
        </w:rPr>
        <w:t>污水分区</w:t>
      </w:r>
      <w:r>
        <w:tab/>
      </w:r>
      <w:r>
        <w:fldChar w:fldCharType="begin"/>
      </w:r>
      <w:r>
        <w:instrText xml:space="preserve"> PAGEREF _Toc8032533 \h </w:instrText>
      </w:r>
      <w:r>
        <w:fldChar w:fldCharType="separate"/>
      </w:r>
      <w:r>
        <w:t>28</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"_Toc8032534" </w:instrText>
      </w:r>
      <w:r>
        <w:fldChar w:fldCharType="separate"/>
      </w:r>
      <w:r>
        <w:rPr>
          <w:rStyle w:val="46"/>
        </w:rPr>
        <w:t xml:space="preserve">2.4.2.7 </w:t>
      </w:r>
      <w:r>
        <w:rPr>
          <w:rStyle w:val="46"/>
          <w:rFonts w:hint="eastAsia"/>
        </w:rPr>
        <w:t>污水工程规划</w:t>
      </w:r>
      <w:r>
        <w:tab/>
      </w:r>
      <w:r>
        <w:fldChar w:fldCharType="begin"/>
      </w:r>
      <w:r>
        <w:instrText xml:space="preserve"> PAGEREF _Toc8032534 \h </w:instrText>
      </w:r>
      <w:r>
        <w:fldChar w:fldCharType="separate"/>
      </w:r>
      <w:r>
        <w:t>28</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"_Toc8032535" </w:instrText>
      </w:r>
      <w:r>
        <w:fldChar w:fldCharType="separate"/>
      </w:r>
      <w:r>
        <w:rPr>
          <w:rStyle w:val="46"/>
        </w:rPr>
        <w:t xml:space="preserve">2.4.2.8 </w:t>
      </w:r>
      <w:r>
        <w:rPr>
          <w:rStyle w:val="46"/>
          <w:rFonts w:hint="eastAsia"/>
        </w:rPr>
        <w:t>径流系数</w:t>
      </w:r>
      <w:r>
        <w:tab/>
      </w:r>
      <w:r>
        <w:fldChar w:fldCharType="begin"/>
      </w:r>
      <w:r>
        <w:instrText xml:space="preserve"> PAGEREF _Toc8032535 \h </w:instrText>
      </w:r>
      <w:r>
        <w:fldChar w:fldCharType="separate"/>
      </w:r>
      <w:r>
        <w:t>29</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"_Toc8032536" </w:instrText>
      </w:r>
      <w:r>
        <w:fldChar w:fldCharType="separate"/>
      </w:r>
      <w:r>
        <w:rPr>
          <w:rStyle w:val="46"/>
        </w:rPr>
        <w:t xml:space="preserve">2.4.2.9 </w:t>
      </w:r>
      <w:r>
        <w:rPr>
          <w:rStyle w:val="46"/>
          <w:rFonts w:hint="eastAsia"/>
        </w:rPr>
        <w:t>雨水工程规划</w:t>
      </w:r>
      <w:r>
        <w:tab/>
      </w:r>
      <w:r>
        <w:fldChar w:fldCharType="begin"/>
      </w:r>
      <w:r>
        <w:instrText xml:space="preserve"> PAGEREF _Toc8032536 \h </w:instrText>
      </w:r>
      <w:r>
        <w:fldChar w:fldCharType="separate"/>
      </w:r>
      <w:r>
        <w:t>29</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"_Toc8032537" </w:instrText>
      </w:r>
      <w:r>
        <w:fldChar w:fldCharType="separate"/>
      </w:r>
      <w:r>
        <w:rPr>
          <w:rStyle w:val="46"/>
        </w:rPr>
        <w:t>2.5</w:t>
      </w:r>
      <w:r>
        <w:rPr>
          <w:rStyle w:val="46"/>
          <w:rFonts w:hint="eastAsia"/>
        </w:rPr>
        <w:t>非常规水资源利用现状分析</w:t>
      </w:r>
      <w:r>
        <w:tab/>
      </w:r>
      <w:r>
        <w:fldChar w:fldCharType="begin"/>
      </w:r>
      <w:r>
        <w:instrText xml:space="preserve"> PAGEREF _Toc8032537 \h </w:instrText>
      </w:r>
      <w:r>
        <w:fldChar w:fldCharType="separate"/>
      </w:r>
      <w:r>
        <w:t>29</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"_Toc8032538" </w:instrText>
      </w:r>
      <w:r>
        <w:fldChar w:fldCharType="separate"/>
      </w:r>
      <w:r>
        <w:rPr>
          <w:rStyle w:val="46"/>
        </w:rPr>
        <w:t>2.5.1</w:t>
      </w:r>
      <w:r>
        <w:rPr>
          <w:rStyle w:val="46"/>
          <w:rFonts w:hint="eastAsia"/>
        </w:rPr>
        <w:t>再生水利用实例</w:t>
      </w:r>
      <w:r>
        <w:tab/>
      </w:r>
      <w:r>
        <w:fldChar w:fldCharType="begin"/>
      </w:r>
      <w:r>
        <w:instrText xml:space="preserve"> PAGEREF _Toc8032538 \h </w:instrText>
      </w:r>
      <w:r>
        <w:fldChar w:fldCharType="separate"/>
      </w:r>
      <w:r>
        <w:t>30</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"_Toc8032539" </w:instrText>
      </w:r>
      <w:r>
        <w:fldChar w:fldCharType="separate"/>
      </w:r>
      <w:r>
        <w:rPr>
          <w:rStyle w:val="46"/>
        </w:rPr>
        <w:t>2.5.2</w:t>
      </w:r>
      <w:r>
        <w:rPr>
          <w:rStyle w:val="46"/>
          <w:rFonts w:hint="eastAsia"/>
        </w:rPr>
        <w:t>雨水资源化利用及实例</w:t>
      </w:r>
      <w:r>
        <w:tab/>
      </w:r>
      <w:r>
        <w:fldChar w:fldCharType="begin"/>
      </w:r>
      <w:r>
        <w:instrText xml:space="preserve"> PAGEREF _Toc8032539 \h </w:instrText>
      </w:r>
      <w:r>
        <w:fldChar w:fldCharType="separate"/>
      </w:r>
      <w:r>
        <w:t>31</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"_Toc8032540" </w:instrText>
      </w:r>
      <w:r>
        <w:fldChar w:fldCharType="separate"/>
      </w:r>
      <w:r>
        <w:rPr>
          <w:rStyle w:val="46"/>
        </w:rPr>
        <w:t>2.6</w:t>
      </w:r>
      <w:r>
        <w:rPr>
          <w:rStyle w:val="46"/>
          <w:rFonts w:hint="eastAsia"/>
        </w:rPr>
        <w:t>城市节水的主要工作及成效</w:t>
      </w:r>
      <w:r>
        <w:tab/>
      </w:r>
      <w:r>
        <w:fldChar w:fldCharType="begin"/>
      </w:r>
      <w:r>
        <w:instrText xml:space="preserve"> PAGEREF _Toc8032540 \h </w:instrText>
      </w:r>
      <w:r>
        <w:fldChar w:fldCharType="separate"/>
      </w:r>
      <w:r>
        <w:t>32</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"_Toc8032541" </w:instrText>
      </w:r>
      <w:r>
        <w:fldChar w:fldCharType="separate"/>
      </w:r>
      <w:r>
        <w:rPr>
          <w:rStyle w:val="46"/>
        </w:rPr>
        <w:t>2.6.1</w:t>
      </w:r>
      <w:r>
        <w:rPr>
          <w:rStyle w:val="46"/>
          <w:rFonts w:hint="eastAsia"/>
        </w:rPr>
        <w:t>建立节水机构，强化管理网络建设</w:t>
      </w:r>
      <w:r>
        <w:tab/>
      </w:r>
      <w:r>
        <w:fldChar w:fldCharType="begin"/>
      </w:r>
      <w:r>
        <w:instrText xml:space="preserve"> PAGEREF _Toc8032541 \h </w:instrText>
      </w:r>
      <w:r>
        <w:fldChar w:fldCharType="separate"/>
      </w:r>
      <w:r>
        <w:t>32</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"_Toc8032542" </w:instrText>
      </w:r>
      <w:r>
        <w:fldChar w:fldCharType="separate"/>
      </w:r>
      <w:r>
        <w:rPr>
          <w:rStyle w:val="46"/>
        </w:rPr>
        <w:t>2.6.2</w:t>
      </w:r>
      <w:r>
        <w:rPr>
          <w:rStyle w:val="46"/>
          <w:rFonts w:hint="eastAsia"/>
        </w:rPr>
        <w:t>重视法规制度建设，强化依法行政的力度</w:t>
      </w:r>
      <w:r>
        <w:tab/>
      </w:r>
      <w:r>
        <w:fldChar w:fldCharType="begin"/>
      </w:r>
      <w:r>
        <w:instrText xml:space="preserve"> PAGEREF _Toc8032542 \h </w:instrText>
      </w:r>
      <w:r>
        <w:fldChar w:fldCharType="separate"/>
      </w:r>
      <w:r>
        <w:t>32</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"_Toc8032543" </w:instrText>
      </w:r>
      <w:r>
        <w:fldChar w:fldCharType="separate"/>
      </w:r>
      <w:r>
        <w:rPr>
          <w:rStyle w:val="46"/>
        </w:rPr>
        <w:t>2.6.3</w:t>
      </w:r>
      <w:r>
        <w:rPr>
          <w:rStyle w:val="46"/>
          <w:rFonts w:hint="eastAsia"/>
        </w:rPr>
        <w:t>重视节水投入，建立奖惩机制</w:t>
      </w:r>
      <w:r>
        <w:tab/>
      </w:r>
      <w:r>
        <w:fldChar w:fldCharType="begin"/>
      </w:r>
      <w:r>
        <w:instrText xml:space="preserve"> PAGEREF _Toc8032543 \h </w:instrText>
      </w:r>
      <w:r>
        <w:fldChar w:fldCharType="separate"/>
      </w:r>
      <w:r>
        <w:t>33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"_Toc8032544" </w:instrText>
      </w:r>
      <w:r>
        <w:fldChar w:fldCharType="separate"/>
      </w:r>
      <w:r>
        <w:rPr>
          <w:rStyle w:val="46"/>
        </w:rPr>
        <w:t>2.6.4</w:t>
      </w:r>
      <w:r>
        <w:rPr>
          <w:rStyle w:val="46"/>
          <w:rFonts w:hint="eastAsia"/>
        </w:rPr>
        <w:t>加强节水宣传教育，提高公民节水意识</w:t>
      </w:r>
      <w:r>
        <w:tab/>
      </w:r>
      <w:r>
        <w:fldChar w:fldCharType="begin"/>
      </w:r>
      <w:r>
        <w:instrText xml:space="preserve"> PAGEREF _Toc8032544 \h </w:instrText>
      </w:r>
      <w:r>
        <w:fldChar w:fldCharType="separate"/>
      </w:r>
      <w:r>
        <w:t>34</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"_Toc8032545" </w:instrText>
      </w:r>
      <w:r>
        <w:fldChar w:fldCharType="separate"/>
      </w:r>
      <w:r>
        <w:rPr>
          <w:rStyle w:val="46"/>
        </w:rPr>
        <w:t>2.6.5</w:t>
      </w:r>
      <w:r>
        <w:rPr>
          <w:rStyle w:val="46"/>
          <w:rFonts w:hint="eastAsia"/>
        </w:rPr>
        <w:t>推进器具改造，淘汰落后产品</w:t>
      </w:r>
      <w:r>
        <w:tab/>
      </w:r>
      <w:r>
        <w:fldChar w:fldCharType="begin"/>
      </w:r>
      <w:r>
        <w:instrText xml:space="preserve"> PAGEREF _Toc8032545 \h </w:instrText>
      </w:r>
      <w:r>
        <w:fldChar w:fldCharType="separate"/>
      </w:r>
      <w:r>
        <w:t>34</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"_Toc8032546" </w:instrText>
      </w:r>
      <w:r>
        <w:fldChar w:fldCharType="separate"/>
      </w:r>
      <w:r>
        <w:rPr>
          <w:rStyle w:val="46"/>
        </w:rPr>
        <w:t>2.6.6</w:t>
      </w:r>
      <w:r>
        <w:rPr>
          <w:rStyle w:val="46"/>
          <w:rFonts w:hint="eastAsia"/>
        </w:rPr>
        <w:t>加强载体建设，奠定创建基础</w:t>
      </w:r>
      <w:r>
        <w:tab/>
      </w:r>
      <w:r>
        <w:fldChar w:fldCharType="begin"/>
      </w:r>
      <w:r>
        <w:instrText xml:space="preserve"> PAGEREF _Toc8032546 \h </w:instrText>
      </w:r>
      <w:r>
        <w:fldChar w:fldCharType="separate"/>
      </w:r>
      <w:r>
        <w:t>34</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"_Toc8032547" </w:instrText>
      </w:r>
      <w:r>
        <w:fldChar w:fldCharType="separate"/>
      </w:r>
      <w:r>
        <w:rPr>
          <w:rStyle w:val="46"/>
        </w:rPr>
        <w:t>2.6.7</w:t>
      </w:r>
      <w:r>
        <w:rPr>
          <w:rStyle w:val="46"/>
          <w:rFonts w:hint="eastAsia"/>
        </w:rPr>
        <w:t>探索非常规水资源利用，加强海绵城市建设</w:t>
      </w:r>
      <w:r>
        <w:tab/>
      </w:r>
      <w:r>
        <w:fldChar w:fldCharType="begin"/>
      </w:r>
      <w:r>
        <w:instrText xml:space="preserve"> PAGEREF _Toc8032547 \h </w:instrText>
      </w:r>
      <w:r>
        <w:fldChar w:fldCharType="separate"/>
      </w:r>
      <w:r>
        <w:t>35</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"_Toc8032548" </w:instrText>
      </w:r>
      <w:r>
        <w:fldChar w:fldCharType="separate"/>
      </w:r>
      <w:r>
        <w:rPr>
          <w:rStyle w:val="46"/>
        </w:rPr>
        <w:t>2.6.8</w:t>
      </w:r>
      <w:r>
        <w:rPr>
          <w:rStyle w:val="46"/>
          <w:rFonts w:hint="eastAsia"/>
        </w:rPr>
        <w:t>加强计划用水和定额管理</w:t>
      </w:r>
      <w:r>
        <w:tab/>
      </w:r>
      <w:r>
        <w:fldChar w:fldCharType="begin"/>
      </w:r>
      <w:r>
        <w:instrText xml:space="preserve"> PAGEREF _Toc8032548 \h </w:instrText>
      </w:r>
      <w:r>
        <w:fldChar w:fldCharType="separate"/>
      </w:r>
      <w:r>
        <w:t>35</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"_Toc8032549" </w:instrText>
      </w:r>
      <w:r>
        <w:fldChar w:fldCharType="separate"/>
      </w:r>
      <w:r>
        <w:rPr>
          <w:rStyle w:val="46"/>
        </w:rPr>
        <w:t>2.6.9</w:t>
      </w:r>
      <w:r>
        <w:rPr>
          <w:rStyle w:val="46"/>
          <w:rFonts w:hint="eastAsia"/>
        </w:rPr>
        <w:t>完善价格机制，加强用水管理</w:t>
      </w:r>
      <w:r>
        <w:tab/>
      </w:r>
      <w:r>
        <w:fldChar w:fldCharType="begin"/>
      </w:r>
      <w:r>
        <w:instrText xml:space="preserve"> PAGEREF _Toc8032549 \h </w:instrText>
      </w:r>
      <w:r>
        <w:fldChar w:fldCharType="separate"/>
      </w:r>
      <w:r>
        <w:t>35</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"_Toc8032550" </w:instrText>
      </w:r>
      <w:r>
        <w:fldChar w:fldCharType="separate"/>
      </w:r>
      <w:r>
        <w:rPr>
          <w:rStyle w:val="46"/>
        </w:rPr>
        <w:t>2.6.10</w:t>
      </w:r>
      <w:r>
        <w:rPr>
          <w:rStyle w:val="46"/>
          <w:rFonts w:hint="eastAsia"/>
        </w:rPr>
        <w:t>最严格的水资源管理制度初步建立</w:t>
      </w:r>
      <w:r>
        <w:tab/>
      </w:r>
      <w:r>
        <w:fldChar w:fldCharType="begin"/>
      </w:r>
      <w:r>
        <w:instrText xml:space="preserve"> PAGEREF _Toc8032550 \h </w:instrText>
      </w:r>
      <w:r>
        <w:fldChar w:fldCharType="separate"/>
      </w:r>
      <w:r>
        <w:t>36</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"_Toc8032551" </w:instrText>
      </w:r>
      <w:r>
        <w:fldChar w:fldCharType="separate"/>
      </w:r>
      <w:r>
        <w:rPr>
          <w:rStyle w:val="46"/>
        </w:rPr>
        <w:t xml:space="preserve">2.7 </w:t>
      </w:r>
      <w:r>
        <w:rPr>
          <w:rStyle w:val="46"/>
          <w:rFonts w:hint="eastAsia"/>
        </w:rPr>
        <w:t>城市节约用水现状及节水潜力分析</w:t>
      </w:r>
      <w:r>
        <w:tab/>
      </w:r>
      <w:r>
        <w:fldChar w:fldCharType="begin"/>
      </w:r>
      <w:r>
        <w:instrText xml:space="preserve"> PAGEREF _Toc8032551 \h </w:instrText>
      </w:r>
      <w:r>
        <w:fldChar w:fldCharType="separate"/>
      </w:r>
      <w:r>
        <w:t>37</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"_Toc8032552" </w:instrText>
      </w:r>
      <w:r>
        <w:fldChar w:fldCharType="separate"/>
      </w:r>
      <w:r>
        <w:rPr>
          <w:rStyle w:val="46"/>
        </w:rPr>
        <w:t xml:space="preserve">2.7.1  </w:t>
      </w:r>
      <w:r>
        <w:rPr>
          <w:rStyle w:val="46"/>
          <w:rFonts w:hint="eastAsia"/>
        </w:rPr>
        <w:t>综合节水现状及潜力分析</w:t>
      </w:r>
      <w:r>
        <w:tab/>
      </w:r>
      <w:r>
        <w:fldChar w:fldCharType="begin"/>
      </w:r>
      <w:r>
        <w:instrText xml:space="preserve"> PAGEREF _Toc8032552 \h </w:instrText>
      </w:r>
      <w:r>
        <w:fldChar w:fldCharType="separate"/>
      </w:r>
      <w:r>
        <w:t>37</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"_Toc8032553" </w:instrText>
      </w:r>
      <w:r>
        <w:fldChar w:fldCharType="separate"/>
      </w:r>
      <w:r>
        <w:rPr>
          <w:rStyle w:val="46"/>
        </w:rPr>
        <w:t xml:space="preserve">2.7.1.1  </w:t>
      </w:r>
      <w:r>
        <w:rPr>
          <w:rStyle w:val="46"/>
          <w:rFonts w:hint="eastAsia"/>
        </w:rPr>
        <w:t>综合节水现状</w:t>
      </w:r>
      <w:r>
        <w:tab/>
      </w:r>
      <w:r>
        <w:fldChar w:fldCharType="begin"/>
      </w:r>
      <w:r>
        <w:instrText xml:space="preserve"> PAGEREF _Toc8032553 \h </w:instrText>
      </w:r>
      <w:r>
        <w:fldChar w:fldCharType="separate"/>
      </w:r>
      <w:r>
        <w:t>37</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"_Toc8032554" </w:instrText>
      </w:r>
      <w:r>
        <w:fldChar w:fldCharType="separate"/>
      </w:r>
      <w:r>
        <w:rPr>
          <w:rStyle w:val="46"/>
        </w:rPr>
        <w:t xml:space="preserve">2.7.1.2. </w:t>
      </w:r>
      <w:r>
        <w:rPr>
          <w:rStyle w:val="46"/>
          <w:rFonts w:hint="eastAsia"/>
        </w:rPr>
        <w:t>综合节水潜力分析</w:t>
      </w:r>
      <w:r>
        <w:tab/>
      </w:r>
      <w:r>
        <w:fldChar w:fldCharType="begin"/>
      </w:r>
      <w:r>
        <w:instrText xml:space="preserve"> PAGEREF _Toc8032554 \h </w:instrText>
      </w:r>
      <w:r>
        <w:fldChar w:fldCharType="separate"/>
      </w:r>
      <w:r>
        <w:t>39</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"_Toc8032555" </w:instrText>
      </w:r>
      <w:r>
        <w:fldChar w:fldCharType="separate"/>
      </w:r>
      <w:r>
        <w:rPr>
          <w:rStyle w:val="46"/>
        </w:rPr>
        <w:t xml:space="preserve">2.7.2. </w:t>
      </w:r>
      <w:r>
        <w:rPr>
          <w:rStyle w:val="46"/>
          <w:rFonts w:hint="eastAsia"/>
        </w:rPr>
        <w:t>居民生活节水现状及潜力分析</w:t>
      </w:r>
      <w:r>
        <w:tab/>
      </w:r>
      <w:r>
        <w:fldChar w:fldCharType="begin"/>
      </w:r>
      <w:r>
        <w:instrText xml:space="preserve"> PAGEREF _Toc8032555 \h </w:instrText>
      </w:r>
      <w:r>
        <w:fldChar w:fldCharType="separate"/>
      </w:r>
      <w:r>
        <w:t>39</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"_Toc8032556" </w:instrText>
      </w:r>
      <w:r>
        <w:fldChar w:fldCharType="separate"/>
      </w:r>
      <w:r>
        <w:rPr>
          <w:rStyle w:val="46"/>
        </w:rPr>
        <w:t xml:space="preserve">2.7.2.1  </w:t>
      </w:r>
      <w:r>
        <w:rPr>
          <w:rStyle w:val="46"/>
          <w:rFonts w:hint="eastAsia"/>
        </w:rPr>
        <w:t>居民生活节水现状</w:t>
      </w:r>
      <w:r>
        <w:tab/>
      </w:r>
      <w:r>
        <w:fldChar w:fldCharType="begin"/>
      </w:r>
      <w:r>
        <w:instrText xml:space="preserve"> PAGEREF _Toc8032556 \h </w:instrText>
      </w:r>
      <w:r>
        <w:fldChar w:fldCharType="separate"/>
      </w:r>
      <w:r>
        <w:t>39</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"_Toc8032557" </w:instrText>
      </w:r>
      <w:r>
        <w:fldChar w:fldCharType="separate"/>
      </w:r>
      <w:r>
        <w:rPr>
          <w:rStyle w:val="46"/>
        </w:rPr>
        <w:t xml:space="preserve">2.7.2.2 </w:t>
      </w:r>
      <w:r>
        <w:rPr>
          <w:rStyle w:val="46"/>
          <w:rFonts w:hint="eastAsia"/>
        </w:rPr>
        <w:t>居民生活节水潜力分析</w:t>
      </w:r>
      <w:r>
        <w:tab/>
      </w:r>
      <w:r>
        <w:fldChar w:fldCharType="begin"/>
      </w:r>
      <w:r>
        <w:instrText xml:space="preserve"> PAGEREF _Toc8032557 \h </w:instrText>
      </w:r>
      <w:r>
        <w:fldChar w:fldCharType="separate"/>
      </w:r>
      <w:r>
        <w:t>43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"_Toc8032558" </w:instrText>
      </w:r>
      <w:r>
        <w:fldChar w:fldCharType="separate"/>
      </w:r>
      <w:r>
        <w:rPr>
          <w:rStyle w:val="46"/>
        </w:rPr>
        <w:t xml:space="preserve">2.7.3 </w:t>
      </w:r>
      <w:r>
        <w:rPr>
          <w:rStyle w:val="46"/>
          <w:rFonts w:hint="eastAsia"/>
        </w:rPr>
        <w:t>公共用水节水现状及潜力分析</w:t>
      </w:r>
      <w:r>
        <w:tab/>
      </w:r>
      <w:r>
        <w:fldChar w:fldCharType="begin"/>
      </w:r>
      <w:r>
        <w:instrText xml:space="preserve"> PAGEREF _Toc8032558 \h </w:instrText>
      </w:r>
      <w:r>
        <w:fldChar w:fldCharType="separate"/>
      </w:r>
      <w:r>
        <w:t>43</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"_Toc8032559" </w:instrText>
      </w:r>
      <w:r>
        <w:fldChar w:fldCharType="separate"/>
      </w:r>
      <w:r>
        <w:rPr>
          <w:rStyle w:val="46"/>
        </w:rPr>
        <w:t xml:space="preserve">2.7.3.1 </w:t>
      </w:r>
      <w:r>
        <w:rPr>
          <w:rStyle w:val="46"/>
          <w:rFonts w:hint="eastAsia"/>
        </w:rPr>
        <w:t>公共用水节水现状</w:t>
      </w:r>
      <w:r>
        <w:tab/>
      </w:r>
      <w:r>
        <w:fldChar w:fldCharType="begin"/>
      </w:r>
      <w:r>
        <w:instrText xml:space="preserve"> PAGEREF _Toc8032559 \h </w:instrText>
      </w:r>
      <w:r>
        <w:fldChar w:fldCharType="separate"/>
      </w:r>
      <w:r>
        <w:t>43</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"_Toc8032560" </w:instrText>
      </w:r>
      <w:r>
        <w:fldChar w:fldCharType="separate"/>
      </w:r>
      <w:r>
        <w:rPr>
          <w:rStyle w:val="46"/>
        </w:rPr>
        <w:t xml:space="preserve">2.7.3.2 </w:t>
      </w:r>
      <w:r>
        <w:rPr>
          <w:rStyle w:val="46"/>
          <w:rFonts w:hint="eastAsia"/>
        </w:rPr>
        <w:t>公共用水节水潜力分析</w:t>
      </w:r>
      <w:r>
        <w:tab/>
      </w:r>
      <w:r>
        <w:fldChar w:fldCharType="begin"/>
      </w:r>
      <w:r>
        <w:instrText xml:space="preserve"> PAGEREF _Toc8032560 \h </w:instrText>
      </w:r>
      <w:r>
        <w:fldChar w:fldCharType="separate"/>
      </w:r>
      <w:r>
        <w:t>44</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"_Toc8032561" </w:instrText>
      </w:r>
      <w:r>
        <w:fldChar w:fldCharType="separate"/>
      </w:r>
      <w:r>
        <w:rPr>
          <w:rStyle w:val="46"/>
        </w:rPr>
        <w:t xml:space="preserve">2.7.4  </w:t>
      </w:r>
      <w:r>
        <w:rPr>
          <w:rStyle w:val="46"/>
          <w:rFonts w:hint="eastAsia"/>
        </w:rPr>
        <w:t>工业用水节水现状及潜力分析</w:t>
      </w:r>
      <w:r>
        <w:tab/>
      </w:r>
      <w:r>
        <w:fldChar w:fldCharType="begin"/>
      </w:r>
      <w:r>
        <w:instrText xml:space="preserve"> PAGEREF _Toc8032561 \h </w:instrText>
      </w:r>
      <w:r>
        <w:fldChar w:fldCharType="separate"/>
      </w:r>
      <w:r>
        <w:t>44</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"_Toc8032562" </w:instrText>
      </w:r>
      <w:r>
        <w:fldChar w:fldCharType="separate"/>
      </w:r>
      <w:r>
        <w:rPr>
          <w:rStyle w:val="46"/>
        </w:rPr>
        <w:t xml:space="preserve">2.7.4.1 </w:t>
      </w:r>
      <w:r>
        <w:rPr>
          <w:rStyle w:val="46"/>
          <w:rFonts w:hint="eastAsia"/>
        </w:rPr>
        <w:t>工业用水节水现状</w:t>
      </w:r>
      <w:r>
        <w:tab/>
      </w:r>
      <w:r>
        <w:fldChar w:fldCharType="begin"/>
      </w:r>
      <w:r>
        <w:instrText xml:space="preserve"> PAGEREF _Toc8032562 \h </w:instrText>
      </w:r>
      <w:r>
        <w:fldChar w:fldCharType="separate"/>
      </w:r>
      <w:r>
        <w:t>45</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"_Toc8032563" </w:instrText>
      </w:r>
      <w:r>
        <w:fldChar w:fldCharType="separate"/>
      </w:r>
      <w:r>
        <w:rPr>
          <w:rStyle w:val="46"/>
        </w:rPr>
        <w:t xml:space="preserve">2.7.4.2 </w:t>
      </w:r>
      <w:r>
        <w:rPr>
          <w:rStyle w:val="46"/>
          <w:rFonts w:hint="eastAsia"/>
        </w:rPr>
        <w:t>工业用水节水潜力分析</w:t>
      </w:r>
      <w:r>
        <w:tab/>
      </w:r>
      <w:r>
        <w:fldChar w:fldCharType="begin"/>
      </w:r>
      <w:r>
        <w:instrText xml:space="preserve"> PAGEREF _Toc8032563 \h </w:instrText>
      </w:r>
      <w:r>
        <w:fldChar w:fldCharType="separate"/>
      </w:r>
      <w:r>
        <w:t>50</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"_Toc8032564" </w:instrText>
      </w:r>
      <w:r>
        <w:fldChar w:fldCharType="separate"/>
      </w:r>
      <w:r>
        <w:rPr>
          <w:rStyle w:val="46"/>
        </w:rPr>
        <w:t>2.8</w:t>
      </w:r>
      <w:r>
        <w:rPr>
          <w:rStyle w:val="46"/>
          <w:rFonts w:hint="eastAsia"/>
        </w:rPr>
        <w:t>面临的问题</w:t>
      </w:r>
      <w:r>
        <w:tab/>
      </w:r>
      <w:r>
        <w:fldChar w:fldCharType="begin"/>
      </w:r>
      <w:r>
        <w:instrText xml:space="preserve"> PAGEREF _Toc8032564 \h </w:instrText>
      </w:r>
      <w:r>
        <w:fldChar w:fldCharType="separate"/>
      </w:r>
      <w:r>
        <w:t>50</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"_Toc8032565" </w:instrText>
      </w:r>
      <w:r>
        <w:fldChar w:fldCharType="separate"/>
      </w:r>
      <w:r>
        <w:rPr>
          <w:rStyle w:val="46"/>
        </w:rPr>
        <w:t>2.8.1</w:t>
      </w:r>
      <w:r>
        <w:rPr>
          <w:rStyle w:val="46"/>
          <w:rFonts w:hint="eastAsia"/>
        </w:rPr>
        <w:t>非常规水资源利用工作待加强</w:t>
      </w:r>
      <w:r>
        <w:tab/>
      </w:r>
      <w:r>
        <w:fldChar w:fldCharType="begin"/>
      </w:r>
      <w:r>
        <w:instrText xml:space="preserve"> PAGEREF _Toc8032565 \h </w:instrText>
      </w:r>
      <w:r>
        <w:fldChar w:fldCharType="separate"/>
      </w:r>
      <w:r>
        <w:t>50</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"_Toc8032566" </w:instrText>
      </w:r>
      <w:r>
        <w:fldChar w:fldCharType="separate"/>
      </w:r>
      <w:r>
        <w:rPr>
          <w:rStyle w:val="46"/>
        </w:rPr>
        <w:t>2.8.2</w:t>
      </w:r>
      <w:r>
        <w:rPr>
          <w:rStyle w:val="46"/>
          <w:rFonts w:hint="eastAsia"/>
        </w:rPr>
        <w:t>亟待开展供水管网分区计量</w:t>
      </w:r>
      <w:r>
        <w:tab/>
      </w:r>
      <w:r>
        <w:fldChar w:fldCharType="begin"/>
      </w:r>
      <w:r>
        <w:instrText xml:space="preserve"> PAGEREF _Toc8032566 \h </w:instrText>
      </w:r>
      <w:r>
        <w:fldChar w:fldCharType="separate"/>
      </w:r>
      <w:r>
        <w:t>51</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"_Toc8032567" </w:instrText>
      </w:r>
      <w:r>
        <w:fldChar w:fldCharType="separate"/>
      </w:r>
      <w:r>
        <w:rPr>
          <w:rStyle w:val="46"/>
        </w:rPr>
        <w:t>2.8.3</w:t>
      </w:r>
      <w:r>
        <w:rPr>
          <w:rStyle w:val="46"/>
          <w:rFonts w:hint="eastAsia"/>
        </w:rPr>
        <w:t>公共机构和工业企业节水潜力仍需挖掘</w:t>
      </w:r>
      <w:r>
        <w:tab/>
      </w:r>
      <w:r>
        <w:fldChar w:fldCharType="begin"/>
      </w:r>
      <w:r>
        <w:instrText xml:space="preserve"> PAGEREF _Toc8032567 \h </w:instrText>
      </w:r>
      <w:r>
        <w:fldChar w:fldCharType="separate"/>
      </w:r>
      <w:r>
        <w:t>52</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"_Toc8032568" </w:instrText>
      </w:r>
      <w:r>
        <w:fldChar w:fldCharType="separate"/>
      </w:r>
      <w:r>
        <w:rPr>
          <w:rStyle w:val="46"/>
        </w:rPr>
        <w:t>2.8.4</w:t>
      </w:r>
      <w:r>
        <w:rPr>
          <w:rStyle w:val="46"/>
          <w:rFonts w:hint="eastAsia"/>
        </w:rPr>
        <w:t>社会公众的节约用水意识尚需加强</w:t>
      </w:r>
      <w:r>
        <w:tab/>
      </w:r>
      <w:r>
        <w:fldChar w:fldCharType="begin"/>
      </w:r>
      <w:r>
        <w:instrText xml:space="preserve"> PAGEREF _Toc8032568 \h </w:instrText>
      </w:r>
      <w:r>
        <w:fldChar w:fldCharType="separate"/>
      </w:r>
      <w:r>
        <w:t>52</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"_Toc8032569" </w:instrText>
      </w:r>
      <w:r>
        <w:fldChar w:fldCharType="separate"/>
      </w:r>
      <w:r>
        <w:rPr>
          <w:rStyle w:val="46"/>
        </w:rPr>
        <w:t>2.8.5</w:t>
      </w:r>
      <w:r>
        <w:rPr>
          <w:rStyle w:val="46"/>
          <w:rFonts w:hint="eastAsia"/>
        </w:rPr>
        <w:t>法律监督机制需进一步健全，节水执法力度需强化</w:t>
      </w:r>
      <w:r>
        <w:tab/>
      </w:r>
      <w:r>
        <w:fldChar w:fldCharType="begin"/>
      </w:r>
      <w:r>
        <w:instrText xml:space="preserve"> PAGEREF _Toc8032569 \h </w:instrText>
      </w:r>
      <w:r>
        <w:fldChar w:fldCharType="separate"/>
      </w:r>
      <w:r>
        <w:t>52</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"_Toc8032570" </w:instrText>
      </w:r>
      <w:r>
        <w:fldChar w:fldCharType="separate"/>
      </w:r>
      <w:r>
        <w:rPr>
          <w:rStyle w:val="46"/>
        </w:rPr>
        <w:t>2.8.6</w:t>
      </w:r>
      <w:r>
        <w:rPr>
          <w:rStyle w:val="46"/>
          <w:rFonts w:hint="eastAsia"/>
        </w:rPr>
        <w:t>水资源供需矛盾突出，需推进引水配水等水资源工程。</w:t>
      </w:r>
      <w:r>
        <w:tab/>
      </w:r>
      <w:r>
        <w:fldChar w:fldCharType="begin"/>
      </w:r>
      <w:r>
        <w:instrText xml:space="preserve"> PAGEREF _Toc8032570 \h </w:instrText>
      </w:r>
      <w:r>
        <w:fldChar w:fldCharType="separate"/>
      </w:r>
      <w:r>
        <w:t>53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"_Toc8032571" </w:instrText>
      </w:r>
      <w:r>
        <w:fldChar w:fldCharType="separate"/>
      </w:r>
      <w:r>
        <w:rPr>
          <w:rStyle w:val="46"/>
        </w:rPr>
        <w:t>2.8.7</w:t>
      </w:r>
      <w:r>
        <w:rPr>
          <w:rStyle w:val="46"/>
          <w:rFonts w:hint="eastAsia"/>
        </w:rPr>
        <w:t>企业水平衡测试工作有待进一步加强</w:t>
      </w:r>
      <w:r>
        <w:tab/>
      </w:r>
      <w:r>
        <w:fldChar w:fldCharType="begin"/>
      </w:r>
      <w:r>
        <w:instrText xml:space="preserve"> PAGEREF _Toc8032571 \h </w:instrText>
      </w:r>
      <w:r>
        <w:fldChar w:fldCharType="separate"/>
      </w:r>
      <w:r>
        <w:t>53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"_Toc8032572" </w:instrText>
      </w:r>
      <w:r>
        <w:fldChar w:fldCharType="separate"/>
      </w:r>
      <w:r>
        <w:rPr>
          <w:rStyle w:val="46"/>
        </w:rPr>
        <w:t>2.8.8</w:t>
      </w:r>
      <w:r>
        <w:rPr>
          <w:rStyle w:val="46"/>
          <w:rFonts w:hint="eastAsia"/>
        </w:rPr>
        <w:t>自备井管理不足</w:t>
      </w:r>
      <w:r>
        <w:tab/>
      </w:r>
      <w:r>
        <w:fldChar w:fldCharType="begin"/>
      </w:r>
      <w:r>
        <w:instrText xml:space="preserve"> PAGEREF _Toc8032572 \h </w:instrText>
      </w:r>
      <w:r>
        <w:fldChar w:fldCharType="separate"/>
      </w:r>
      <w:r>
        <w:t>53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"_Toc8032573" </w:instrText>
      </w:r>
      <w:r>
        <w:fldChar w:fldCharType="separate"/>
      </w:r>
      <w:r>
        <w:rPr>
          <w:rStyle w:val="46"/>
        </w:rPr>
        <w:t>2.8.9</w:t>
      </w:r>
      <w:r>
        <w:rPr>
          <w:rStyle w:val="46"/>
          <w:rFonts w:hint="eastAsia"/>
        </w:rPr>
        <w:t>需加大自备井管理</w:t>
      </w:r>
      <w:r>
        <w:tab/>
      </w:r>
      <w:r>
        <w:fldChar w:fldCharType="begin"/>
      </w:r>
      <w:r>
        <w:instrText xml:space="preserve"> PAGEREF _Toc8032573 \h </w:instrText>
      </w:r>
      <w:r>
        <w:fldChar w:fldCharType="separate"/>
      </w:r>
      <w:r>
        <w:t>53</w:t>
      </w:r>
      <w:r>
        <w:fldChar w:fldCharType="end"/>
      </w:r>
      <w:r>
        <w:fldChar w:fldCharType="end"/>
      </w:r>
    </w:p>
    <w:p>
      <w:pPr>
        <w:pStyle w:val="28"/>
        <w:spacing w:line="360" w:lineRule="auto"/>
        <w:ind w:firstLine="562"/>
        <w:rPr>
          <w:rFonts w:asciiTheme="minorHAnsi" w:hAnsiTheme="minorHAnsi" w:eastAsiaTheme="minorEastAsia" w:cstheme="minorBidi"/>
          <w:b w:val="0"/>
          <w:kern w:val="2"/>
          <w:sz w:val="21"/>
          <w:szCs w:val="22"/>
        </w:rPr>
      </w:pPr>
      <w:r>
        <w:fldChar w:fldCharType="begin"/>
      </w:r>
      <w:r>
        <w:instrText xml:space="preserve"> HYPERLINK \l "_Toc8032574" </w:instrText>
      </w:r>
      <w:r>
        <w:fldChar w:fldCharType="separate"/>
      </w:r>
      <w:r>
        <w:rPr>
          <w:rStyle w:val="46"/>
          <w:rFonts w:hint="eastAsia"/>
          <w:spacing w:val="19"/>
        </w:rPr>
        <w:t>第三章</w:t>
      </w:r>
      <w:r>
        <w:rPr>
          <w:rStyle w:val="46"/>
          <w:spacing w:val="19"/>
        </w:rPr>
        <w:t xml:space="preserve">   </w:t>
      </w:r>
      <w:r>
        <w:rPr>
          <w:rStyle w:val="46"/>
          <w:rFonts w:hint="eastAsia"/>
          <w:spacing w:val="19"/>
        </w:rPr>
        <w:t>规划总则</w:t>
      </w:r>
      <w:r>
        <w:tab/>
      </w:r>
      <w:r>
        <w:fldChar w:fldCharType="begin"/>
      </w:r>
      <w:r>
        <w:instrText xml:space="preserve"> PAGEREF _Toc8032574 \h </w:instrText>
      </w:r>
      <w:r>
        <w:fldChar w:fldCharType="separate"/>
      </w:r>
      <w:r>
        <w:t>54</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"_Toc8032575" </w:instrText>
      </w:r>
      <w:r>
        <w:fldChar w:fldCharType="separate"/>
      </w:r>
      <w:r>
        <w:rPr>
          <w:rStyle w:val="46"/>
        </w:rPr>
        <w:t xml:space="preserve">3.1 </w:t>
      </w:r>
      <w:r>
        <w:rPr>
          <w:rStyle w:val="46"/>
          <w:spacing w:val="52"/>
        </w:rPr>
        <w:t xml:space="preserve"> </w:t>
      </w:r>
      <w:r>
        <w:rPr>
          <w:rStyle w:val="46"/>
          <w:rFonts w:hint="eastAsia"/>
          <w:spacing w:val="16"/>
        </w:rPr>
        <w:t>规划目的</w:t>
      </w:r>
      <w:r>
        <w:tab/>
      </w:r>
      <w:r>
        <w:fldChar w:fldCharType="begin"/>
      </w:r>
      <w:r>
        <w:instrText xml:space="preserve"> PAGEREF _Toc8032575 \h </w:instrText>
      </w:r>
      <w:r>
        <w:fldChar w:fldCharType="separate"/>
      </w:r>
      <w:r>
        <w:t>54</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"_Toc8032576" </w:instrText>
      </w:r>
      <w:r>
        <w:fldChar w:fldCharType="separate"/>
      </w:r>
      <w:r>
        <w:rPr>
          <w:rStyle w:val="46"/>
        </w:rPr>
        <w:t>3.2</w:t>
      </w:r>
      <w:r>
        <w:rPr>
          <w:rStyle w:val="46"/>
          <w:spacing w:val="47"/>
        </w:rPr>
        <w:t xml:space="preserve"> </w:t>
      </w:r>
      <w:r>
        <w:rPr>
          <w:rStyle w:val="46"/>
          <w:rFonts w:hint="eastAsia"/>
          <w:spacing w:val="18"/>
        </w:rPr>
        <w:t>规划指导思想</w:t>
      </w:r>
      <w:r>
        <w:tab/>
      </w:r>
      <w:r>
        <w:fldChar w:fldCharType="begin"/>
      </w:r>
      <w:r>
        <w:instrText xml:space="preserve"> PAGEREF _Toc8032576 \h </w:instrText>
      </w:r>
      <w:r>
        <w:fldChar w:fldCharType="separate"/>
      </w:r>
      <w:r>
        <w:t>54</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"_Toc8032577" </w:instrText>
      </w:r>
      <w:r>
        <w:fldChar w:fldCharType="separate"/>
      </w:r>
      <w:r>
        <w:rPr>
          <w:rStyle w:val="46"/>
        </w:rPr>
        <w:t>3.3</w:t>
      </w:r>
      <w:r>
        <w:rPr>
          <w:rStyle w:val="46"/>
          <w:spacing w:val="52"/>
        </w:rPr>
        <w:t xml:space="preserve"> </w:t>
      </w:r>
      <w:r>
        <w:rPr>
          <w:rStyle w:val="46"/>
          <w:rFonts w:hint="eastAsia"/>
          <w:spacing w:val="16"/>
        </w:rPr>
        <w:t>规划原则</w:t>
      </w:r>
      <w:r>
        <w:tab/>
      </w:r>
      <w:r>
        <w:fldChar w:fldCharType="begin"/>
      </w:r>
      <w:r>
        <w:instrText xml:space="preserve"> PAGEREF _Toc8032577 \h </w:instrText>
      </w:r>
      <w:r>
        <w:fldChar w:fldCharType="separate"/>
      </w:r>
      <w:r>
        <w:t>54</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"_Toc8032578" </w:instrText>
      </w:r>
      <w:r>
        <w:fldChar w:fldCharType="separate"/>
      </w:r>
      <w:r>
        <w:rPr>
          <w:rStyle w:val="46"/>
        </w:rPr>
        <w:t xml:space="preserve">3.4 </w:t>
      </w:r>
      <w:r>
        <w:rPr>
          <w:rStyle w:val="46"/>
          <w:spacing w:val="52"/>
        </w:rPr>
        <w:t xml:space="preserve"> </w:t>
      </w:r>
      <w:r>
        <w:rPr>
          <w:rStyle w:val="46"/>
          <w:rFonts w:hint="eastAsia"/>
          <w:spacing w:val="16"/>
        </w:rPr>
        <w:t>编制依据</w:t>
      </w:r>
      <w:r>
        <w:tab/>
      </w:r>
      <w:r>
        <w:fldChar w:fldCharType="begin"/>
      </w:r>
      <w:r>
        <w:instrText xml:space="preserve"> PAGEREF _Toc8032578 \h </w:instrText>
      </w:r>
      <w:r>
        <w:fldChar w:fldCharType="separate"/>
      </w:r>
      <w:r>
        <w:t>55</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"_Toc8032579" </w:instrText>
      </w:r>
      <w:r>
        <w:fldChar w:fldCharType="separate"/>
      </w:r>
      <w:r>
        <w:rPr>
          <w:rStyle w:val="46"/>
        </w:rPr>
        <w:t>3.4.1</w:t>
      </w:r>
      <w:r>
        <w:rPr>
          <w:rStyle w:val="46"/>
          <w:spacing w:val="35"/>
        </w:rPr>
        <w:t xml:space="preserve"> </w:t>
      </w:r>
      <w:r>
        <w:rPr>
          <w:rStyle w:val="46"/>
          <w:rFonts w:hint="eastAsia"/>
          <w:spacing w:val="17"/>
        </w:rPr>
        <w:t>国家及地方有关法规、文件</w:t>
      </w:r>
      <w:r>
        <w:tab/>
      </w:r>
      <w:r>
        <w:fldChar w:fldCharType="begin"/>
      </w:r>
      <w:r>
        <w:instrText xml:space="preserve"> PAGEREF _Toc8032579 \h </w:instrText>
      </w:r>
      <w:r>
        <w:fldChar w:fldCharType="separate"/>
      </w:r>
      <w:r>
        <w:t>55</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"_Toc8032580" </w:instrText>
      </w:r>
      <w:r>
        <w:fldChar w:fldCharType="separate"/>
      </w:r>
      <w:r>
        <w:rPr>
          <w:rStyle w:val="46"/>
        </w:rPr>
        <w:t>3.4.2</w:t>
      </w:r>
      <w:r>
        <w:rPr>
          <w:rStyle w:val="46"/>
          <w:spacing w:val="35"/>
        </w:rPr>
        <w:t xml:space="preserve"> </w:t>
      </w:r>
      <w:r>
        <w:rPr>
          <w:rStyle w:val="46"/>
          <w:rFonts w:hint="eastAsia"/>
          <w:spacing w:val="17"/>
        </w:rPr>
        <w:t>有关规范、技术标准、文件</w:t>
      </w:r>
      <w:r>
        <w:tab/>
      </w:r>
      <w:r>
        <w:fldChar w:fldCharType="begin"/>
      </w:r>
      <w:r>
        <w:instrText xml:space="preserve"> PAGEREF _Toc8032580 \h </w:instrText>
      </w:r>
      <w:r>
        <w:fldChar w:fldCharType="separate"/>
      </w:r>
      <w:r>
        <w:t>56</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"_Toc8032581" </w:instrText>
      </w:r>
      <w:r>
        <w:fldChar w:fldCharType="separate"/>
      </w:r>
      <w:r>
        <w:rPr>
          <w:rStyle w:val="46"/>
        </w:rPr>
        <w:t xml:space="preserve">3.5 </w:t>
      </w:r>
      <w:r>
        <w:rPr>
          <w:rStyle w:val="46"/>
          <w:spacing w:val="45"/>
        </w:rPr>
        <w:t xml:space="preserve"> </w:t>
      </w:r>
      <w:r>
        <w:rPr>
          <w:rStyle w:val="46"/>
          <w:rFonts w:hint="eastAsia"/>
          <w:spacing w:val="17"/>
        </w:rPr>
        <w:t>规划范围和期限</w:t>
      </w:r>
      <w:r>
        <w:tab/>
      </w:r>
      <w:r>
        <w:fldChar w:fldCharType="begin"/>
      </w:r>
      <w:r>
        <w:instrText xml:space="preserve"> PAGEREF _Toc8032581 \h </w:instrText>
      </w:r>
      <w:r>
        <w:fldChar w:fldCharType="separate"/>
      </w:r>
      <w:r>
        <w:t>56</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"_Toc8032582" </w:instrText>
      </w:r>
      <w:r>
        <w:fldChar w:fldCharType="separate"/>
      </w:r>
      <w:r>
        <w:rPr>
          <w:rStyle w:val="46"/>
        </w:rPr>
        <w:t>3.5.1</w:t>
      </w:r>
      <w:r>
        <w:rPr>
          <w:rStyle w:val="46"/>
          <w:spacing w:val="54"/>
        </w:rPr>
        <w:t xml:space="preserve"> </w:t>
      </w:r>
      <w:r>
        <w:rPr>
          <w:rStyle w:val="46"/>
          <w:rFonts w:hint="eastAsia"/>
        </w:rPr>
        <w:t>规划范围</w:t>
      </w:r>
      <w:r>
        <w:tab/>
      </w:r>
      <w:r>
        <w:fldChar w:fldCharType="begin"/>
      </w:r>
      <w:r>
        <w:instrText xml:space="preserve"> PAGEREF _Toc8032582 \h </w:instrText>
      </w:r>
      <w:r>
        <w:fldChar w:fldCharType="separate"/>
      </w:r>
      <w:r>
        <w:t>56</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"_Toc8032583" </w:instrText>
      </w:r>
      <w:r>
        <w:fldChar w:fldCharType="separate"/>
      </w:r>
      <w:r>
        <w:rPr>
          <w:rStyle w:val="46"/>
        </w:rPr>
        <w:t xml:space="preserve">3.5.2 </w:t>
      </w:r>
      <w:r>
        <w:rPr>
          <w:rStyle w:val="46"/>
          <w:rFonts w:hint="eastAsia"/>
        </w:rPr>
        <w:t>规划期限</w:t>
      </w:r>
      <w:r>
        <w:tab/>
      </w:r>
      <w:r>
        <w:fldChar w:fldCharType="begin"/>
      </w:r>
      <w:r>
        <w:instrText xml:space="preserve"> PAGEREF _Toc8032583 \h </w:instrText>
      </w:r>
      <w:r>
        <w:fldChar w:fldCharType="separate"/>
      </w:r>
      <w:r>
        <w:t>57</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"_Toc8032584" </w:instrText>
      </w:r>
      <w:r>
        <w:fldChar w:fldCharType="separate"/>
      </w:r>
      <w:r>
        <w:rPr>
          <w:rStyle w:val="46"/>
        </w:rPr>
        <w:t>3.6</w:t>
      </w:r>
      <w:r>
        <w:rPr>
          <w:rStyle w:val="46"/>
          <w:spacing w:val="52"/>
        </w:rPr>
        <w:t xml:space="preserve"> </w:t>
      </w:r>
      <w:r>
        <w:rPr>
          <w:rStyle w:val="46"/>
          <w:rFonts w:hint="eastAsia"/>
          <w:spacing w:val="16"/>
        </w:rPr>
        <w:t>规划目标</w:t>
      </w:r>
      <w:r>
        <w:tab/>
      </w:r>
      <w:r>
        <w:fldChar w:fldCharType="begin"/>
      </w:r>
      <w:r>
        <w:instrText xml:space="preserve"> PAGEREF _Toc8032584 \h </w:instrText>
      </w:r>
      <w:r>
        <w:fldChar w:fldCharType="separate"/>
      </w:r>
      <w:r>
        <w:t>57</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"_Toc8032585" </w:instrText>
      </w:r>
      <w:r>
        <w:fldChar w:fldCharType="separate"/>
      </w:r>
      <w:r>
        <w:rPr>
          <w:rStyle w:val="46"/>
        </w:rPr>
        <w:t xml:space="preserve">3.6.1 </w:t>
      </w:r>
      <w:r>
        <w:rPr>
          <w:rStyle w:val="46"/>
          <w:rFonts w:hint="eastAsia"/>
        </w:rPr>
        <w:t>总体目标</w:t>
      </w:r>
      <w:r>
        <w:tab/>
      </w:r>
      <w:r>
        <w:fldChar w:fldCharType="begin"/>
      </w:r>
      <w:r>
        <w:instrText xml:space="preserve"> PAGEREF _Toc8032585 \h </w:instrText>
      </w:r>
      <w:r>
        <w:fldChar w:fldCharType="separate"/>
      </w:r>
      <w:r>
        <w:t>57</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"_Toc8032586" </w:instrText>
      </w:r>
      <w:r>
        <w:fldChar w:fldCharType="separate"/>
      </w:r>
      <w:r>
        <w:rPr>
          <w:rStyle w:val="46"/>
        </w:rPr>
        <w:t xml:space="preserve">3.6.2. </w:t>
      </w:r>
      <w:r>
        <w:rPr>
          <w:rStyle w:val="46"/>
          <w:rFonts w:hint="eastAsia"/>
        </w:rPr>
        <w:t>具体目标</w:t>
      </w:r>
      <w:r>
        <w:tab/>
      </w:r>
      <w:r>
        <w:fldChar w:fldCharType="begin"/>
      </w:r>
      <w:r>
        <w:instrText xml:space="preserve"> PAGEREF _Toc8032586 \h </w:instrText>
      </w:r>
      <w:r>
        <w:fldChar w:fldCharType="separate"/>
      </w:r>
      <w:r>
        <w:t>57</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"_Toc8032587" </w:instrText>
      </w:r>
      <w:r>
        <w:fldChar w:fldCharType="separate"/>
      </w:r>
      <w:r>
        <w:rPr>
          <w:rStyle w:val="46"/>
        </w:rPr>
        <w:t xml:space="preserve">3.7  </w:t>
      </w:r>
      <w:r>
        <w:rPr>
          <w:rStyle w:val="46"/>
          <w:rFonts w:hint="eastAsia"/>
          <w:spacing w:val="17"/>
        </w:rPr>
        <w:t>节水规划技术路线</w:t>
      </w:r>
      <w:r>
        <w:tab/>
      </w:r>
      <w:r>
        <w:fldChar w:fldCharType="begin"/>
      </w:r>
      <w:r>
        <w:instrText xml:space="preserve"> PAGEREF _Toc8032587 \h </w:instrText>
      </w:r>
      <w:r>
        <w:fldChar w:fldCharType="separate"/>
      </w:r>
      <w:r>
        <w:t>57</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"_Toc8032588" </w:instrText>
      </w:r>
      <w:r>
        <w:fldChar w:fldCharType="separate"/>
      </w:r>
      <w:r>
        <w:rPr>
          <w:rStyle w:val="46"/>
        </w:rPr>
        <w:t xml:space="preserve">3.8 </w:t>
      </w:r>
      <w:r>
        <w:rPr>
          <w:rStyle w:val="46"/>
          <w:rFonts w:hint="eastAsia"/>
        </w:rPr>
        <w:t>主要任务</w:t>
      </w:r>
      <w:r>
        <w:tab/>
      </w:r>
      <w:r>
        <w:fldChar w:fldCharType="begin"/>
      </w:r>
      <w:r>
        <w:instrText xml:space="preserve"> PAGEREF _Toc8032588 \h </w:instrText>
      </w:r>
      <w:r>
        <w:fldChar w:fldCharType="separate"/>
      </w:r>
      <w:r>
        <w:t>58</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"_Toc8032589" </w:instrText>
      </w:r>
      <w:r>
        <w:fldChar w:fldCharType="separate"/>
      </w:r>
      <w:r>
        <w:rPr>
          <w:rStyle w:val="46"/>
        </w:rPr>
        <w:t>3.8.1</w:t>
      </w:r>
      <w:r>
        <w:rPr>
          <w:rStyle w:val="46"/>
          <w:rFonts w:hint="eastAsia"/>
        </w:rPr>
        <w:t>完善以节水减污为主线的政策保障和措施体系</w:t>
      </w:r>
      <w:r>
        <w:tab/>
      </w:r>
      <w:r>
        <w:fldChar w:fldCharType="begin"/>
      </w:r>
      <w:r>
        <w:instrText xml:space="preserve"> PAGEREF _Toc8032589 \h </w:instrText>
      </w:r>
      <w:r>
        <w:fldChar w:fldCharType="separate"/>
      </w:r>
      <w:r>
        <w:t>58</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"_Toc8032590" </w:instrText>
      </w:r>
      <w:r>
        <w:fldChar w:fldCharType="separate"/>
      </w:r>
      <w:r>
        <w:rPr>
          <w:rStyle w:val="46"/>
        </w:rPr>
        <w:t>3.8.2</w:t>
      </w:r>
      <w:r>
        <w:rPr>
          <w:rStyle w:val="46"/>
          <w:rFonts w:hint="eastAsia"/>
        </w:rPr>
        <w:t>强化以提高用水效率为核心的管理体系</w:t>
      </w:r>
      <w:r>
        <w:tab/>
      </w:r>
      <w:r>
        <w:fldChar w:fldCharType="begin"/>
      </w:r>
      <w:r>
        <w:instrText xml:space="preserve"> PAGEREF _Toc8032590 \h </w:instrText>
      </w:r>
      <w:r>
        <w:fldChar w:fldCharType="separate"/>
      </w:r>
      <w:r>
        <w:t>58</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"_Toc8032591" </w:instrText>
      </w:r>
      <w:r>
        <w:fldChar w:fldCharType="separate"/>
      </w:r>
      <w:r>
        <w:rPr>
          <w:rStyle w:val="46"/>
        </w:rPr>
        <w:t xml:space="preserve">3.8.3 </w:t>
      </w:r>
      <w:r>
        <w:rPr>
          <w:rStyle w:val="46"/>
          <w:rFonts w:hint="eastAsia"/>
        </w:rPr>
        <w:t>建立和促进非常规水资源利用体系</w:t>
      </w:r>
      <w:r>
        <w:tab/>
      </w:r>
      <w:r>
        <w:fldChar w:fldCharType="begin"/>
      </w:r>
      <w:r>
        <w:instrText xml:space="preserve"> PAGEREF _Toc8032591 \h </w:instrText>
      </w:r>
      <w:r>
        <w:fldChar w:fldCharType="separate"/>
      </w:r>
      <w:r>
        <w:t>58</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"_Toc8032592" </w:instrText>
      </w:r>
      <w:r>
        <w:fldChar w:fldCharType="separate"/>
      </w:r>
      <w:r>
        <w:rPr>
          <w:rStyle w:val="46"/>
        </w:rPr>
        <w:t>3.8.4</w:t>
      </w:r>
      <w:r>
        <w:rPr>
          <w:rStyle w:val="46"/>
          <w:rFonts w:hint="eastAsia"/>
        </w:rPr>
        <w:t>积极强化节水技术保障体系</w:t>
      </w:r>
      <w:r>
        <w:tab/>
      </w:r>
      <w:r>
        <w:fldChar w:fldCharType="begin"/>
      </w:r>
      <w:r>
        <w:instrText xml:space="preserve"> PAGEREF _Toc8032592 \h </w:instrText>
      </w:r>
      <w:r>
        <w:fldChar w:fldCharType="separate"/>
      </w:r>
      <w:r>
        <w:t>59</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"_Toc8032593" </w:instrText>
      </w:r>
      <w:r>
        <w:fldChar w:fldCharType="separate"/>
      </w:r>
      <w:r>
        <w:rPr>
          <w:rStyle w:val="46"/>
        </w:rPr>
        <w:t>3.8.5</w:t>
      </w:r>
      <w:r>
        <w:rPr>
          <w:rStyle w:val="46"/>
          <w:rFonts w:hint="eastAsia"/>
        </w:rPr>
        <w:t>建立自觉节水的社会行为规范体系</w:t>
      </w:r>
      <w:r>
        <w:tab/>
      </w:r>
      <w:r>
        <w:fldChar w:fldCharType="begin"/>
      </w:r>
      <w:r>
        <w:instrText xml:space="preserve"> PAGEREF _Toc8032593 \h </w:instrText>
      </w:r>
      <w:r>
        <w:fldChar w:fldCharType="separate"/>
      </w:r>
      <w:r>
        <w:t>59</w:t>
      </w:r>
      <w:r>
        <w:fldChar w:fldCharType="end"/>
      </w:r>
      <w:r>
        <w:fldChar w:fldCharType="end"/>
      </w:r>
    </w:p>
    <w:p>
      <w:pPr>
        <w:pStyle w:val="28"/>
        <w:spacing w:line="360" w:lineRule="auto"/>
        <w:ind w:firstLine="562"/>
        <w:rPr>
          <w:rFonts w:asciiTheme="minorHAnsi" w:hAnsiTheme="minorHAnsi" w:eastAsiaTheme="minorEastAsia" w:cstheme="minorBidi"/>
          <w:b w:val="0"/>
          <w:kern w:val="2"/>
          <w:sz w:val="21"/>
          <w:szCs w:val="22"/>
        </w:rPr>
      </w:pPr>
      <w:r>
        <w:fldChar w:fldCharType="begin"/>
      </w:r>
      <w:r>
        <w:instrText xml:space="preserve"> HYPERLINK \l "_Toc8032594" </w:instrText>
      </w:r>
      <w:r>
        <w:fldChar w:fldCharType="separate"/>
      </w:r>
      <w:r>
        <w:rPr>
          <w:rStyle w:val="46"/>
          <w:rFonts w:hint="eastAsia"/>
          <w:spacing w:val="19"/>
        </w:rPr>
        <w:t>第四章</w:t>
      </w:r>
      <w:r>
        <w:rPr>
          <w:rStyle w:val="46"/>
          <w:spacing w:val="19"/>
        </w:rPr>
        <w:t xml:space="preserve"> </w:t>
      </w:r>
      <w:r>
        <w:rPr>
          <w:rStyle w:val="46"/>
          <w:rFonts w:hint="eastAsia"/>
          <w:spacing w:val="19"/>
        </w:rPr>
        <w:t>城市需水量预测和供需平衡分析</w:t>
      </w:r>
      <w:r>
        <w:tab/>
      </w:r>
      <w:r>
        <w:fldChar w:fldCharType="begin"/>
      </w:r>
      <w:r>
        <w:instrText xml:space="preserve"> PAGEREF _Toc8032594 \h </w:instrText>
      </w:r>
      <w:r>
        <w:fldChar w:fldCharType="separate"/>
      </w:r>
      <w:r>
        <w:t>60</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"_Toc8032595" </w:instrText>
      </w:r>
      <w:r>
        <w:fldChar w:fldCharType="separate"/>
      </w:r>
      <w:r>
        <w:rPr>
          <w:rStyle w:val="46"/>
        </w:rPr>
        <w:t>4.1</w:t>
      </w:r>
      <w:r>
        <w:rPr>
          <w:rStyle w:val="46"/>
          <w:rFonts w:hint="eastAsia"/>
        </w:rPr>
        <w:t>城市需水量预测</w:t>
      </w:r>
      <w:r>
        <w:tab/>
      </w:r>
      <w:r>
        <w:fldChar w:fldCharType="begin"/>
      </w:r>
      <w:r>
        <w:instrText xml:space="preserve"> PAGEREF _Toc8032595 \h </w:instrText>
      </w:r>
      <w:r>
        <w:fldChar w:fldCharType="separate"/>
      </w:r>
      <w:r>
        <w:t>60</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"_Toc8032596" </w:instrText>
      </w:r>
      <w:r>
        <w:fldChar w:fldCharType="separate"/>
      </w:r>
      <w:r>
        <w:rPr>
          <w:rStyle w:val="46"/>
        </w:rPr>
        <w:t>4.1.1</w:t>
      </w:r>
      <w:r>
        <w:rPr>
          <w:rStyle w:val="46"/>
          <w:rFonts w:hint="eastAsia"/>
        </w:rPr>
        <w:t>指导思想</w:t>
      </w:r>
      <w:r>
        <w:tab/>
      </w:r>
      <w:r>
        <w:fldChar w:fldCharType="begin"/>
      </w:r>
      <w:r>
        <w:instrText xml:space="preserve"> PAGEREF _Toc8032596 \h </w:instrText>
      </w:r>
      <w:r>
        <w:fldChar w:fldCharType="separate"/>
      </w:r>
      <w:r>
        <w:t>60</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"_Toc8032597" </w:instrText>
      </w:r>
      <w:r>
        <w:fldChar w:fldCharType="separate"/>
      </w:r>
      <w:r>
        <w:rPr>
          <w:rStyle w:val="46"/>
        </w:rPr>
        <w:t>4.1.2</w:t>
      </w:r>
      <w:r>
        <w:rPr>
          <w:rStyle w:val="46"/>
          <w:rFonts w:hint="eastAsia"/>
        </w:rPr>
        <w:t>需水量预测的方法</w:t>
      </w:r>
      <w:r>
        <w:tab/>
      </w:r>
      <w:r>
        <w:fldChar w:fldCharType="begin"/>
      </w:r>
      <w:r>
        <w:instrText xml:space="preserve"> PAGEREF _Toc8032597 \h </w:instrText>
      </w:r>
      <w:r>
        <w:fldChar w:fldCharType="separate"/>
      </w:r>
      <w:r>
        <w:t>60</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"_Toc8032598" </w:instrText>
      </w:r>
      <w:r>
        <w:fldChar w:fldCharType="separate"/>
      </w:r>
      <w:r>
        <w:rPr>
          <w:rStyle w:val="46"/>
        </w:rPr>
        <w:t>4.1.3</w:t>
      </w:r>
      <w:r>
        <w:rPr>
          <w:rStyle w:val="46"/>
          <w:rFonts w:hint="eastAsia"/>
        </w:rPr>
        <w:t>需水量预测的指标选择</w:t>
      </w:r>
      <w:r>
        <w:tab/>
      </w:r>
      <w:r>
        <w:fldChar w:fldCharType="begin"/>
      </w:r>
      <w:r>
        <w:instrText xml:space="preserve"> PAGEREF _Toc8032598 \h </w:instrText>
      </w:r>
      <w:r>
        <w:fldChar w:fldCharType="separate"/>
      </w:r>
      <w:r>
        <w:t>60</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"_Toc8032599" </w:instrText>
      </w:r>
      <w:r>
        <w:fldChar w:fldCharType="separate"/>
      </w:r>
      <w:r>
        <w:rPr>
          <w:rStyle w:val="46"/>
        </w:rPr>
        <w:t>4.1.4</w:t>
      </w:r>
      <w:r>
        <w:rPr>
          <w:rStyle w:val="46"/>
          <w:rFonts w:hint="eastAsia"/>
        </w:rPr>
        <w:t>中心城区需水量计算</w:t>
      </w:r>
      <w:r>
        <w:tab/>
      </w:r>
      <w:r>
        <w:fldChar w:fldCharType="begin"/>
      </w:r>
      <w:r>
        <w:instrText xml:space="preserve"> PAGEREF _Toc8032599 \h </w:instrText>
      </w:r>
      <w:r>
        <w:fldChar w:fldCharType="separate"/>
      </w:r>
      <w:r>
        <w:t>61</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"_Toc8032600" </w:instrText>
      </w:r>
      <w:r>
        <w:fldChar w:fldCharType="separate"/>
      </w:r>
      <w:r>
        <w:rPr>
          <w:rStyle w:val="46"/>
        </w:rPr>
        <w:t>4.1.4.1</w:t>
      </w:r>
      <w:r>
        <w:rPr>
          <w:rStyle w:val="46"/>
          <w:rFonts w:hint="eastAsia"/>
        </w:rPr>
        <w:t>分类用水指标法</w:t>
      </w:r>
      <w:r>
        <w:tab/>
      </w:r>
      <w:r>
        <w:fldChar w:fldCharType="begin"/>
      </w:r>
      <w:r>
        <w:instrText xml:space="preserve"> PAGEREF _Toc8032600 \h </w:instrText>
      </w:r>
      <w:r>
        <w:fldChar w:fldCharType="separate"/>
      </w:r>
      <w:r>
        <w:t>61</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"_Toc8032601" </w:instrText>
      </w:r>
      <w:r>
        <w:fldChar w:fldCharType="separate"/>
      </w:r>
      <w:r>
        <w:rPr>
          <w:rStyle w:val="46"/>
        </w:rPr>
        <w:t>4.1.4.2</w:t>
      </w:r>
      <w:r>
        <w:rPr>
          <w:rStyle w:val="46"/>
          <w:rFonts w:hint="eastAsia"/>
        </w:rPr>
        <w:t>人均综合用水量指标法</w:t>
      </w:r>
      <w:r>
        <w:tab/>
      </w:r>
      <w:r>
        <w:fldChar w:fldCharType="begin"/>
      </w:r>
      <w:r>
        <w:instrText xml:space="preserve"> PAGEREF _Toc8032601 \h </w:instrText>
      </w:r>
      <w:r>
        <w:fldChar w:fldCharType="separate"/>
      </w:r>
      <w:r>
        <w:t>61</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"_Toc8032602" </w:instrText>
      </w:r>
      <w:r>
        <w:fldChar w:fldCharType="separate"/>
      </w:r>
      <w:r>
        <w:rPr>
          <w:rStyle w:val="46"/>
        </w:rPr>
        <w:t>4.1.4.3</w:t>
      </w:r>
      <w:r>
        <w:rPr>
          <w:rStyle w:val="46"/>
          <w:rFonts w:hint="eastAsia"/>
        </w:rPr>
        <w:t>中心城区需水量确定</w:t>
      </w:r>
      <w:r>
        <w:tab/>
      </w:r>
      <w:r>
        <w:fldChar w:fldCharType="begin"/>
      </w:r>
      <w:r>
        <w:instrText xml:space="preserve"> PAGEREF _Toc8032602 \h </w:instrText>
      </w:r>
      <w:r>
        <w:fldChar w:fldCharType="separate"/>
      </w:r>
      <w:r>
        <w:t>61</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"_Toc8032603" </w:instrText>
      </w:r>
      <w:r>
        <w:fldChar w:fldCharType="separate"/>
      </w:r>
      <w:r>
        <w:rPr>
          <w:rStyle w:val="46"/>
        </w:rPr>
        <w:t>4.1.5</w:t>
      </w:r>
      <w:r>
        <w:rPr>
          <w:rStyle w:val="46"/>
          <w:rFonts w:hint="eastAsia"/>
        </w:rPr>
        <w:t>供水规模确定</w:t>
      </w:r>
      <w:r>
        <w:tab/>
      </w:r>
      <w:r>
        <w:fldChar w:fldCharType="begin"/>
      </w:r>
      <w:r>
        <w:instrText xml:space="preserve"> PAGEREF _Toc8032603 \h </w:instrText>
      </w:r>
      <w:r>
        <w:fldChar w:fldCharType="separate"/>
      </w:r>
      <w:r>
        <w:t>61</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"_Toc8032604" </w:instrText>
      </w:r>
      <w:r>
        <w:fldChar w:fldCharType="separate"/>
      </w:r>
      <w:r>
        <w:rPr>
          <w:rStyle w:val="46"/>
        </w:rPr>
        <w:t xml:space="preserve">4.2 </w:t>
      </w:r>
      <w:r>
        <w:rPr>
          <w:rStyle w:val="46"/>
          <w:rFonts w:hint="eastAsia"/>
        </w:rPr>
        <w:t>水源评价及选择</w:t>
      </w:r>
      <w:r>
        <w:tab/>
      </w:r>
      <w:r>
        <w:fldChar w:fldCharType="begin"/>
      </w:r>
      <w:r>
        <w:instrText xml:space="preserve"> PAGEREF _Toc8032604 \h </w:instrText>
      </w:r>
      <w:r>
        <w:fldChar w:fldCharType="separate"/>
      </w:r>
      <w:r>
        <w:t>61</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"_Toc8032605" </w:instrText>
      </w:r>
      <w:r>
        <w:fldChar w:fldCharType="separate"/>
      </w:r>
      <w:r>
        <w:rPr>
          <w:rStyle w:val="46"/>
        </w:rPr>
        <w:t>4.3</w:t>
      </w:r>
      <w:r>
        <w:rPr>
          <w:rStyle w:val="46"/>
          <w:rFonts w:hint="eastAsia"/>
        </w:rPr>
        <w:t>水量供需平衡分析</w:t>
      </w:r>
      <w:r>
        <w:tab/>
      </w:r>
      <w:r>
        <w:fldChar w:fldCharType="begin"/>
      </w:r>
      <w:r>
        <w:instrText xml:space="preserve"> PAGEREF _Toc8032605 \h </w:instrText>
      </w:r>
      <w:r>
        <w:fldChar w:fldCharType="separate"/>
      </w:r>
      <w:r>
        <w:t>63</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"_Toc8032606" </w:instrText>
      </w:r>
      <w:r>
        <w:fldChar w:fldCharType="separate"/>
      </w:r>
      <w:r>
        <w:rPr>
          <w:rStyle w:val="46"/>
        </w:rPr>
        <w:t xml:space="preserve">4.4 </w:t>
      </w:r>
      <w:r>
        <w:rPr>
          <w:rStyle w:val="46"/>
          <w:rFonts w:hint="eastAsia"/>
        </w:rPr>
        <w:t>规划节水潜力分析</w:t>
      </w:r>
      <w:r>
        <w:tab/>
      </w:r>
      <w:r>
        <w:fldChar w:fldCharType="begin"/>
      </w:r>
      <w:r>
        <w:instrText xml:space="preserve"> PAGEREF _Toc8032606 \h </w:instrText>
      </w:r>
      <w:r>
        <w:fldChar w:fldCharType="separate"/>
      </w:r>
      <w:r>
        <w:t>64</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"_Toc8032607" </w:instrText>
      </w:r>
      <w:r>
        <w:fldChar w:fldCharType="separate"/>
      </w:r>
      <w:r>
        <w:rPr>
          <w:rStyle w:val="46"/>
        </w:rPr>
        <w:t>4.4.1</w:t>
      </w:r>
      <w:r>
        <w:rPr>
          <w:rStyle w:val="46"/>
          <w:rFonts w:hint="eastAsia"/>
        </w:rPr>
        <w:t>规划工业节水量分析</w:t>
      </w:r>
      <w:r>
        <w:tab/>
      </w:r>
      <w:r>
        <w:fldChar w:fldCharType="begin"/>
      </w:r>
      <w:r>
        <w:instrText xml:space="preserve"> PAGEREF _Toc8032607 \h </w:instrText>
      </w:r>
      <w:r>
        <w:fldChar w:fldCharType="separate"/>
      </w:r>
      <w:r>
        <w:t>64</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"_Toc8032608" </w:instrText>
      </w:r>
      <w:r>
        <w:fldChar w:fldCharType="separate"/>
      </w:r>
      <w:r>
        <w:rPr>
          <w:rStyle w:val="46"/>
        </w:rPr>
        <w:t>4.4.2</w:t>
      </w:r>
      <w:r>
        <w:rPr>
          <w:rStyle w:val="46"/>
          <w:rFonts w:hint="eastAsia"/>
        </w:rPr>
        <w:t>规划生活节水量分析</w:t>
      </w:r>
      <w:r>
        <w:tab/>
      </w:r>
      <w:r>
        <w:fldChar w:fldCharType="begin"/>
      </w:r>
      <w:r>
        <w:instrText xml:space="preserve"> PAGEREF _Toc8032608 \h </w:instrText>
      </w:r>
      <w:r>
        <w:fldChar w:fldCharType="separate"/>
      </w:r>
      <w:r>
        <w:t>65</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"_Toc8032609" </w:instrText>
      </w:r>
      <w:r>
        <w:fldChar w:fldCharType="separate"/>
      </w:r>
      <w:r>
        <w:rPr>
          <w:rStyle w:val="46"/>
        </w:rPr>
        <w:t>4.4.3</w:t>
      </w:r>
      <w:r>
        <w:rPr>
          <w:rStyle w:val="46"/>
          <w:rFonts w:hint="eastAsia"/>
        </w:rPr>
        <w:t>非常规水资源利用节水潜力分析</w:t>
      </w:r>
      <w:r>
        <w:tab/>
      </w:r>
      <w:r>
        <w:fldChar w:fldCharType="begin"/>
      </w:r>
      <w:r>
        <w:instrText xml:space="preserve"> PAGEREF _Toc8032609 \h </w:instrText>
      </w:r>
      <w:r>
        <w:fldChar w:fldCharType="separate"/>
      </w:r>
      <w:r>
        <w:t>65</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"_Toc8032610" </w:instrText>
      </w:r>
      <w:r>
        <w:fldChar w:fldCharType="separate"/>
      </w:r>
      <w:r>
        <w:rPr>
          <w:rStyle w:val="46"/>
        </w:rPr>
        <w:t>4.4.4</w:t>
      </w:r>
      <w:r>
        <w:rPr>
          <w:rStyle w:val="46"/>
          <w:rFonts w:hint="eastAsia"/>
        </w:rPr>
        <w:t>总体节水潜力分析</w:t>
      </w:r>
      <w:r>
        <w:tab/>
      </w:r>
      <w:r>
        <w:fldChar w:fldCharType="begin"/>
      </w:r>
      <w:r>
        <w:instrText xml:space="preserve"> PAGEREF _Toc8032610 \h </w:instrText>
      </w:r>
      <w:r>
        <w:fldChar w:fldCharType="separate"/>
      </w:r>
      <w:r>
        <w:t>65</w:t>
      </w:r>
      <w:r>
        <w:fldChar w:fldCharType="end"/>
      </w:r>
      <w:r>
        <w:fldChar w:fldCharType="end"/>
      </w:r>
    </w:p>
    <w:p>
      <w:pPr>
        <w:pStyle w:val="28"/>
        <w:spacing w:line="360" w:lineRule="auto"/>
        <w:ind w:firstLine="562"/>
        <w:rPr>
          <w:rFonts w:asciiTheme="minorHAnsi" w:hAnsiTheme="minorHAnsi" w:eastAsiaTheme="minorEastAsia" w:cstheme="minorBidi"/>
          <w:b w:val="0"/>
          <w:kern w:val="2"/>
          <w:sz w:val="21"/>
          <w:szCs w:val="22"/>
        </w:rPr>
      </w:pPr>
      <w:r>
        <w:fldChar w:fldCharType="begin"/>
      </w:r>
      <w:r>
        <w:instrText xml:space="preserve"> HYPERLINK \l "_Toc8032611" </w:instrText>
      </w:r>
      <w:r>
        <w:fldChar w:fldCharType="separate"/>
      </w:r>
      <w:r>
        <w:rPr>
          <w:rStyle w:val="46"/>
          <w:rFonts w:hint="eastAsia"/>
        </w:rPr>
        <w:t>第五章</w:t>
      </w:r>
      <w:r>
        <w:rPr>
          <w:rStyle w:val="46"/>
        </w:rPr>
        <w:t xml:space="preserve">  </w:t>
      </w:r>
      <w:r>
        <w:rPr>
          <w:rStyle w:val="46"/>
          <w:rFonts w:hint="eastAsia"/>
        </w:rPr>
        <w:t>节约用水指标体系和规划目标</w:t>
      </w:r>
      <w:r>
        <w:tab/>
      </w:r>
      <w:r>
        <w:fldChar w:fldCharType="begin"/>
      </w:r>
      <w:r>
        <w:instrText xml:space="preserve"> PAGEREF _Toc8032611 \h </w:instrText>
      </w:r>
      <w:r>
        <w:fldChar w:fldCharType="separate"/>
      </w:r>
      <w:r>
        <w:t>66</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"_Toc8032612" </w:instrText>
      </w:r>
      <w:r>
        <w:fldChar w:fldCharType="separate"/>
      </w:r>
      <w:r>
        <w:rPr>
          <w:rStyle w:val="46"/>
        </w:rPr>
        <w:t xml:space="preserve">5.1 </w:t>
      </w:r>
      <w:r>
        <w:rPr>
          <w:rStyle w:val="46"/>
          <w:spacing w:val="42"/>
        </w:rPr>
        <w:t xml:space="preserve"> </w:t>
      </w:r>
      <w:r>
        <w:rPr>
          <w:rStyle w:val="46"/>
          <w:rFonts w:hint="eastAsia"/>
          <w:spacing w:val="17"/>
        </w:rPr>
        <w:t>节约用水指标体系</w:t>
      </w:r>
      <w:r>
        <w:tab/>
      </w:r>
      <w:r>
        <w:fldChar w:fldCharType="begin"/>
      </w:r>
      <w:r>
        <w:instrText xml:space="preserve"> PAGEREF _Toc8032612 \h </w:instrText>
      </w:r>
      <w:r>
        <w:fldChar w:fldCharType="separate"/>
      </w:r>
      <w:r>
        <w:t>66</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"_Toc8032613" </w:instrText>
      </w:r>
      <w:r>
        <w:fldChar w:fldCharType="separate"/>
      </w:r>
      <w:r>
        <w:rPr>
          <w:rStyle w:val="46"/>
        </w:rPr>
        <w:t xml:space="preserve">5.2 </w:t>
      </w:r>
      <w:r>
        <w:rPr>
          <w:rStyle w:val="46"/>
          <w:spacing w:val="42"/>
        </w:rPr>
        <w:t xml:space="preserve"> </w:t>
      </w:r>
      <w:r>
        <w:rPr>
          <w:rStyle w:val="46"/>
          <w:rFonts w:hint="eastAsia"/>
          <w:spacing w:val="17"/>
        </w:rPr>
        <w:t>节约用水规划目标</w:t>
      </w:r>
      <w:r>
        <w:tab/>
      </w:r>
      <w:r>
        <w:fldChar w:fldCharType="begin"/>
      </w:r>
      <w:r>
        <w:instrText xml:space="preserve"> PAGEREF _Toc8032613 \h </w:instrText>
      </w:r>
      <w:r>
        <w:fldChar w:fldCharType="separate"/>
      </w:r>
      <w:r>
        <w:t>67</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"_Toc8032614" </w:instrText>
      </w:r>
      <w:r>
        <w:fldChar w:fldCharType="separate"/>
      </w:r>
      <w:r>
        <w:rPr>
          <w:rStyle w:val="46"/>
        </w:rPr>
        <w:t>5.2.1</w:t>
      </w:r>
      <w:r>
        <w:rPr>
          <w:rStyle w:val="46"/>
          <w:spacing w:val="37"/>
        </w:rPr>
        <w:t xml:space="preserve"> </w:t>
      </w:r>
      <w:r>
        <w:rPr>
          <w:rStyle w:val="46"/>
          <w:rFonts w:hint="eastAsia"/>
          <w:spacing w:val="15"/>
        </w:rPr>
        <w:t>城市节约用水规划目标值</w:t>
      </w:r>
      <w:r>
        <w:tab/>
      </w:r>
      <w:r>
        <w:fldChar w:fldCharType="begin"/>
      </w:r>
      <w:r>
        <w:instrText xml:space="preserve"> PAGEREF _Toc8032614 \h </w:instrText>
      </w:r>
      <w:r>
        <w:fldChar w:fldCharType="separate"/>
      </w:r>
      <w:r>
        <w:t>67</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"_Toc8032615" </w:instrText>
      </w:r>
      <w:r>
        <w:fldChar w:fldCharType="separate"/>
      </w:r>
      <w:r>
        <w:rPr>
          <w:rStyle w:val="46"/>
        </w:rPr>
        <w:t>5.2.2.1</w:t>
      </w:r>
      <w:r>
        <w:rPr>
          <w:rStyle w:val="46"/>
          <w:spacing w:val="-3"/>
        </w:rPr>
        <w:t xml:space="preserve"> </w:t>
      </w:r>
      <w:r>
        <w:rPr>
          <w:rStyle w:val="46"/>
          <w:rFonts w:hint="eastAsia"/>
          <w:spacing w:val="18"/>
        </w:rPr>
        <w:t>基础管理指标</w:t>
      </w:r>
      <w:r>
        <w:tab/>
      </w:r>
      <w:r>
        <w:fldChar w:fldCharType="begin"/>
      </w:r>
      <w:r>
        <w:instrText xml:space="preserve"> PAGEREF _Toc8032615 \h </w:instrText>
      </w:r>
      <w:r>
        <w:fldChar w:fldCharType="separate"/>
      </w:r>
      <w:r>
        <w:t>67</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"_Toc8032616" </w:instrText>
      </w:r>
      <w:r>
        <w:fldChar w:fldCharType="separate"/>
      </w:r>
      <w:r>
        <w:rPr>
          <w:rStyle w:val="46"/>
        </w:rPr>
        <w:t>5.2.2.2</w:t>
      </w:r>
      <w:r>
        <w:rPr>
          <w:rStyle w:val="46"/>
          <w:spacing w:val="-3"/>
        </w:rPr>
        <w:t xml:space="preserve"> </w:t>
      </w:r>
      <w:r>
        <w:rPr>
          <w:rStyle w:val="46"/>
          <w:rFonts w:hint="eastAsia"/>
        </w:rPr>
        <w:t>技术考核指标</w:t>
      </w:r>
      <w:r>
        <w:tab/>
      </w:r>
      <w:r>
        <w:fldChar w:fldCharType="begin"/>
      </w:r>
      <w:r>
        <w:instrText xml:space="preserve"> PAGEREF _Toc8032616 \h </w:instrText>
      </w:r>
      <w:r>
        <w:fldChar w:fldCharType="separate"/>
      </w:r>
      <w:r>
        <w:t>67</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"_Toc8032617" </w:instrText>
      </w:r>
      <w:r>
        <w:fldChar w:fldCharType="separate"/>
      </w:r>
      <w:r>
        <w:rPr>
          <w:rStyle w:val="46"/>
        </w:rPr>
        <w:t xml:space="preserve">5.3  </w:t>
      </w:r>
      <w:r>
        <w:rPr>
          <w:rStyle w:val="46"/>
          <w:rFonts w:hint="eastAsia"/>
        </w:rPr>
        <w:t>实现目标的总体构想</w:t>
      </w:r>
      <w:r>
        <w:tab/>
      </w:r>
      <w:r>
        <w:fldChar w:fldCharType="begin"/>
      </w:r>
      <w:r>
        <w:instrText xml:space="preserve"> PAGEREF _Toc8032617 \h </w:instrText>
      </w:r>
      <w:r>
        <w:fldChar w:fldCharType="separate"/>
      </w:r>
      <w:r>
        <w:t>69</w:t>
      </w:r>
      <w:r>
        <w:fldChar w:fldCharType="end"/>
      </w:r>
      <w:r>
        <w:fldChar w:fldCharType="end"/>
      </w:r>
    </w:p>
    <w:p>
      <w:pPr>
        <w:pStyle w:val="28"/>
        <w:spacing w:line="360" w:lineRule="auto"/>
        <w:ind w:firstLine="562"/>
        <w:rPr>
          <w:rFonts w:asciiTheme="minorHAnsi" w:hAnsiTheme="minorHAnsi" w:eastAsiaTheme="minorEastAsia" w:cstheme="minorBidi"/>
          <w:b w:val="0"/>
          <w:kern w:val="2"/>
          <w:sz w:val="21"/>
          <w:szCs w:val="22"/>
        </w:rPr>
      </w:pPr>
      <w:r>
        <w:fldChar w:fldCharType="begin"/>
      </w:r>
      <w:r>
        <w:instrText xml:space="preserve"> HYPERLINK \l "_Toc8032618" </w:instrText>
      </w:r>
      <w:r>
        <w:fldChar w:fldCharType="separate"/>
      </w:r>
      <w:r>
        <w:rPr>
          <w:rStyle w:val="46"/>
          <w:rFonts w:hint="eastAsia"/>
        </w:rPr>
        <w:t>第六章</w:t>
      </w:r>
      <w:r>
        <w:rPr>
          <w:rStyle w:val="46"/>
        </w:rPr>
        <w:t xml:space="preserve">  </w:t>
      </w:r>
      <w:r>
        <w:rPr>
          <w:rStyle w:val="46"/>
          <w:rFonts w:hint="eastAsia"/>
        </w:rPr>
        <w:t>重点区域与领域节水</w:t>
      </w:r>
      <w:r>
        <w:tab/>
      </w:r>
      <w:r>
        <w:fldChar w:fldCharType="begin"/>
      </w:r>
      <w:r>
        <w:instrText xml:space="preserve"> PAGEREF _Toc8032618 \h </w:instrText>
      </w:r>
      <w:r>
        <w:fldChar w:fldCharType="separate"/>
      </w:r>
      <w:r>
        <w:t>70</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"_Toc8032619" </w:instrText>
      </w:r>
      <w:r>
        <w:fldChar w:fldCharType="separate"/>
      </w:r>
      <w:r>
        <w:rPr>
          <w:rStyle w:val="46"/>
        </w:rPr>
        <w:t>6.1</w:t>
      </w:r>
      <w:r>
        <w:rPr>
          <w:rStyle w:val="46"/>
          <w:rFonts w:hint="eastAsia"/>
        </w:rPr>
        <w:t>重点区域</w:t>
      </w:r>
      <w:r>
        <w:tab/>
      </w:r>
      <w:r>
        <w:fldChar w:fldCharType="begin"/>
      </w:r>
      <w:r>
        <w:instrText xml:space="preserve"> PAGEREF _Toc8032619 \h </w:instrText>
      </w:r>
      <w:r>
        <w:fldChar w:fldCharType="separate"/>
      </w:r>
      <w:r>
        <w:t>70</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"_Toc8032620" </w:instrText>
      </w:r>
      <w:r>
        <w:fldChar w:fldCharType="separate"/>
      </w:r>
      <w:r>
        <w:rPr>
          <w:rStyle w:val="46"/>
        </w:rPr>
        <w:t>6.1.1</w:t>
      </w:r>
      <w:r>
        <w:rPr>
          <w:rStyle w:val="46"/>
          <w:rFonts w:hint="eastAsia"/>
        </w:rPr>
        <w:t>区域发展布局</w:t>
      </w:r>
      <w:r>
        <w:tab/>
      </w:r>
      <w:r>
        <w:fldChar w:fldCharType="begin"/>
      </w:r>
      <w:r>
        <w:instrText xml:space="preserve"> PAGEREF _Toc8032620 \h </w:instrText>
      </w:r>
      <w:r>
        <w:fldChar w:fldCharType="separate"/>
      </w:r>
      <w:r>
        <w:t>70</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"_Toc8032621" </w:instrText>
      </w:r>
      <w:r>
        <w:fldChar w:fldCharType="separate"/>
      </w:r>
      <w:r>
        <w:rPr>
          <w:rStyle w:val="46"/>
        </w:rPr>
        <w:t>6.1.2</w:t>
      </w:r>
      <w:r>
        <w:rPr>
          <w:rStyle w:val="46"/>
          <w:rFonts w:hint="eastAsia"/>
        </w:rPr>
        <w:t>重点区域</w:t>
      </w:r>
      <w:r>
        <w:tab/>
      </w:r>
      <w:r>
        <w:fldChar w:fldCharType="begin"/>
      </w:r>
      <w:r>
        <w:instrText xml:space="preserve"> PAGEREF _Toc8032621 \h </w:instrText>
      </w:r>
      <w:r>
        <w:fldChar w:fldCharType="separate"/>
      </w:r>
      <w:r>
        <w:t>70</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"_Toc8032622" </w:instrText>
      </w:r>
      <w:r>
        <w:fldChar w:fldCharType="separate"/>
      </w:r>
      <w:r>
        <w:rPr>
          <w:rStyle w:val="46"/>
        </w:rPr>
        <w:t>6.2</w:t>
      </w:r>
      <w:r>
        <w:rPr>
          <w:rStyle w:val="46"/>
          <w:rFonts w:hint="eastAsia"/>
        </w:rPr>
        <w:t>城市居民和非居民生活节水对策与措施</w:t>
      </w:r>
      <w:r>
        <w:tab/>
      </w:r>
      <w:r>
        <w:fldChar w:fldCharType="begin"/>
      </w:r>
      <w:r>
        <w:instrText xml:space="preserve"> PAGEREF _Toc8032622 \h </w:instrText>
      </w:r>
      <w:r>
        <w:fldChar w:fldCharType="separate"/>
      </w:r>
      <w:r>
        <w:t>72</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"_Toc8032623" </w:instrText>
      </w:r>
      <w:r>
        <w:fldChar w:fldCharType="separate"/>
      </w:r>
      <w:r>
        <w:rPr>
          <w:rStyle w:val="46"/>
        </w:rPr>
        <w:t>6.2.1</w:t>
      </w:r>
      <w:r>
        <w:rPr>
          <w:rStyle w:val="46"/>
          <w:rFonts w:hint="eastAsia"/>
        </w:rPr>
        <w:t>节水目标</w:t>
      </w:r>
      <w:r>
        <w:tab/>
      </w:r>
      <w:r>
        <w:fldChar w:fldCharType="begin"/>
      </w:r>
      <w:r>
        <w:instrText xml:space="preserve"> PAGEREF _Toc8032623 \h </w:instrText>
      </w:r>
      <w:r>
        <w:fldChar w:fldCharType="separate"/>
      </w:r>
      <w:r>
        <w:t>72</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"_Toc8032624" </w:instrText>
      </w:r>
      <w:r>
        <w:fldChar w:fldCharType="separate"/>
      </w:r>
      <w:r>
        <w:rPr>
          <w:rStyle w:val="46"/>
        </w:rPr>
        <w:t>6.2.2</w:t>
      </w:r>
      <w:r>
        <w:rPr>
          <w:rStyle w:val="46"/>
          <w:rFonts w:hint="eastAsia"/>
        </w:rPr>
        <w:t>节水目标预期效果</w:t>
      </w:r>
      <w:r>
        <w:tab/>
      </w:r>
      <w:r>
        <w:fldChar w:fldCharType="begin"/>
      </w:r>
      <w:r>
        <w:instrText xml:space="preserve"> PAGEREF _Toc8032624 \h </w:instrText>
      </w:r>
      <w:r>
        <w:fldChar w:fldCharType="separate"/>
      </w:r>
      <w:r>
        <w:t>72</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"_Toc8032625" </w:instrText>
      </w:r>
      <w:r>
        <w:fldChar w:fldCharType="separate"/>
      </w:r>
      <w:r>
        <w:rPr>
          <w:rStyle w:val="46"/>
        </w:rPr>
        <w:t>6.2.3</w:t>
      </w:r>
      <w:r>
        <w:rPr>
          <w:rStyle w:val="46"/>
          <w:rFonts w:hint="eastAsia"/>
        </w:rPr>
        <w:t>节水对策措施</w:t>
      </w:r>
      <w:r>
        <w:tab/>
      </w:r>
      <w:r>
        <w:fldChar w:fldCharType="begin"/>
      </w:r>
      <w:r>
        <w:instrText xml:space="preserve"> PAGEREF _Toc8032625 \h </w:instrText>
      </w:r>
      <w:r>
        <w:fldChar w:fldCharType="separate"/>
      </w:r>
      <w:r>
        <w:t>72</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"_Toc8032626" </w:instrText>
      </w:r>
      <w:r>
        <w:fldChar w:fldCharType="separate"/>
      </w:r>
      <w:r>
        <w:rPr>
          <w:rStyle w:val="46"/>
        </w:rPr>
        <w:t>6.2.3.1</w:t>
      </w:r>
      <w:r>
        <w:rPr>
          <w:rStyle w:val="46"/>
          <w:rFonts w:hint="eastAsia"/>
        </w:rPr>
        <w:t>深入开展节水宣传教育，提高全民节水意识</w:t>
      </w:r>
      <w:r>
        <w:tab/>
      </w:r>
      <w:r>
        <w:fldChar w:fldCharType="begin"/>
      </w:r>
      <w:r>
        <w:instrText xml:space="preserve"> PAGEREF _Toc8032626 \h </w:instrText>
      </w:r>
      <w:r>
        <w:fldChar w:fldCharType="separate"/>
      </w:r>
      <w:r>
        <w:t>72</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"_Toc8032627" </w:instrText>
      </w:r>
      <w:r>
        <w:fldChar w:fldCharType="separate"/>
      </w:r>
      <w:r>
        <w:rPr>
          <w:rStyle w:val="46"/>
        </w:rPr>
        <w:t>6.2.3.2</w:t>
      </w:r>
      <w:r>
        <w:rPr>
          <w:rStyle w:val="46"/>
          <w:rFonts w:hint="eastAsia"/>
        </w:rPr>
        <w:t>加强节水器具和节水装置的普及和管理</w:t>
      </w:r>
      <w:r>
        <w:tab/>
      </w:r>
      <w:r>
        <w:fldChar w:fldCharType="begin"/>
      </w:r>
      <w:r>
        <w:instrText xml:space="preserve"> PAGEREF _Toc8032627 \h </w:instrText>
      </w:r>
      <w:r>
        <w:fldChar w:fldCharType="separate"/>
      </w:r>
      <w:r>
        <w:t>73</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"_Toc8032628" </w:instrText>
      </w:r>
      <w:r>
        <w:fldChar w:fldCharType="separate"/>
      </w:r>
      <w:r>
        <w:rPr>
          <w:rStyle w:val="46"/>
        </w:rPr>
        <w:t>6.2.3.3</w:t>
      </w:r>
      <w:r>
        <w:rPr>
          <w:rStyle w:val="46"/>
          <w:rFonts w:hint="eastAsia"/>
        </w:rPr>
        <w:t>加强水平衡测试，全面推行计划用水和定额管理</w:t>
      </w:r>
      <w:r>
        <w:tab/>
      </w:r>
      <w:r>
        <w:fldChar w:fldCharType="begin"/>
      </w:r>
      <w:r>
        <w:instrText xml:space="preserve"> PAGEREF _Toc8032628 \h </w:instrText>
      </w:r>
      <w:r>
        <w:fldChar w:fldCharType="separate"/>
      </w:r>
      <w:r>
        <w:t>75</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"_Toc8032629" </w:instrText>
      </w:r>
      <w:r>
        <w:fldChar w:fldCharType="separate"/>
      </w:r>
      <w:r>
        <w:rPr>
          <w:rStyle w:val="46"/>
        </w:rPr>
        <w:t>6.3</w:t>
      </w:r>
      <w:r>
        <w:rPr>
          <w:rStyle w:val="46"/>
          <w:rFonts w:hint="eastAsia"/>
        </w:rPr>
        <w:t>城市管网改造</w:t>
      </w:r>
      <w:r>
        <w:tab/>
      </w:r>
      <w:r>
        <w:fldChar w:fldCharType="begin"/>
      </w:r>
      <w:r>
        <w:instrText xml:space="preserve"> PAGEREF _Toc8032629 \h </w:instrText>
      </w:r>
      <w:r>
        <w:fldChar w:fldCharType="separate"/>
      </w:r>
      <w:r>
        <w:t>75</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"_Toc8032630" </w:instrText>
      </w:r>
      <w:r>
        <w:fldChar w:fldCharType="separate"/>
      </w:r>
      <w:r>
        <w:rPr>
          <w:rStyle w:val="46"/>
        </w:rPr>
        <w:t>6.3.1</w:t>
      </w:r>
      <w:r>
        <w:rPr>
          <w:rStyle w:val="46"/>
          <w:rFonts w:hint="eastAsia"/>
        </w:rPr>
        <w:t>降低城市供水管网漏水率</w:t>
      </w:r>
      <w:r>
        <w:tab/>
      </w:r>
      <w:r>
        <w:fldChar w:fldCharType="begin"/>
      </w:r>
      <w:r>
        <w:instrText xml:space="preserve"> PAGEREF _Toc8032630 \h </w:instrText>
      </w:r>
      <w:r>
        <w:fldChar w:fldCharType="separate"/>
      </w:r>
      <w:r>
        <w:t>75</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"_Toc8032631" </w:instrText>
      </w:r>
      <w:r>
        <w:fldChar w:fldCharType="separate"/>
      </w:r>
      <w:r>
        <w:rPr>
          <w:rStyle w:val="46"/>
        </w:rPr>
        <w:t>6.3.2</w:t>
      </w:r>
      <w:r>
        <w:rPr>
          <w:rStyle w:val="46"/>
          <w:rFonts w:hint="eastAsia"/>
        </w:rPr>
        <w:t>加快排水管网改造和建设</w:t>
      </w:r>
      <w:r>
        <w:tab/>
      </w:r>
      <w:r>
        <w:fldChar w:fldCharType="begin"/>
      </w:r>
      <w:r>
        <w:instrText xml:space="preserve"> PAGEREF _Toc8032631 \h </w:instrText>
      </w:r>
      <w:r>
        <w:fldChar w:fldCharType="separate"/>
      </w:r>
      <w:r>
        <w:t>78</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"_Toc8032632" </w:instrText>
      </w:r>
      <w:r>
        <w:fldChar w:fldCharType="separate"/>
      </w:r>
      <w:r>
        <w:rPr>
          <w:rStyle w:val="46"/>
        </w:rPr>
        <w:t>6.3.2.1</w:t>
      </w:r>
      <w:r>
        <w:rPr>
          <w:rStyle w:val="46"/>
          <w:rFonts w:hint="eastAsia"/>
        </w:rPr>
        <w:t>加强管网现状调查与勘测</w:t>
      </w:r>
      <w:r>
        <w:tab/>
      </w:r>
      <w:r>
        <w:fldChar w:fldCharType="begin"/>
      </w:r>
      <w:r>
        <w:instrText xml:space="preserve"> PAGEREF _Toc8032632 \h </w:instrText>
      </w:r>
      <w:r>
        <w:fldChar w:fldCharType="separate"/>
      </w:r>
      <w:r>
        <w:t>78</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"_Toc8032633" </w:instrText>
      </w:r>
      <w:r>
        <w:fldChar w:fldCharType="separate"/>
      </w:r>
      <w:r>
        <w:rPr>
          <w:rStyle w:val="46"/>
        </w:rPr>
        <w:t>6.3.2.2</w:t>
      </w:r>
      <w:r>
        <w:rPr>
          <w:rStyle w:val="46"/>
          <w:rFonts w:hint="eastAsia"/>
        </w:rPr>
        <w:t>推进部分老城区雨污合流制改造</w:t>
      </w:r>
      <w:r>
        <w:tab/>
      </w:r>
      <w:r>
        <w:fldChar w:fldCharType="begin"/>
      </w:r>
      <w:r>
        <w:instrText xml:space="preserve"> PAGEREF _Toc8032633 \h </w:instrText>
      </w:r>
      <w:r>
        <w:fldChar w:fldCharType="separate"/>
      </w:r>
      <w:r>
        <w:t>78</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"_Toc8032634" </w:instrText>
      </w:r>
      <w:r>
        <w:fldChar w:fldCharType="separate"/>
      </w:r>
      <w:r>
        <w:rPr>
          <w:rStyle w:val="46"/>
        </w:rPr>
        <w:t>6.3.2.3</w:t>
      </w:r>
      <w:r>
        <w:rPr>
          <w:rStyle w:val="46"/>
          <w:rFonts w:hint="eastAsia"/>
        </w:rPr>
        <w:t>加快新老城区雨污分流制改造和建设</w:t>
      </w:r>
      <w:r>
        <w:tab/>
      </w:r>
      <w:r>
        <w:fldChar w:fldCharType="begin"/>
      </w:r>
      <w:r>
        <w:instrText xml:space="preserve"> PAGEREF _Toc8032634 \h </w:instrText>
      </w:r>
      <w:r>
        <w:fldChar w:fldCharType="separate"/>
      </w:r>
      <w:r>
        <w:t>80</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"_Toc8032635" </w:instrText>
      </w:r>
      <w:r>
        <w:fldChar w:fldCharType="separate"/>
      </w:r>
      <w:r>
        <w:rPr>
          <w:rStyle w:val="46"/>
        </w:rPr>
        <w:t>6.3.2.4</w:t>
      </w:r>
      <w:r>
        <w:rPr>
          <w:rStyle w:val="46"/>
          <w:rFonts w:hint="eastAsia"/>
        </w:rPr>
        <w:t>定期维护及更换排水管道</w:t>
      </w:r>
      <w:r>
        <w:tab/>
      </w:r>
      <w:r>
        <w:fldChar w:fldCharType="begin"/>
      </w:r>
      <w:r>
        <w:instrText xml:space="preserve"> PAGEREF _Toc8032635 \h </w:instrText>
      </w:r>
      <w:r>
        <w:fldChar w:fldCharType="separate"/>
      </w:r>
      <w:r>
        <w:t>81</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"_Toc8032636" </w:instrText>
      </w:r>
      <w:r>
        <w:fldChar w:fldCharType="separate"/>
      </w:r>
      <w:r>
        <w:rPr>
          <w:rStyle w:val="46"/>
        </w:rPr>
        <w:t>6.3.3</w:t>
      </w:r>
      <w:r>
        <w:rPr>
          <w:rStyle w:val="46"/>
          <w:rFonts w:hint="eastAsia"/>
        </w:rPr>
        <w:t>推进居住小区二次供水设施改造</w:t>
      </w:r>
      <w:r>
        <w:tab/>
      </w:r>
      <w:r>
        <w:fldChar w:fldCharType="begin"/>
      </w:r>
      <w:r>
        <w:instrText xml:space="preserve"> PAGEREF _Toc8032636 \h </w:instrText>
      </w:r>
      <w:r>
        <w:fldChar w:fldCharType="separate"/>
      </w:r>
      <w:r>
        <w:t>81</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"_Toc8032637" </w:instrText>
      </w:r>
      <w:r>
        <w:fldChar w:fldCharType="separate"/>
      </w:r>
      <w:r>
        <w:rPr>
          <w:rStyle w:val="46"/>
        </w:rPr>
        <w:t>6.4</w:t>
      </w:r>
      <w:r>
        <w:rPr>
          <w:rStyle w:val="46"/>
          <w:rFonts w:hint="eastAsia"/>
        </w:rPr>
        <w:t>信息化建设</w:t>
      </w:r>
      <w:r>
        <w:tab/>
      </w:r>
      <w:r>
        <w:fldChar w:fldCharType="begin"/>
      </w:r>
      <w:r>
        <w:instrText xml:space="preserve"> PAGEREF _Toc8032637 \h </w:instrText>
      </w:r>
      <w:r>
        <w:fldChar w:fldCharType="separate"/>
      </w:r>
      <w:r>
        <w:t>82</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"_Toc8032638" </w:instrText>
      </w:r>
      <w:r>
        <w:fldChar w:fldCharType="separate"/>
      </w:r>
      <w:r>
        <w:rPr>
          <w:rStyle w:val="46"/>
        </w:rPr>
        <w:t>6.4.1</w:t>
      </w:r>
      <w:r>
        <w:rPr>
          <w:rStyle w:val="46"/>
          <w:rFonts w:hint="eastAsia"/>
        </w:rPr>
        <w:t>节水系统信息化</w:t>
      </w:r>
      <w:r>
        <w:tab/>
      </w:r>
      <w:r>
        <w:fldChar w:fldCharType="begin"/>
      </w:r>
      <w:r>
        <w:instrText xml:space="preserve"> PAGEREF _Toc8032638 \h </w:instrText>
      </w:r>
      <w:r>
        <w:fldChar w:fldCharType="separate"/>
      </w:r>
      <w:r>
        <w:t>82</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"_Toc8032639" </w:instrText>
      </w:r>
      <w:r>
        <w:fldChar w:fldCharType="separate"/>
      </w:r>
      <w:r>
        <w:rPr>
          <w:rStyle w:val="46"/>
        </w:rPr>
        <w:t>6.4.2</w:t>
      </w:r>
      <w:r>
        <w:rPr>
          <w:rStyle w:val="46"/>
          <w:rFonts w:hint="eastAsia"/>
        </w:rPr>
        <w:t>排水系统信息化</w:t>
      </w:r>
      <w:r>
        <w:tab/>
      </w:r>
      <w:r>
        <w:fldChar w:fldCharType="begin"/>
      </w:r>
      <w:r>
        <w:instrText xml:space="preserve"> PAGEREF _Toc8032639 \h </w:instrText>
      </w:r>
      <w:r>
        <w:fldChar w:fldCharType="separate"/>
      </w:r>
      <w:r>
        <w:t>83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"_Toc8032640" </w:instrText>
      </w:r>
      <w:r>
        <w:fldChar w:fldCharType="separate"/>
      </w:r>
      <w:r>
        <w:rPr>
          <w:rStyle w:val="46"/>
        </w:rPr>
        <w:t>6.4.3</w:t>
      </w:r>
      <w:r>
        <w:rPr>
          <w:rStyle w:val="46"/>
          <w:rFonts w:hint="eastAsia"/>
        </w:rPr>
        <w:t>水环境生态系统信息化</w:t>
      </w:r>
      <w:r>
        <w:tab/>
      </w:r>
      <w:r>
        <w:fldChar w:fldCharType="begin"/>
      </w:r>
      <w:r>
        <w:instrText xml:space="preserve"> PAGEREF _Toc8032640 \h </w:instrText>
      </w:r>
      <w:r>
        <w:fldChar w:fldCharType="separate"/>
      </w:r>
      <w:r>
        <w:t>84</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"_Toc8032641" </w:instrText>
      </w:r>
      <w:r>
        <w:fldChar w:fldCharType="separate"/>
      </w:r>
      <w:r>
        <w:rPr>
          <w:rStyle w:val="46"/>
        </w:rPr>
        <w:t>6.4.4</w:t>
      </w:r>
      <w:r>
        <w:rPr>
          <w:rStyle w:val="46"/>
          <w:rFonts w:hint="eastAsia"/>
        </w:rPr>
        <w:t>节水宣传信息化</w:t>
      </w:r>
      <w:r>
        <w:tab/>
      </w:r>
      <w:r>
        <w:fldChar w:fldCharType="begin"/>
      </w:r>
      <w:r>
        <w:instrText xml:space="preserve"> PAGEREF _Toc8032641 \h </w:instrText>
      </w:r>
      <w:r>
        <w:fldChar w:fldCharType="separate"/>
      </w:r>
      <w:r>
        <w:t>84</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"_Toc8032642" </w:instrText>
      </w:r>
      <w:r>
        <w:fldChar w:fldCharType="separate"/>
      </w:r>
      <w:r>
        <w:rPr>
          <w:rStyle w:val="46"/>
        </w:rPr>
        <w:t>6.5</w:t>
      </w:r>
      <w:r>
        <w:rPr>
          <w:rStyle w:val="46"/>
          <w:rFonts w:hint="eastAsia"/>
        </w:rPr>
        <w:t>非常规水资源利用政策与措施</w:t>
      </w:r>
      <w:r>
        <w:tab/>
      </w:r>
      <w:r>
        <w:fldChar w:fldCharType="begin"/>
      </w:r>
      <w:r>
        <w:instrText xml:space="preserve"> PAGEREF _Toc8032642 \h </w:instrText>
      </w:r>
      <w:r>
        <w:fldChar w:fldCharType="separate"/>
      </w:r>
      <w:r>
        <w:t>85</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"_Toc8032643" </w:instrText>
      </w:r>
      <w:r>
        <w:fldChar w:fldCharType="separate"/>
      </w:r>
      <w:r>
        <w:rPr>
          <w:rStyle w:val="46"/>
        </w:rPr>
        <w:t>6.5.1</w:t>
      </w:r>
      <w:r>
        <w:rPr>
          <w:rStyle w:val="46"/>
          <w:rFonts w:hint="eastAsia"/>
        </w:rPr>
        <w:t>再生水利用</w:t>
      </w:r>
      <w:r>
        <w:tab/>
      </w:r>
      <w:r>
        <w:fldChar w:fldCharType="begin"/>
      </w:r>
      <w:r>
        <w:instrText xml:space="preserve"> PAGEREF _Toc8032643 \h </w:instrText>
      </w:r>
      <w:r>
        <w:fldChar w:fldCharType="separate"/>
      </w:r>
      <w:r>
        <w:t>85</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"_Toc8032644" </w:instrText>
      </w:r>
      <w:r>
        <w:fldChar w:fldCharType="separate"/>
      </w:r>
      <w:r>
        <w:rPr>
          <w:rStyle w:val="46"/>
        </w:rPr>
        <w:t>6.5.2</w:t>
      </w:r>
      <w:r>
        <w:rPr>
          <w:rStyle w:val="46"/>
          <w:rFonts w:hint="eastAsia"/>
        </w:rPr>
        <w:t>雨水利用</w:t>
      </w:r>
      <w:r>
        <w:tab/>
      </w:r>
      <w:r>
        <w:fldChar w:fldCharType="begin"/>
      </w:r>
      <w:r>
        <w:instrText xml:space="preserve"> PAGEREF _Toc8032644 \h </w:instrText>
      </w:r>
      <w:r>
        <w:fldChar w:fldCharType="separate"/>
      </w:r>
      <w:r>
        <w:t>87</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"_Toc8032645" </w:instrText>
      </w:r>
      <w:r>
        <w:fldChar w:fldCharType="separate"/>
      </w:r>
      <w:r>
        <w:rPr>
          <w:rStyle w:val="46"/>
        </w:rPr>
        <w:t>6.5.3</w:t>
      </w:r>
      <w:r>
        <w:rPr>
          <w:rStyle w:val="46"/>
          <w:rFonts w:hint="eastAsia"/>
        </w:rPr>
        <w:t>矿井水利用</w:t>
      </w:r>
      <w:r>
        <w:tab/>
      </w:r>
      <w:r>
        <w:fldChar w:fldCharType="begin"/>
      </w:r>
      <w:r>
        <w:instrText xml:space="preserve"> PAGEREF _Toc8032645 \h </w:instrText>
      </w:r>
      <w:r>
        <w:fldChar w:fldCharType="separate"/>
      </w:r>
      <w:r>
        <w:t>90</w:t>
      </w:r>
      <w:r>
        <w:fldChar w:fldCharType="end"/>
      </w:r>
      <w:r>
        <w:fldChar w:fldCharType="end"/>
      </w:r>
    </w:p>
    <w:p>
      <w:pPr>
        <w:pStyle w:val="28"/>
        <w:spacing w:line="360" w:lineRule="auto"/>
        <w:ind w:firstLine="562"/>
        <w:rPr>
          <w:rFonts w:asciiTheme="minorHAnsi" w:hAnsiTheme="minorHAnsi" w:eastAsiaTheme="minorEastAsia" w:cstheme="minorBidi"/>
          <w:b w:val="0"/>
          <w:kern w:val="2"/>
          <w:sz w:val="21"/>
          <w:szCs w:val="22"/>
        </w:rPr>
      </w:pPr>
      <w:r>
        <w:fldChar w:fldCharType="begin"/>
      </w:r>
      <w:r>
        <w:instrText xml:space="preserve"> HYPERLINK \l "_Toc8032646" </w:instrText>
      </w:r>
      <w:r>
        <w:fldChar w:fldCharType="separate"/>
      </w:r>
      <w:r>
        <w:rPr>
          <w:rStyle w:val="46"/>
          <w:rFonts w:hint="eastAsia"/>
        </w:rPr>
        <w:t>第七章</w:t>
      </w:r>
      <w:r>
        <w:rPr>
          <w:rStyle w:val="46"/>
        </w:rPr>
        <w:t xml:space="preserve">  </w:t>
      </w:r>
      <w:r>
        <w:rPr>
          <w:rStyle w:val="46"/>
          <w:rFonts w:hint="eastAsia"/>
        </w:rPr>
        <w:t>城市节水政策措施建设</w:t>
      </w:r>
      <w:r>
        <w:tab/>
      </w:r>
      <w:r>
        <w:fldChar w:fldCharType="begin"/>
      </w:r>
      <w:r>
        <w:instrText xml:space="preserve"> PAGEREF _Toc8032646 \h </w:instrText>
      </w:r>
      <w:r>
        <w:fldChar w:fldCharType="separate"/>
      </w:r>
      <w:r>
        <w:t>92</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"_Toc8032647" </w:instrText>
      </w:r>
      <w:r>
        <w:fldChar w:fldCharType="separate"/>
      </w:r>
      <w:r>
        <w:rPr>
          <w:rStyle w:val="46"/>
        </w:rPr>
        <w:t>7.1</w:t>
      </w:r>
      <w:r>
        <w:rPr>
          <w:rStyle w:val="46"/>
          <w:rFonts w:hint="eastAsia"/>
        </w:rPr>
        <w:t>完善节水法规政策</w:t>
      </w:r>
      <w:r>
        <w:tab/>
      </w:r>
      <w:r>
        <w:fldChar w:fldCharType="begin"/>
      </w:r>
      <w:r>
        <w:instrText xml:space="preserve"> PAGEREF _Toc8032647 \h </w:instrText>
      </w:r>
      <w:r>
        <w:fldChar w:fldCharType="separate"/>
      </w:r>
      <w:r>
        <w:t>92</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"_Toc8032649" </w:instrText>
      </w:r>
      <w:r>
        <w:fldChar w:fldCharType="separate"/>
      </w:r>
      <w:r>
        <w:rPr>
          <w:rStyle w:val="46"/>
        </w:rPr>
        <w:t>7.</w:t>
      </w:r>
      <w:r>
        <w:rPr>
          <w:rStyle w:val="46"/>
          <w:rFonts w:hint="eastAsia"/>
        </w:rPr>
        <w:t>2强化城市规划引领制度</w:t>
      </w:r>
      <w:r>
        <w:tab/>
      </w:r>
      <w:r>
        <w:fldChar w:fldCharType="begin"/>
      </w:r>
      <w:r>
        <w:instrText xml:space="preserve"> PAGEREF _Toc8032649 \h </w:instrText>
      </w:r>
      <w:r>
        <w:fldChar w:fldCharType="separate"/>
      </w:r>
      <w:r>
        <w:t>92</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"_Toc8032650" </w:instrText>
      </w:r>
      <w:r>
        <w:fldChar w:fldCharType="separate"/>
      </w:r>
      <w:r>
        <w:rPr>
          <w:rStyle w:val="46"/>
        </w:rPr>
        <w:t>7.</w:t>
      </w:r>
      <w:r>
        <w:rPr>
          <w:rStyle w:val="46"/>
          <w:rFonts w:hint="eastAsia"/>
        </w:rPr>
        <w:t>3建立节水奖惩制度</w:t>
      </w:r>
      <w:r>
        <w:tab/>
      </w:r>
      <w:r>
        <w:fldChar w:fldCharType="begin"/>
      </w:r>
      <w:r>
        <w:instrText xml:space="preserve"> PAGEREF _Toc8032650 \h </w:instrText>
      </w:r>
      <w:r>
        <w:fldChar w:fldCharType="separate"/>
      </w:r>
      <w:r>
        <w:t>92</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"_Toc8032651" </w:instrText>
      </w:r>
      <w:r>
        <w:fldChar w:fldCharType="separate"/>
      </w:r>
      <w:r>
        <w:rPr>
          <w:rStyle w:val="46"/>
        </w:rPr>
        <w:t>7.</w:t>
      </w:r>
      <w:r>
        <w:rPr>
          <w:rStyle w:val="46"/>
          <w:rFonts w:hint="eastAsia"/>
        </w:rPr>
        <w:t>4严格实施计划用水和定额管理制度</w:t>
      </w:r>
      <w:r>
        <w:tab/>
      </w:r>
      <w:r>
        <w:fldChar w:fldCharType="begin"/>
      </w:r>
      <w:r>
        <w:instrText xml:space="preserve"> PAGEREF _Toc8032651 \h </w:instrText>
      </w:r>
      <w:r>
        <w:fldChar w:fldCharType="separate"/>
      </w:r>
      <w:r>
        <w:t>93</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"_Toc8032652" </w:instrText>
      </w:r>
      <w:r>
        <w:fldChar w:fldCharType="separate"/>
      </w:r>
      <w:r>
        <w:rPr>
          <w:rStyle w:val="46"/>
        </w:rPr>
        <w:t>7.</w:t>
      </w:r>
      <w:r>
        <w:rPr>
          <w:rStyle w:val="46"/>
          <w:rFonts w:hint="eastAsia"/>
        </w:rPr>
        <w:t>5推进</w:t>
      </w:r>
      <w:r>
        <w:rPr>
          <w:rStyle w:val="46"/>
        </w:rPr>
        <w:t>“</w:t>
      </w:r>
      <w:r>
        <w:rPr>
          <w:rStyle w:val="46"/>
          <w:rFonts w:hint="eastAsia"/>
        </w:rPr>
        <w:t>节水三同时</w:t>
      </w:r>
      <w:r>
        <w:rPr>
          <w:rStyle w:val="46"/>
        </w:rPr>
        <w:t>”</w:t>
      </w:r>
      <w:r>
        <w:rPr>
          <w:rStyle w:val="46"/>
          <w:rFonts w:hint="eastAsia"/>
        </w:rPr>
        <w:t>管理制度</w:t>
      </w:r>
      <w:r>
        <w:tab/>
      </w:r>
      <w:r>
        <w:fldChar w:fldCharType="begin"/>
      </w:r>
      <w:r>
        <w:instrText xml:space="preserve"> PAGEREF _Toc8032652 \h </w:instrText>
      </w:r>
      <w:r>
        <w:fldChar w:fldCharType="separate"/>
      </w:r>
      <w:r>
        <w:t>93</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"_Toc8032653" </w:instrText>
      </w:r>
      <w:r>
        <w:fldChar w:fldCharType="separate"/>
      </w:r>
      <w:r>
        <w:rPr>
          <w:rStyle w:val="46"/>
        </w:rPr>
        <w:t>7.</w:t>
      </w:r>
      <w:r>
        <w:rPr>
          <w:rStyle w:val="46"/>
          <w:rFonts w:hint="eastAsia"/>
        </w:rPr>
        <w:t>6建立节水产品推广制度</w:t>
      </w:r>
      <w:r>
        <w:tab/>
      </w:r>
      <w:r>
        <w:fldChar w:fldCharType="begin"/>
      </w:r>
      <w:r>
        <w:instrText xml:space="preserve"> PAGEREF _Toc8032653 \h </w:instrText>
      </w:r>
      <w:r>
        <w:fldChar w:fldCharType="separate"/>
      </w:r>
      <w:r>
        <w:t>93</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"_Toc8032654" </w:instrText>
      </w:r>
      <w:r>
        <w:fldChar w:fldCharType="separate"/>
      </w:r>
      <w:r>
        <w:rPr>
          <w:rStyle w:val="46"/>
        </w:rPr>
        <w:t>7.</w:t>
      </w:r>
      <w:r>
        <w:rPr>
          <w:rStyle w:val="46"/>
          <w:rFonts w:hint="eastAsia"/>
        </w:rPr>
        <w:t>7鼓励和促进合同节水管理制度</w:t>
      </w:r>
      <w:r>
        <w:tab/>
      </w:r>
      <w:r>
        <w:fldChar w:fldCharType="begin"/>
      </w:r>
      <w:r>
        <w:instrText xml:space="preserve"> PAGEREF _Toc8032654 \h </w:instrText>
      </w:r>
      <w:r>
        <w:fldChar w:fldCharType="separate"/>
      </w:r>
      <w:r>
        <w:t>93</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"_Toc8032655" </w:instrText>
      </w:r>
      <w:r>
        <w:fldChar w:fldCharType="separate"/>
      </w:r>
      <w:r>
        <w:rPr>
          <w:rStyle w:val="46"/>
        </w:rPr>
        <w:t>7.</w:t>
      </w:r>
      <w:r>
        <w:rPr>
          <w:rStyle w:val="46"/>
          <w:rFonts w:hint="eastAsia"/>
        </w:rPr>
        <w:t>8吸引社会资本机制建设</w:t>
      </w:r>
      <w:r>
        <w:tab/>
      </w:r>
      <w:r>
        <w:fldChar w:fldCharType="begin"/>
      </w:r>
      <w:r>
        <w:instrText xml:space="preserve"> PAGEREF _Toc8032655 \h </w:instrText>
      </w:r>
      <w:r>
        <w:fldChar w:fldCharType="separate"/>
      </w:r>
      <w:r>
        <w:t>93</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"_Toc8032656" </w:instrText>
      </w:r>
      <w:r>
        <w:fldChar w:fldCharType="separate"/>
      </w:r>
      <w:r>
        <w:rPr>
          <w:rStyle w:val="46"/>
        </w:rPr>
        <w:t>7.</w:t>
      </w:r>
      <w:r>
        <w:rPr>
          <w:rStyle w:val="46"/>
          <w:rFonts w:hint="eastAsia"/>
        </w:rPr>
        <w:t>9强化节水型企业体制建设</w:t>
      </w:r>
      <w:r>
        <w:tab/>
      </w:r>
      <w:r>
        <w:fldChar w:fldCharType="begin"/>
      </w:r>
      <w:r>
        <w:instrText xml:space="preserve"> PAGEREF _Toc8032656 \h </w:instrText>
      </w:r>
      <w:r>
        <w:fldChar w:fldCharType="separate"/>
      </w:r>
      <w:r>
        <w:t>93</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"_Toc8032657" </w:instrText>
      </w:r>
      <w:r>
        <w:fldChar w:fldCharType="separate"/>
      </w:r>
      <w:r>
        <w:rPr>
          <w:rStyle w:val="46"/>
        </w:rPr>
        <w:t>7.1</w:t>
      </w:r>
      <w:r>
        <w:rPr>
          <w:rStyle w:val="46"/>
          <w:rFonts w:hint="eastAsia"/>
        </w:rPr>
        <w:t>0探索非常规水资源利用促进长效机制</w:t>
      </w:r>
      <w:r>
        <w:tab/>
      </w:r>
      <w:r>
        <w:fldChar w:fldCharType="begin"/>
      </w:r>
      <w:r>
        <w:instrText xml:space="preserve"> PAGEREF _Toc8032657 \h </w:instrText>
      </w:r>
      <w:r>
        <w:fldChar w:fldCharType="separate"/>
      </w:r>
      <w:r>
        <w:t>94</w:t>
      </w:r>
      <w:r>
        <w:fldChar w:fldCharType="end"/>
      </w:r>
      <w:r>
        <w:fldChar w:fldCharType="end"/>
      </w:r>
    </w:p>
    <w:p>
      <w:pPr>
        <w:pStyle w:val="28"/>
        <w:spacing w:line="360" w:lineRule="auto"/>
        <w:ind w:firstLine="562"/>
        <w:rPr>
          <w:rFonts w:asciiTheme="minorHAnsi" w:hAnsiTheme="minorHAnsi" w:eastAsiaTheme="minorEastAsia" w:cstheme="minorBidi"/>
          <w:b w:val="0"/>
          <w:kern w:val="2"/>
          <w:sz w:val="21"/>
          <w:szCs w:val="22"/>
        </w:rPr>
      </w:pPr>
      <w:r>
        <w:fldChar w:fldCharType="begin"/>
      </w:r>
      <w:r>
        <w:instrText xml:space="preserve"> HYPERLINK \l "_Toc8032658" </w:instrText>
      </w:r>
      <w:r>
        <w:fldChar w:fldCharType="separate"/>
      </w:r>
      <w:r>
        <w:rPr>
          <w:rStyle w:val="46"/>
          <w:rFonts w:hint="eastAsia"/>
        </w:rPr>
        <w:t>第八章</w:t>
      </w:r>
      <w:r>
        <w:rPr>
          <w:rStyle w:val="46"/>
        </w:rPr>
        <w:t xml:space="preserve">   </w:t>
      </w:r>
      <w:r>
        <w:rPr>
          <w:rStyle w:val="46"/>
          <w:rFonts w:hint="eastAsia"/>
        </w:rPr>
        <w:t>城市节水重点工程量及投资估算</w:t>
      </w:r>
      <w:r>
        <w:tab/>
      </w:r>
      <w:r>
        <w:fldChar w:fldCharType="begin"/>
      </w:r>
      <w:r>
        <w:instrText xml:space="preserve"> PAGEREF _Toc8032658 \h </w:instrText>
      </w:r>
      <w:r>
        <w:fldChar w:fldCharType="separate"/>
      </w:r>
      <w:r>
        <w:t>96</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"_Toc8032659" </w:instrText>
      </w:r>
      <w:r>
        <w:fldChar w:fldCharType="separate"/>
      </w:r>
      <w:r>
        <w:rPr>
          <w:rStyle w:val="46"/>
        </w:rPr>
        <w:t>8.1</w:t>
      </w:r>
      <w:r>
        <w:rPr>
          <w:rStyle w:val="46"/>
          <w:rFonts w:hint="eastAsia"/>
        </w:rPr>
        <w:t>工业节水重点工程</w:t>
      </w:r>
      <w:r>
        <w:tab/>
      </w:r>
      <w:r>
        <w:fldChar w:fldCharType="begin"/>
      </w:r>
      <w:r>
        <w:instrText xml:space="preserve"> PAGEREF _Toc8032659 \h </w:instrText>
      </w:r>
      <w:r>
        <w:fldChar w:fldCharType="separate"/>
      </w:r>
      <w:r>
        <w:t>96</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"_Toc8032660" </w:instrText>
      </w:r>
      <w:r>
        <w:fldChar w:fldCharType="separate"/>
      </w:r>
      <w:r>
        <w:rPr>
          <w:rStyle w:val="46"/>
        </w:rPr>
        <w:t>8.2</w:t>
      </w:r>
      <w:r>
        <w:rPr>
          <w:rStyle w:val="46"/>
          <w:rFonts w:hint="eastAsia"/>
        </w:rPr>
        <w:t>生活节水重点工程</w:t>
      </w:r>
      <w:r>
        <w:tab/>
      </w:r>
      <w:r>
        <w:fldChar w:fldCharType="begin"/>
      </w:r>
      <w:r>
        <w:instrText xml:space="preserve"> PAGEREF _Toc8032660 \h </w:instrText>
      </w:r>
      <w:r>
        <w:fldChar w:fldCharType="separate"/>
      </w:r>
      <w:r>
        <w:t>97</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"_Toc8032661" </w:instrText>
      </w:r>
      <w:r>
        <w:fldChar w:fldCharType="separate"/>
      </w:r>
      <w:r>
        <w:rPr>
          <w:rStyle w:val="46"/>
        </w:rPr>
        <w:t>8.3</w:t>
      </w:r>
      <w:r>
        <w:rPr>
          <w:rStyle w:val="46"/>
          <w:rFonts w:hint="eastAsia"/>
        </w:rPr>
        <w:t>非常规水资源利用工程</w:t>
      </w:r>
      <w:r>
        <w:tab/>
      </w:r>
      <w:r>
        <w:fldChar w:fldCharType="begin"/>
      </w:r>
      <w:r>
        <w:instrText xml:space="preserve"> PAGEREF _Toc8032661 \h </w:instrText>
      </w:r>
      <w:r>
        <w:fldChar w:fldCharType="separate"/>
      </w:r>
      <w:r>
        <w:t>98</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"_Toc8032662" </w:instrText>
      </w:r>
      <w:r>
        <w:fldChar w:fldCharType="separate"/>
      </w:r>
      <w:r>
        <w:rPr>
          <w:rStyle w:val="46"/>
        </w:rPr>
        <w:t>8.4</w:t>
      </w:r>
      <w:r>
        <w:rPr>
          <w:rStyle w:val="46"/>
          <w:rFonts w:hint="eastAsia"/>
        </w:rPr>
        <w:t>老旧管网改造及漏损控制（不计入总投资）</w:t>
      </w:r>
      <w:r>
        <w:tab/>
      </w:r>
      <w:r>
        <w:fldChar w:fldCharType="begin"/>
      </w:r>
      <w:r>
        <w:instrText xml:space="preserve"> PAGEREF _Toc8032662 \h </w:instrText>
      </w:r>
      <w:r>
        <w:fldChar w:fldCharType="separate"/>
      </w:r>
      <w:r>
        <w:t>99</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"_Toc8032663" </w:instrText>
      </w:r>
      <w:r>
        <w:fldChar w:fldCharType="separate"/>
      </w:r>
      <w:r>
        <w:rPr>
          <w:rStyle w:val="46"/>
        </w:rPr>
        <w:t xml:space="preserve">8.5 </w:t>
      </w:r>
      <w:r>
        <w:rPr>
          <w:rStyle w:val="46"/>
          <w:rFonts w:hint="eastAsia"/>
        </w:rPr>
        <w:t>雨污分流改造工程（不计入总投资）</w:t>
      </w:r>
      <w:r>
        <w:tab/>
      </w:r>
      <w:r>
        <w:fldChar w:fldCharType="begin"/>
      </w:r>
      <w:r>
        <w:instrText xml:space="preserve"> PAGEREF _Toc8032663 \h </w:instrText>
      </w:r>
      <w:r>
        <w:fldChar w:fldCharType="separate"/>
      </w:r>
      <w:r>
        <w:t>100</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"_Toc8032664" </w:instrText>
      </w:r>
      <w:r>
        <w:fldChar w:fldCharType="separate"/>
      </w:r>
      <w:r>
        <w:rPr>
          <w:rStyle w:val="46"/>
        </w:rPr>
        <w:t xml:space="preserve">8.6 </w:t>
      </w:r>
      <w:r>
        <w:rPr>
          <w:rStyle w:val="46"/>
          <w:rFonts w:hint="eastAsia"/>
        </w:rPr>
        <w:t>远期工程量及投资估算</w:t>
      </w:r>
      <w:r>
        <w:tab/>
      </w:r>
      <w:r>
        <w:fldChar w:fldCharType="begin"/>
      </w:r>
      <w:r>
        <w:instrText xml:space="preserve"> PAGEREF _Toc8032664 \h </w:instrText>
      </w:r>
      <w:r>
        <w:fldChar w:fldCharType="separate"/>
      </w:r>
      <w:r>
        <w:t>100</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"_Toc8032665" </w:instrText>
      </w:r>
      <w:r>
        <w:fldChar w:fldCharType="separate"/>
      </w:r>
      <w:r>
        <w:rPr>
          <w:rStyle w:val="46"/>
        </w:rPr>
        <w:t xml:space="preserve">8.7  </w:t>
      </w:r>
      <w:r>
        <w:rPr>
          <w:rStyle w:val="46"/>
          <w:rFonts w:hint="eastAsia"/>
        </w:rPr>
        <w:t>能力建设工程</w:t>
      </w:r>
      <w:r>
        <w:tab/>
      </w:r>
      <w:r>
        <w:fldChar w:fldCharType="begin"/>
      </w:r>
      <w:r>
        <w:instrText xml:space="preserve"> PAGEREF _Toc8032665 \h </w:instrText>
      </w:r>
      <w:r>
        <w:fldChar w:fldCharType="separate"/>
      </w:r>
      <w:r>
        <w:t>100</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"_Toc8032666" </w:instrText>
      </w:r>
      <w:r>
        <w:fldChar w:fldCharType="separate"/>
      </w:r>
      <w:r>
        <w:rPr>
          <w:rStyle w:val="46"/>
        </w:rPr>
        <w:t>8.7.1</w:t>
      </w:r>
      <w:r>
        <w:rPr>
          <w:rStyle w:val="46"/>
          <w:rFonts w:hint="eastAsia"/>
        </w:rPr>
        <w:t>节水管理服务能力建设工程</w:t>
      </w:r>
      <w:r>
        <w:tab/>
      </w:r>
      <w:r>
        <w:fldChar w:fldCharType="begin"/>
      </w:r>
      <w:r>
        <w:instrText xml:space="preserve"> PAGEREF _Toc8032666 \h </w:instrText>
      </w:r>
      <w:r>
        <w:fldChar w:fldCharType="separate"/>
      </w:r>
      <w:r>
        <w:t>101</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"_Toc8032667" </w:instrText>
      </w:r>
      <w:r>
        <w:fldChar w:fldCharType="separate"/>
      </w:r>
      <w:r>
        <w:rPr>
          <w:rStyle w:val="46"/>
        </w:rPr>
        <w:t>8.7.2</w:t>
      </w:r>
      <w:r>
        <w:rPr>
          <w:rStyle w:val="46"/>
          <w:rFonts w:hint="eastAsia"/>
        </w:rPr>
        <w:t>发展保障能力建设</w:t>
      </w:r>
      <w:r>
        <w:tab/>
      </w:r>
      <w:r>
        <w:fldChar w:fldCharType="begin"/>
      </w:r>
      <w:r>
        <w:instrText xml:space="preserve"> PAGEREF _Toc8032667 \h </w:instrText>
      </w:r>
      <w:r>
        <w:fldChar w:fldCharType="separate"/>
      </w:r>
      <w:r>
        <w:t>101</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"_Toc8032668" </w:instrText>
      </w:r>
      <w:r>
        <w:fldChar w:fldCharType="separate"/>
      </w:r>
      <w:r>
        <w:rPr>
          <w:rStyle w:val="46"/>
        </w:rPr>
        <w:t>8.8</w:t>
      </w:r>
      <w:r>
        <w:rPr>
          <w:rStyle w:val="46"/>
          <w:rFonts w:hint="eastAsia"/>
        </w:rPr>
        <w:t>节水教育建设工程</w:t>
      </w:r>
      <w:r>
        <w:tab/>
      </w:r>
      <w:r>
        <w:fldChar w:fldCharType="begin"/>
      </w:r>
      <w:r>
        <w:instrText xml:space="preserve"> PAGEREF _Toc8032668 \h </w:instrText>
      </w:r>
      <w:r>
        <w:fldChar w:fldCharType="separate"/>
      </w:r>
      <w:r>
        <w:t>101</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"_Toc8032669" </w:instrText>
      </w:r>
      <w:r>
        <w:fldChar w:fldCharType="separate"/>
      </w:r>
      <w:r>
        <w:rPr>
          <w:rStyle w:val="46"/>
        </w:rPr>
        <w:t xml:space="preserve">8.8.1 </w:t>
      </w:r>
      <w:r>
        <w:rPr>
          <w:rStyle w:val="46"/>
          <w:rFonts w:hint="eastAsia"/>
        </w:rPr>
        <w:t>节水宣传教育</w:t>
      </w:r>
      <w:r>
        <w:tab/>
      </w:r>
      <w:r>
        <w:fldChar w:fldCharType="begin"/>
      </w:r>
      <w:r>
        <w:instrText xml:space="preserve"> PAGEREF _Toc8032669 \h </w:instrText>
      </w:r>
      <w:r>
        <w:fldChar w:fldCharType="separate"/>
      </w:r>
      <w:r>
        <w:t>101</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"_Toc8032670" </w:instrText>
      </w:r>
      <w:r>
        <w:fldChar w:fldCharType="separate"/>
      </w:r>
      <w:r>
        <w:rPr>
          <w:rStyle w:val="46"/>
        </w:rPr>
        <w:t xml:space="preserve">8.8.2 </w:t>
      </w:r>
      <w:r>
        <w:rPr>
          <w:rStyle w:val="46"/>
          <w:rFonts w:hint="eastAsia"/>
        </w:rPr>
        <w:t>中小学节水教育基地建设工程</w:t>
      </w:r>
      <w:r>
        <w:tab/>
      </w:r>
      <w:r>
        <w:fldChar w:fldCharType="begin"/>
      </w:r>
      <w:r>
        <w:instrText xml:space="preserve"> PAGEREF _Toc8032670 \h </w:instrText>
      </w:r>
      <w:r>
        <w:fldChar w:fldCharType="separate"/>
      </w:r>
      <w:r>
        <w:t>101</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"_Toc8032672" </w:instrText>
      </w:r>
      <w:r>
        <w:fldChar w:fldCharType="separate"/>
      </w:r>
      <w:r>
        <w:rPr>
          <w:rStyle w:val="46"/>
        </w:rPr>
        <w:t xml:space="preserve">8.9 </w:t>
      </w:r>
      <w:r>
        <w:rPr>
          <w:rStyle w:val="46"/>
          <w:rFonts w:hint="eastAsia"/>
        </w:rPr>
        <w:t>投资估算及来源分析</w:t>
      </w:r>
      <w:r>
        <w:tab/>
      </w:r>
      <w:r>
        <w:fldChar w:fldCharType="begin"/>
      </w:r>
      <w:r>
        <w:instrText xml:space="preserve"> PAGEREF _Toc8032672 \h </w:instrText>
      </w:r>
      <w:r>
        <w:fldChar w:fldCharType="separate"/>
      </w:r>
      <w:r>
        <w:t>101</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"_Toc8032673" </w:instrText>
      </w:r>
      <w:r>
        <w:fldChar w:fldCharType="separate"/>
      </w:r>
      <w:r>
        <w:rPr>
          <w:rStyle w:val="46"/>
        </w:rPr>
        <w:t>8.9.1</w:t>
      </w:r>
      <w:r>
        <w:rPr>
          <w:rStyle w:val="46"/>
          <w:rFonts w:hint="eastAsia"/>
        </w:rPr>
        <w:t>节水投资估算</w:t>
      </w:r>
      <w:r>
        <w:tab/>
      </w:r>
      <w:r>
        <w:fldChar w:fldCharType="begin"/>
      </w:r>
      <w:r>
        <w:instrText xml:space="preserve"> PAGEREF _Toc8032673 \h </w:instrText>
      </w:r>
      <w:r>
        <w:fldChar w:fldCharType="separate"/>
      </w:r>
      <w:r>
        <w:t>101</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"_Toc8032674" </w:instrText>
      </w:r>
      <w:r>
        <w:fldChar w:fldCharType="separate"/>
      </w:r>
      <w:r>
        <w:rPr>
          <w:rStyle w:val="46"/>
        </w:rPr>
        <w:t xml:space="preserve">8.9.1.1 </w:t>
      </w:r>
      <w:r>
        <w:rPr>
          <w:rStyle w:val="46"/>
          <w:rFonts w:hint="eastAsia"/>
        </w:rPr>
        <w:t>节水投资估算汇总</w:t>
      </w:r>
      <w:r>
        <w:tab/>
      </w:r>
      <w:r>
        <w:fldChar w:fldCharType="begin"/>
      </w:r>
      <w:r>
        <w:instrText xml:space="preserve"> PAGEREF _Toc8032674 \h </w:instrText>
      </w:r>
      <w:r>
        <w:fldChar w:fldCharType="separate"/>
      </w:r>
      <w:r>
        <w:t>101</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"_Toc8032675" </w:instrText>
      </w:r>
      <w:r>
        <w:fldChar w:fldCharType="separate"/>
      </w:r>
      <w:r>
        <w:rPr>
          <w:rStyle w:val="46"/>
        </w:rPr>
        <w:t>8.9.2</w:t>
      </w:r>
      <w:r>
        <w:rPr>
          <w:rStyle w:val="46"/>
          <w:rFonts w:hint="eastAsia"/>
        </w:rPr>
        <w:t>重点工程资金来源</w:t>
      </w:r>
      <w:r>
        <w:tab/>
      </w:r>
      <w:r>
        <w:fldChar w:fldCharType="begin"/>
      </w:r>
      <w:r>
        <w:instrText xml:space="preserve"> PAGEREF _Toc8032675 \h </w:instrText>
      </w:r>
      <w:r>
        <w:fldChar w:fldCharType="separate"/>
      </w:r>
      <w:r>
        <w:t>102</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"_Toc8032676" </w:instrText>
      </w:r>
      <w:r>
        <w:fldChar w:fldCharType="separate"/>
      </w:r>
      <w:r>
        <w:rPr>
          <w:rStyle w:val="46"/>
        </w:rPr>
        <w:t>8.9.2.1</w:t>
      </w:r>
      <w:r>
        <w:rPr>
          <w:rStyle w:val="46"/>
          <w:rFonts w:hint="eastAsia"/>
        </w:rPr>
        <w:t>加大政府投入</w:t>
      </w:r>
      <w:r>
        <w:tab/>
      </w:r>
      <w:r>
        <w:fldChar w:fldCharType="begin"/>
      </w:r>
      <w:r>
        <w:instrText xml:space="preserve"> PAGEREF _Toc8032676 \h </w:instrText>
      </w:r>
      <w:r>
        <w:fldChar w:fldCharType="separate"/>
      </w:r>
      <w:r>
        <w:t>102</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"_Toc8032677" </w:instrText>
      </w:r>
      <w:r>
        <w:fldChar w:fldCharType="separate"/>
      </w:r>
      <w:r>
        <w:rPr>
          <w:rStyle w:val="46"/>
        </w:rPr>
        <w:t>8.9.2.2</w:t>
      </w:r>
      <w:r>
        <w:rPr>
          <w:rStyle w:val="46"/>
          <w:rFonts w:hint="eastAsia"/>
        </w:rPr>
        <w:t>争取上级财政支持</w:t>
      </w:r>
      <w:r>
        <w:tab/>
      </w:r>
      <w:r>
        <w:fldChar w:fldCharType="begin"/>
      </w:r>
      <w:r>
        <w:instrText xml:space="preserve"> PAGEREF _Toc8032677 \h </w:instrText>
      </w:r>
      <w:r>
        <w:fldChar w:fldCharType="separate"/>
      </w:r>
      <w:r>
        <w:t>102</w:t>
      </w:r>
      <w:r>
        <w:fldChar w:fldCharType="end"/>
      </w:r>
      <w:r>
        <w:fldChar w:fldCharType="end"/>
      </w:r>
    </w:p>
    <w:p>
      <w:pPr>
        <w:pStyle w:val="29"/>
        <w:tabs>
          <w:tab w:val="right" w:leader="dot" w:pos="10100"/>
        </w:tabs>
        <w:spacing w:line="360" w:lineRule="auto"/>
        <w:ind w:left="1680" w:firstLine="560"/>
        <w:rPr>
          <w:rFonts w:asciiTheme="minorHAnsi" w:hAnsiTheme="minorHAnsi" w:eastAsiaTheme="minorEastAsia" w:cstheme="minorBidi"/>
          <w:kern w:val="2"/>
          <w:sz w:val="21"/>
          <w:szCs w:val="22"/>
        </w:rPr>
      </w:pPr>
      <w:r>
        <w:fldChar w:fldCharType="begin"/>
      </w:r>
      <w:r>
        <w:instrText xml:space="preserve"> HYPERLINK \l "_Toc8032678" </w:instrText>
      </w:r>
      <w:r>
        <w:fldChar w:fldCharType="separate"/>
      </w:r>
      <w:r>
        <w:rPr>
          <w:rStyle w:val="46"/>
        </w:rPr>
        <w:t>8.9.2.3</w:t>
      </w:r>
      <w:r>
        <w:rPr>
          <w:rStyle w:val="46"/>
          <w:rFonts w:hint="eastAsia"/>
        </w:rPr>
        <w:t>拓宽投融资渠道</w:t>
      </w:r>
      <w:r>
        <w:tab/>
      </w:r>
      <w:r>
        <w:fldChar w:fldCharType="begin"/>
      </w:r>
      <w:r>
        <w:instrText xml:space="preserve"> PAGEREF _Toc8032678 \h </w:instrText>
      </w:r>
      <w:r>
        <w:fldChar w:fldCharType="separate"/>
      </w:r>
      <w:r>
        <w:t>102</w:t>
      </w:r>
      <w:r>
        <w:fldChar w:fldCharType="end"/>
      </w:r>
      <w:r>
        <w:fldChar w:fldCharType="end"/>
      </w:r>
    </w:p>
    <w:p>
      <w:pPr>
        <w:pStyle w:val="28"/>
        <w:spacing w:line="360" w:lineRule="auto"/>
        <w:ind w:firstLine="562"/>
        <w:rPr>
          <w:rFonts w:asciiTheme="minorHAnsi" w:hAnsiTheme="minorHAnsi" w:eastAsiaTheme="minorEastAsia" w:cstheme="minorBidi"/>
          <w:b w:val="0"/>
          <w:kern w:val="2"/>
          <w:sz w:val="21"/>
          <w:szCs w:val="22"/>
        </w:rPr>
      </w:pPr>
      <w:r>
        <w:fldChar w:fldCharType="begin"/>
      </w:r>
      <w:r>
        <w:instrText xml:space="preserve"> HYPERLINK \l "_Toc8032680" </w:instrText>
      </w:r>
      <w:r>
        <w:fldChar w:fldCharType="separate"/>
      </w:r>
      <w:r>
        <w:rPr>
          <w:rStyle w:val="46"/>
          <w:rFonts w:hint="eastAsia"/>
        </w:rPr>
        <w:t>第九章</w:t>
      </w:r>
      <w:r>
        <w:rPr>
          <w:rStyle w:val="46"/>
        </w:rPr>
        <w:t xml:space="preserve">  </w:t>
      </w:r>
      <w:r>
        <w:rPr>
          <w:rStyle w:val="46"/>
          <w:rFonts w:hint="eastAsia"/>
        </w:rPr>
        <w:t>实施预期效果及环境影响评价</w:t>
      </w:r>
      <w:r>
        <w:tab/>
      </w:r>
      <w:r>
        <w:fldChar w:fldCharType="begin"/>
      </w:r>
      <w:r>
        <w:instrText xml:space="preserve"> PAGEREF _Toc8032680 \h </w:instrText>
      </w:r>
      <w:r>
        <w:fldChar w:fldCharType="separate"/>
      </w:r>
      <w:r>
        <w:t>103</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"_Toc8032681" </w:instrText>
      </w:r>
      <w:r>
        <w:fldChar w:fldCharType="separate"/>
      </w:r>
      <w:r>
        <w:rPr>
          <w:rStyle w:val="46"/>
        </w:rPr>
        <w:t>9.1</w:t>
      </w:r>
      <w:r>
        <w:rPr>
          <w:rStyle w:val="46"/>
          <w:rFonts w:hint="eastAsia"/>
        </w:rPr>
        <w:t>规划实施经济效益评价</w:t>
      </w:r>
      <w:r>
        <w:tab/>
      </w:r>
      <w:r>
        <w:fldChar w:fldCharType="begin"/>
      </w:r>
      <w:r>
        <w:instrText xml:space="preserve"> PAGEREF _Toc8032681 \h </w:instrText>
      </w:r>
      <w:r>
        <w:fldChar w:fldCharType="separate"/>
      </w:r>
      <w:r>
        <w:t>103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"_Toc8032682" </w:instrText>
      </w:r>
      <w:r>
        <w:fldChar w:fldCharType="separate"/>
      </w:r>
      <w:r>
        <w:rPr>
          <w:rStyle w:val="46"/>
        </w:rPr>
        <w:t>9.1.1</w:t>
      </w:r>
      <w:r>
        <w:rPr>
          <w:rStyle w:val="46"/>
          <w:rFonts w:hint="eastAsia"/>
        </w:rPr>
        <w:t>水资源利用效率显著提高</w:t>
      </w:r>
      <w:r>
        <w:tab/>
      </w:r>
      <w:r>
        <w:fldChar w:fldCharType="begin"/>
      </w:r>
      <w:r>
        <w:instrText xml:space="preserve"> PAGEREF _Toc8032682 \h </w:instrText>
      </w:r>
      <w:r>
        <w:fldChar w:fldCharType="separate"/>
      </w:r>
      <w:r>
        <w:t>103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"_Toc8032683" </w:instrText>
      </w:r>
      <w:r>
        <w:fldChar w:fldCharType="separate"/>
      </w:r>
      <w:r>
        <w:rPr>
          <w:rStyle w:val="46"/>
        </w:rPr>
        <w:t>9.1.2</w:t>
      </w:r>
      <w:r>
        <w:rPr>
          <w:rStyle w:val="46"/>
          <w:rFonts w:hint="eastAsia"/>
        </w:rPr>
        <w:t>用水结构逐步优化</w:t>
      </w:r>
      <w:r>
        <w:tab/>
      </w:r>
      <w:r>
        <w:fldChar w:fldCharType="begin"/>
      </w:r>
      <w:r>
        <w:instrText xml:space="preserve"> PAGEREF _Toc8032683 \h </w:instrText>
      </w:r>
      <w:r>
        <w:fldChar w:fldCharType="separate"/>
      </w:r>
      <w:r>
        <w:t>103</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"_Toc8032684" </w:instrText>
      </w:r>
      <w:r>
        <w:fldChar w:fldCharType="separate"/>
      </w:r>
      <w:r>
        <w:rPr>
          <w:rStyle w:val="46"/>
        </w:rPr>
        <w:t>9.2</w:t>
      </w:r>
      <w:r>
        <w:rPr>
          <w:rStyle w:val="46"/>
          <w:rFonts w:hint="eastAsia"/>
        </w:rPr>
        <w:t>规划实施社会效益评价</w:t>
      </w:r>
      <w:r>
        <w:tab/>
      </w:r>
      <w:r>
        <w:fldChar w:fldCharType="begin"/>
      </w:r>
      <w:r>
        <w:instrText xml:space="preserve"> PAGEREF _Toc8032684 \h </w:instrText>
      </w:r>
      <w:r>
        <w:fldChar w:fldCharType="separate"/>
      </w:r>
      <w:r>
        <w:t>103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"_Toc8032685" </w:instrText>
      </w:r>
      <w:r>
        <w:fldChar w:fldCharType="separate"/>
      </w:r>
      <w:r>
        <w:rPr>
          <w:rStyle w:val="46"/>
        </w:rPr>
        <w:t>9.2.1</w:t>
      </w:r>
      <w:r>
        <w:rPr>
          <w:rStyle w:val="46"/>
          <w:rFonts w:hint="eastAsia"/>
        </w:rPr>
        <w:t>增强民众的节水意识，改善生态环境质量</w:t>
      </w:r>
      <w:r>
        <w:tab/>
      </w:r>
      <w:r>
        <w:fldChar w:fldCharType="begin"/>
      </w:r>
      <w:r>
        <w:instrText xml:space="preserve"> PAGEREF _Toc8032685 \h </w:instrText>
      </w:r>
      <w:r>
        <w:fldChar w:fldCharType="separate"/>
      </w:r>
      <w:r>
        <w:t>103</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"_Toc8032686" </w:instrText>
      </w:r>
      <w:r>
        <w:fldChar w:fldCharType="separate"/>
      </w:r>
      <w:r>
        <w:rPr>
          <w:rStyle w:val="46"/>
        </w:rPr>
        <w:t>9.2.2</w:t>
      </w:r>
      <w:r>
        <w:rPr>
          <w:rStyle w:val="46"/>
          <w:rFonts w:hint="eastAsia"/>
        </w:rPr>
        <w:t>规范区域用水秩序，加快产业优化升级</w:t>
      </w:r>
      <w:r>
        <w:tab/>
      </w:r>
      <w:r>
        <w:fldChar w:fldCharType="begin"/>
      </w:r>
      <w:r>
        <w:instrText xml:space="preserve"> PAGEREF _Toc8032686 \h </w:instrText>
      </w:r>
      <w:r>
        <w:fldChar w:fldCharType="separate"/>
      </w:r>
      <w:r>
        <w:t>104</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"_Toc8032687" </w:instrText>
      </w:r>
      <w:r>
        <w:fldChar w:fldCharType="separate"/>
      </w:r>
      <w:r>
        <w:rPr>
          <w:rStyle w:val="46"/>
        </w:rPr>
        <w:t>9.3</w:t>
      </w:r>
      <w:r>
        <w:rPr>
          <w:rStyle w:val="46"/>
          <w:rFonts w:hint="eastAsia"/>
        </w:rPr>
        <w:t>规划环境影响评价</w:t>
      </w:r>
      <w:r>
        <w:tab/>
      </w:r>
      <w:r>
        <w:fldChar w:fldCharType="begin"/>
      </w:r>
      <w:r>
        <w:instrText xml:space="preserve"> PAGEREF _Toc8032687 \h </w:instrText>
      </w:r>
      <w:r>
        <w:fldChar w:fldCharType="separate"/>
      </w:r>
      <w:r>
        <w:t>104</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"_Toc8032688" </w:instrText>
      </w:r>
      <w:r>
        <w:fldChar w:fldCharType="separate"/>
      </w:r>
      <w:r>
        <w:rPr>
          <w:rStyle w:val="46"/>
        </w:rPr>
        <w:t>9.3.1</w:t>
      </w:r>
      <w:r>
        <w:rPr>
          <w:rStyle w:val="46"/>
          <w:rFonts w:hint="eastAsia"/>
        </w:rPr>
        <w:t>主要环境影响分析</w:t>
      </w:r>
      <w:r>
        <w:tab/>
      </w:r>
      <w:r>
        <w:fldChar w:fldCharType="begin"/>
      </w:r>
      <w:r>
        <w:instrText xml:space="preserve"> PAGEREF _Toc8032688 \h </w:instrText>
      </w:r>
      <w:r>
        <w:fldChar w:fldCharType="separate"/>
      </w:r>
      <w:r>
        <w:t>104</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"_Toc8032689" </w:instrText>
      </w:r>
      <w:r>
        <w:fldChar w:fldCharType="separate"/>
      </w:r>
      <w:r>
        <w:rPr>
          <w:rStyle w:val="46"/>
        </w:rPr>
        <w:t>9.3.2</w:t>
      </w:r>
      <w:r>
        <w:rPr>
          <w:rStyle w:val="46"/>
          <w:rFonts w:hint="eastAsia"/>
        </w:rPr>
        <w:t>环境影响减缓措施</w:t>
      </w:r>
      <w:r>
        <w:tab/>
      </w:r>
      <w:r>
        <w:fldChar w:fldCharType="begin"/>
      </w:r>
      <w:r>
        <w:instrText xml:space="preserve"> PAGEREF _Toc8032689 \h </w:instrText>
      </w:r>
      <w:r>
        <w:fldChar w:fldCharType="separate"/>
      </w:r>
      <w:r>
        <w:t>105</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"_Toc8032690" </w:instrText>
      </w:r>
      <w:r>
        <w:fldChar w:fldCharType="separate"/>
      </w:r>
      <w:r>
        <w:rPr>
          <w:rStyle w:val="46"/>
        </w:rPr>
        <w:t>9.3.3</w:t>
      </w:r>
      <w:r>
        <w:rPr>
          <w:rStyle w:val="46"/>
          <w:rFonts w:hint="eastAsia"/>
        </w:rPr>
        <w:t>环境影响评价结论</w:t>
      </w:r>
      <w:r>
        <w:tab/>
      </w:r>
      <w:r>
        <w:fldChar w:fldCharType="begin"/>
      </w:r>
      <w:r>
        <w:instrText xml:space="preserve"> PAGEREF _Toc8032690 \h </w:instrText>
      </w:r>
      <w:r>
        <w:fldChar w:fldCharType="separate"/>
      </w:r>
      <w:r>
        <w:t>105</w:t>
      </w:r>
      <w:r>
        <w:fldChar w:fldCharType="end"/>
      </w:r>
      <w:r>
        <w:fldChar w:fldCharType="end"/>
      </w:r>
    </w:p>
    <w:p>
      <w:pPr>
        <w:pStyle w:val="28"/>
        <w:spacing w:line="360" w:lineRule="auto"/>
        <w:ind w:firstLine="562"/>
        <w:rPr>
          <w:rFonts w:asciiTheme="minorHAnsi" w:hAnsiTheme="minorHAnsi" w:eastAsiaTheme="minorEastAsia" w:cstheme="minorBidi"/>
          <w:b w:val="0"/>
          <w:kern w:val="2"/>
          <w:sz w:val="21"/>
          <w:szCs w:val="22"/>
        </w:rPr>
      </w:pPr>
      <w:r>
        <w:fldChar w:fldCharType="begin"/>
      </w:r>
      <w:r>
        <w:instrText xml:space="preserve"> HYPERLINK \l "_Toc8032691" </w:instrText>
      </w:r>
      <w:r>
        <w:fldChar w:fldCharType="separate"/>
      </w:r>
      <w:r>
        <w:rPr>
          <w:rStyle w:val="46"/>
          <w:rFonts w:hint="eastAsia"/>
        </w:rPr>
        <w:t>第十章</w:t>
      </w:r>
      <w:r>
        <w:rPr>
          <w:rStyle w:val="46"/>
        </w:rPr>
        <w:t xml:space="preserve">  </w:t>
      </w:r>
      <w:r>
        <w:rPr>
          <w:rStyle w:val="46"/>
          <w:rFonts w:hint="eastAsia"/>
        </w:rPr>
        <w:t>规划保障措施</w:t>
      </w:r>
      <w:r>
        <w:tab/>
      </w:r>
      <w:r>
        <w:fldChar w:fldCharType="begin"/>
      </w:r>
      <w:r>
        <w:instrText xml:space="preserve"> PAGEREF _Toc8032691 \h </w:instrText>
      </w:r>
      <w:r>
        <w:fldChar w:fldCharType="separate"/>
      </w:r>
      <w:r>
        <w:t>107</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"_Toc8032692" </w:instrText>
      </w:r>
      <w:r>
        <w:fldChar w:fldCharType="separate"/>
      </w:r>
      <w:r>
        <w:rPr>
          <w:rStyle w:val="46"/>
        </w:rPr>
        <w:t>10.1</w:t>
      </w:r>
      <w:r>
        <w:rPr>
          <w:rStyle w:val="46"/>
          <w:rFonts w:hint="eastAsia"/>
        </w:rPr>
        <w:t>加强机构建设，落实目标责任</w:t>
      </w:r>
      <w:r>
        <w:tab/>
      </w:r>
      <w:r>
        <w:fldChar w:fldCharType="begin"/>
      </w:r>
      <w:r>
        <w:instrText xml:space="preserve"> PAGEREF _Toc8032692 \h </w:instrText>
      </w:r>
      <w:r>
        <w:fldChar w:fldCharType="separate"/>
      </w:r>
      <w:r>
        <w:t>107</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"_Toc8032693" </w:instrText>
      </w:r>
      <w:r>
        <w:fldChar w:fldCharType="separate"/>
      </w:r>
      <w:r>
        <w:rPr>
          <w:rStyle w:val="46"/>
        </w:rPr>
        <w:t>10.1.1</w:t>
      </w:r>
      <w:r>
        <w:rPr>
          <w:rStyle w:val="46"/>
          <w:rFonts w:hint="eastAsia"/>
        </w:rPr>
        <w:t>加强节水管理机构建设</w:t>
      </w:r>
      <w:r>
        <w:tab/>
      </w:r>
      <w:r>
        <w:fldChar w:fldCharType="begin"/>
      </w:r>
      <w:r>
        <w:instrText xml:space="preserve"> PAGEREF _Toc8032693 \h </w:instrText>
      </w:r>
      <w:r>
        <w:fldChar w:fldCharType="separate"/>
      </w:r>
      <w:r>
        <w:t>107</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"_Toc8032694" </w:instrText>
      </w:r>
      <w:r>
        <w:fldChar w:fldCharType="separate"/>
      </w:r>
      <w:r>
        <w:rPr>
          <w:rStyle w:val="46"/>
        </w:rPr>
        <w:t>10.1.2</w:t>
      </w:r>
      <w:r>
        <w:rPr>
          <w:rStyle w:val="46"/>
          <w:rFonts w:hint="eastAsia"/>
        </w:rPr>
        <w:t>落实节水目标责任</w:t>
      </w:r>
      <w:r>
        <w:tab/>
      </w:r>
      <w:r>
        <w:fldChar w:fldCharType="begin"/>
      </w:r>
      <w:r>
        <w:instrText xml:space="preserve"> PAGEREF _Toc8032694 \h </w:instrText>
      </w:r>
      <w:r>
        <w:fldChar w:fldCharType="separate"/>
      </w:r>
      <w:r>
        <w:t>107</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"_Toc8032695" </w:instrText>
      </w:r>
      <w:r>
        <w:fldChar w:fldCharType="separate"/>
      </w:r>
      <w:r>
        <w:rPr>
          <w:rStyle w:val="46"/>
        </w:rPr>
        <w:t>10.2</w:t>
      </w:r>
      <w:r>
        <w:rPr>
          <w:rStyle w:val="46"/>
          <w:rFonts w:hint="eastAsia"/>
        </w:rPr>
        <w:t>加强监督管理，完善考核体系</w:t>
      </w:r>
      <w:r>
        <w:tab/>
      </w:r>
      <w:r>
        <w:fldChar w:fldCharType="begin"/>
      </w:r>
      <w:r>
        <w:instrText xml:space="preserve"> PAGEREF _Toc8032695 \h </w:instrText>
      </w:r>
      <w:r>
        <w:fldChar w:fldCharType="separate"/>
      </w:r>
      <w:r>
        <w:t>108</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"_Toc8032696" </w:instrText>
      </w:r>
      <w:r>
        <w:fldChar w:fldCharType="separate"/>
      </w:r>
      <w:r>
        <w:rPr>
          <w:rStyle w:val="46"/>
        </w:rPr>
        <w:t>10.3</w:t>
      </w:r>
      <w:r>
        <w:rPr>
          <w:rStyle w:val="46"/>
          <w:rFonts w:hint="eastAsia"/>
        </w:rPr>
        <w:t>加强节水宣传，完善参与机制</w:t>
      </w:r>
      <w:r>
        <w:tab/>
      </w:r>
      <w:r>
        <w:fldChar w:fldCharType="begin"/>
      </w:r>
      <w:r>
        <w:instrText xml:space="preserve"> PAGEREF _Toc8032696 \h </w:instrText>
      </w:r>
      <w:r>
        <w:fldChar w:fldCharType="separate"/>
      </w:r>
      <w:r>
        <w:t>108</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"_Toc8032697" </w:instrText>
      </w:r>
      <w:r>
        <w:fldChar w:fldCharType="separate"/>
      </w:r>
      <w:r>
        <w:rPr>
          <w:rStyle w:val="46"/>
        </w:rPr>
        <w:t>10.4</w:t>
      </w:r>
      <w:r>
        <w:rPr>
          <w:rStyle w:val="46"/>
          <w:rFonts w:hint="eastAsia"/>
        </w:rPr>
        <w:t>保障资金投入，强化市场调节</w:t>
      </w:r>
      <w:r>
        <w:tab/>
      </w:r>
      <w:r>
        <w:fldChar w:fldCharType="begin"/>
      </w:r>
      <w:r>
        <w:instrText xml:space="preserve"> PAGEREF _Toc8032697 \h </w:instrText>
      </w:r>
      <w:r>
        <w:fldChar w:fldCharType="separate"/>
      </w:r>
      <w:r>
        <w:t>109</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"_Toc8032698" </w:instrText>
      </w:r>
      <w:r>
        <w:fldChar w:fldCharType="separate"/>
      </w:r>
      <w:r>
        <w:rPr>
          <w:rStyle w:val="46"/>
        </w:rPr>
        <w:t>10.4.1</w:t>
      </w:r>
      <w:r>
        <w:rPr>
          <w:rStyle w:val="46"/>
          <w:rFonts w:hint="eastAsia"/>
        </w:rPr>
        <w:t>加大政府投入</w:t>
      </w:r>
      <w:r>
        <w:tab/>
      </w:r>
      <w:r>
        <w:fldChar w:fldCharType="begin"/>
      </w:r>
      <w:r>
        <w:instrText xml:space="preserve"> PAGEREF _Toc8032698 \h </w:instrText>
      </w:r>
      <w:r>
        <w:fldChar w:fldCharType="separate"/>
      </w:r>
      <w:r>
        <w:t>109</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"_Toc8032699" </w:instrText>
      </w:r>
      <w:r>
        <w:fldChar w:fldCharType="separate"/>
      </w:r>
      <w:r>
        <w:rPr>
          <w:rStyle w:val="46"/>
        </w:rPr>
        <w:t xml:space="preserve">10.4.2 </w:t>
      </w:r>
      <w:r>
        <w:rPr>
          <w:rStyle w:val="46"/>
          <w:rFonts w:hint="eastAsia"/>
        </w:rPr>
        <w:t>企业自筹资金</w:t>
      </w:r>
      <w:r>
        <w:tab/>
      </w:r>
      <w:r>
        <w:fldChar w:fldCharType="begin"/>
      </w:r>
      <w:r>
        <w:instrText xml:space="preserve"> PAGEREF _Toc8032699 \h </w:instrText>
      </w:r>
      <w:r>
        <w:fldChar w:fldCharType="separate"/>
      </w:r>
      <w:r>
        <w:t>109</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"_Toc8032700" </w:instrText>
      </w:r>
      <w:r>
        <w:fldChar w:fldCharType="separate"/>
      </w:r>
      <w:r>
        <w:rPr>
          <w:rStyle w:val="46"/>
        </w:rPr>
        <w:t>10.4.3</w:t>
      </w:r>
      <w:r>
        <w:rPr>
          <w:rStyle w:val="46"/>
          <w:rFonts w:hint="eastAsia"/>
        </w:rPr>
        <w:t>争取上级财政支持</w:t>
      </w:r>
      <w:r>
        <w:tab/>
      </w:r>
      <w:r>
        <w:fldChar w:fldCharType="begin"/>
      </w:r>
      <w:r>
        <w:instrText xml:space="preserve"> PAGEREF _Toc8032700 \h </w:instrText>
      </w:r>
      <w:r>
        <w:fldChar w:fldCharType="separate"/>
      </w:r>
      <w:r>
        <w:t>109</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"_Toc8032701" </w:instrText>
      </w:r>
      <w:r>
        <w:fldChar w:fldCharType="separate"/>
      </w:r>
      <w:r>
        <w:rPr>
          <w:rStyle w:val="46"/>
        </w:rPr>
        <w:t>10.4.4</w:t>
      </w:r>
      <w:r>
        <w:rPr>
          <w:rStyle w:val="46"/>
          <w:rFonts w:hint="eastAsia"/>
        </w:rPr>
        <w:t>拓宽投融资渠道</w:t>
      </w:r>
      <w:r>
        <w:tab/>
      </w:r>
      <w:r>
        <w:fldChar w:fldCharType="begin"/>
      </w:r>
      <w:r>
        <w:instrText xml:space="preserve"> PAGEREF _Toc8032701 \h </w:instrText>
      </w:r>
      <w:r>
        <w:fldChar w:fldCharType="separate"/>
      </w:r>
      <w:r>
        <w:t>109</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"_Toc8032703" </w:instrText>
      </w:r>
      <w:r>
        <w:fldChar w:fldCharType="separate"/>
      </w:r>
      <w:r>
        <w:rPr>
          <w:rStyle w:val="46"/>
        </w:rPr>
        <w:t>10.4.</w:t>
      </w:r>
      <w:r>
        <w:rPr>
          <w:rStyle w:val="46"/>
          <w:rFonts w:hint="eastAsia"/>
        </w:rPr>
        <w:t>5完善激励奖惩机制</w:t>
      </w:r>
      <w:r>
        <w:tab/>
      </w:r>
      <w:r>
        <w:fldChar w:fldCharType="begin"/>
      </w:r>
      <w:r>
        <w:instrText xml:space="preserve"> PAGEREF _Toc8032703 \h </w:instrText>
      </w:r>
      <w:r>
        <w:fldChar w:fldCharType="separate"/>
      </w:r>
      <w:r>
        <w:t>110</w:t>
      </w:r>
      <w:r>
        <w:fldChar w:fldCharType="end"/>
      </w:r>
      <w:r>
        <w:fldChar w:fldCharType="end"/>
      </w:r>
    </w:p>
    <w:p>
      <w:pPr>
        <w:pStyle w:val="34"/>
        <w:tabs>
          <w:tab w:val="right" w:leader="dot" w:pos="10100"/>
        </w:tabs>
        <w:spacing w:line="360" w:lineRule="auto"/>
        <w:ind w:left="560" w:firstLine="560"/>
        <w:rPr>
          <w:rFonts w:asciiTheme="minorHAnsi" w:hAnsiTheme="minorHAnsi" w:eastAsiaTheme="minorEastAsia" w:cstheme="minorBidi"/>
          <w:kern w:val="2"/>
          <w:sz w:val="21"/>
          <w:szCs w:val="22"/>
        </w:rPr>
      </w:pPr>
      <w:r>
        <w:fldChar w:fldCharType="begin"/>
      </w:r>
      <w:r>
        <w:instrText xml:space="preserve"> HYPERLINK \l "_Toc8032704" </w:instrText>
      </w:r>
      <w:r>
        <w:fldChar w:fldCharType="separate"/>
      </w:r>
      <w:r>
        <w:rPr>
          <w:rStyle w:val="46"/>
        </w:rPr>
        <w:t>10.5</w:t>
      </w:r>
      <w:r>
        <w:rPr>
          <w:rStyle w:val="46"/>
          <w:rFonts w:hint="eastAsia"/>
        </w:rPr>
        <w:t>依靠技术创新，强化科技支撑</w:t>
      </w:r>
      <w:r>
        <w:tab/>
      </w:r>
      <w:r>
        <w:fldChar w:fldCharType="begin"/>
      </w:r>
      <w:r>
        <w:instrText xml:space="preserve"> PAGEREF _Toc8032704 \h </w:instrText>
      </w:r>
      <w:r>
        <w:fldChar w:fldCharType="separate"/>
      </w:r>
      <w:r>
        <w:t>110</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"_Toc8032705" </w:instrText>
      </w:r>
      <w:r>
        <w:fldChar w:fldCharType="separate"/>
      </w:r>
      <w:r>
        <w:rPr>
          <w:rStyle w:val="46"/>
        </w:rPr>
        <w:t>10.5.1</w:t>
      </w:r>
      <w:r>
        <w:rPr>
          <w:rStyle w:val="46"/>
          <w:rFonts w:hint="eastAsia"/>
        </w:rPr>
        <w:t>落实相关技术标准体系</w:t>
      </w:r>
      <w:r>
        <w:tab/>
      </w:r>
      <w:r>
        <w:fldChar w:fldCharType="begin"/>
      </w:r>
      <w:r>
        <w:instrText xml:space="preserve"> PAGEREF _Toc8032705 \h </w:instrText>
      </w:r>
      <w:r>
        <w:fldChar w:fldCharType="separate"/>
      </w:r>
      <w:r>
        <w:t>110</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"_Toc8032706" </w:instrText>
      </w:r>
      <w:r>
        <w:fldChar w:fldCharType="separate"/>
      </w:r>
      <w:r>
        <w:rPr>
          <w:rStyle w:val="46"/>
        </w:rPr>
        <w:t>10.5.2</w:t>
      </w:r>
      <w:r>
        <w:rPr>
          <w:rStyle w:val="46"/>
          <w:rFonts w:hint="eastAsia"/>
        </w:rPr>
        <w:t>提高节水科技创新能力</w:t>
      </w:r>
      <w:r>
        <w:tab/>
      </w:r>
      <w:r>
        <w:fldChar w:fldCharType="begin"/>
      </w:r>
      <w:r>
        <w:instrText xml:space="preserve"> PAGEREF _Toc8032706 \h </w:instrText>
      </w:r>
      <w:r>
        <w:fldChar w:fldCharType="separate"/>
      </w:r>
      <w:r>
        <w:t>110</w:t>
      </w:r>
      <w:r>
        <w:fldChar w:fldCharType="end"/>
      </w:r>
      <w:r>
        <w:fldChar w:fldCharType="end"/>
      </w:r>
    </w:p>
    <w:p>
      <w:pPr>
        <w:pStyle w:val="20"/>
        <w:tabs>
          <w:tab w:val="right" w:leader="dot" w:pos="10100"/>
        </w:tabs>
        <w:spacing w:line="360" w:lineRule="auto"/>
        <w:ind w:left="1120" w:firstLine="560"/>
        <w:rPr>
          <w:rFonts w:asciiTheme="minorHAnsi" w:hAnsiTheme="minorHAnsi" w:eastAsiaTheme="minorEastAsia" w:cstheme="minorBidi"/>
          <w:kern w:val="2"/>
          <w:sz w:val="21"/>
          <w:szCs w:val="22"/>
        </w:rPr>
      </w:pPr>
      <w:r>
        <w:fldChar w:fldCharType="begin"/>
      </w:r>
      <w:r>
        <w:instrText xml:space="preserve"> HYPERLINK \l "_Toc8032707" </w:instrText>
      </w:r>
      <w:r>
        <w:fldChar w:fldCharType="separate"/>
      </w:r>
      <w:r>
        <w:rPr>
          <w:rStyle w:val="46"/>
        </w:rPr>
        <w:t>10.5.3</w:t>
      </w:r>
      <w:r>
        <w:rPr>
          <w:rStyle w:val="46"/>
          <w:rFonts w:hint="eastAsia"/>
        </w:rPr>
        <w:t>完善节水信息化管理平台</w:t>
      </w:r>
      <w:r>
        <w:tab/>
      </w:r>
      <w:r>
        <w:fldChar w:fldCharType="begin"/>
      </w:r>
      <w:r>
        <w:instrText xml:space="preserve"> PAGEREF _Toc8032707 \h </w:instrText>
      </w:r>
      <w:r>
        <w:fldChar w:fldCharType="separate"/>
      </w:r>
      <w:r>
        <w:t>110</w:t>
      </w:r>
      <w:r>
        <w:fldChar w:fldCharType="end"/>
      </w:r>
      <w:r>
        <w:fldChar w:fldCharType="end"/>
      </w:r>
    </w:p>
    <w:p>
      <w:pPr>
        <w:pStyle w:val="16"/>
        <w:kinsoku w:val="0"/>
        <w:overflowPunct w:val="0"/>
        <w:spacing w:line="360" w:lineRule="auto"/>
        <w:ind w:firstLine="0" w:firstLineChars="0"/>
        <w:rPr>
          <w:rFonts w:cs="Times New Roman"/>
          <w:b/>
          <w:bCs/>
          <w:sz w:val="21"/>
          <w:szCs w:val="21"/>
        </w:rPr>
      </w:pPr>
      <w:r>
        <w:rPr>
          <w:rFonts w:cs="Times New Roman"/>
          <w:b/>
          <w:bCs/>
          <w:sz w:val="21"/>
          <w:szCs w:val="21"/>
        </w:rPr>
        <w:fldChar w:fldCharType="end"/>
      </w:r>
    </w:p>
    <w:p>
      <w:pPr>
        <w:pStyle w:val="16"/>
        <w:kinsoku w:val="0"/>
        <w:overflowPunct w:val="0"/>
        <w:spacing w:line="360" w:lineRule="auto"/>
        <w:ind w:left="109" w:firstLine="40"/>
        <w:rPr>
          <w:rFonts w:cs="Times New Roman"/>
          <w:sz w:val="2"/>
          <w:szCs w:val="2"/>
        </w:rPr>
      </w:pPr>
    </w:p>
    <w:p>
      <w:pPr>
        <w:pStyle w:val="16"/>
        <w:kinsoku w:val="0"/>
        <w:overflowPunct w:val="0"/>
        <w:spacing w:line="360" w:lineRule="auto"/>
        <w:ind w:left="109" w:firstLine="40"/>
        <w:rPr>
          <w:rFonts w:cs="Times New Roman"/>
          <w:sz w:val="2"/>
          <w:szCs w:val="2"/>
        </w:rPr>
      </w:pPr>
    </w:p>
    <w:p>
      <w:pPr>
        <w:pStyle w:val="16"/>
        <w:kinsoku w:val="0"/>
        <w:overflowPunct w:val="0"/>
        <w:spacing w:line="360" w:lineRule="auto"/>
        <w:ind w:left="109" w:firstLine="40"/>
        <w:rPr>
          <w:rFonts w:cs="Times New Roman"/>
          <w:sz w:val="2"/>
          <w:szCs w:val="2"/>
        </w:rPr>
        <w:sectPr>
          <w:headerReference r:id="rId7" w:type="first"/>
          <w:footerReference r:id="rId10" w:type="first"/>
          <w:headerReference r:id="rId5" w:type="default"/>
          <w:footerReference r:id="rId8" w:type="default"/>
          <w:headerReference r:id="rId6" w:type="even"/>
          <w:footerReference r:id="rId9" w:type="even"/>
          <w:type w:val="continuous"/>
          <w:pgSz w:w="23820" w:h="16840" w:orient="landscape"/>
          <w:pgMar w:top="1440" w:right="1440" w:bottom="1440" w:left="1440" w:header="883" w:footer="1284" w:gutter="0"/>
          <w:pgNumType w:fmt="upperRoman"/>
          <w:cols w:space="720" w:num="2" w:sep="1"/>
        </w:sectPr>
      </w:pPr>
    </w:p>
    <w:p>
      <w:pPr>
        <w:pStyle w:val="54"/>
        <w:kinsoku w:val="0"/>
        <w:overflowPunct w:val="0"/>
        <w:spacing w:before="240" w:beforeLines="100" w:after="240" w:afterLines="100" w:line="360" w:lineRule="auto"/>
        <w:ind w:left="0" w:firstLine="803"/>
        <w:jc w:val="center"/>
        <w:rPr>
          <w:rFonts w:ascii="Times New Roman" w:cs="Times New Roman"/>
          <w:bCs w:val="0"/>
          <w:sz w:val="40"/>
          <w:szCs w:val="20"/>
        </w:rPr>
      </w:pPr>
      <w:bookmarkStart w:id="0" w:name="_Toc8032460"/>
      <w:r>
        <w:rPr>
          <w:rFonts w:ascii="Times New Roman" w:cs="Times New Roman"/>
          <w:bCs w:val="0"/>
          <w:sz w:val="40"/>
          <w:szCs w:val="20"/>
        </w:rPr>
        <w:t>前   言</w:t>
      </w:r>
      <w:bookmarkEnd w:id="0"/>
    </w:p>
    <w:p>
      <w:pPr>
        <w:pStyle w:val="16"/>
        <w:spacing w:line="360" w:lineRule="auto"/>
        <w:ind w:firstLine="560"/>
        <w:rPr>
          <w:rFonts w:cs="Times New Roman"/>
        </w:rPr>
        <w:sectPr>
          <w:headerReference r:id="rId13" w:type="first"/>
          <w:footerReference r:id="rId16" w:type="first"/>
          <w:headerReference r:id="rId11" w:type="default"/>
          <w:footerReference r:id="rId14" w:type="default"/>
          <w:headerReference r:id="rId12" w:type="even"/>
          <w:footerReference r:id="rId15" w:type="even"/>
          <w:pgSz w:w="23820" w:h="16840" w:orient="landscape"/>
          <w:pgMar w:top="1440" w:right="1440" w:bottom="1440" w:left="1440" w:header="720" w:footer="720" w:gutter="0"/>
          <w:pgNumType w:start="1"/>
          <w:cols w:space="634" w:num="1"/>
        </w:sectPr>
      </w:pPr>
    </w:p>
    <w:p>
      <w:pPr>
        <w:pStyle w:val="16"/>
        <w:spacing w:line="360" w:lineRule="auto"/>
        <w:ind w:firstLine="560"/>
        <w:rPr>
          <w:rFonts w:cs="Times New Roman"/>
        </w:rPr>
      </w:pPr>
      <w:r>
        <w:rPr>
          <w:rFonts w:cs="Times New Roman"/>
        </w:rPr>
        <w:t>水是城市和工业的“血液”，是国民经济发展的支柱性因素。水不仅影响着生产力的发展，也关系到社会的安定。自20世纪70年代以来，随着社会经济的快速发展，城市化进程的加快，以及水环境的人为污染和掠夺性开采与滥用，使淡水的可用数量正在急剧减少，水已向人们发出紧急警告：人类对淡水资源不注意珍惜和保护，就会受到灾难性的惩罚。我国河川平均径流量居世界第6位，但人均水资源占有量只有世界人均值的1/4，在统计的149个国家中列世界第109位，我国的水资源并不丰富，甚至被联合国粮农组织列为13个贫水国之一。近年来，水危机已严重制约了我国的经济发展，全国用水量日益增长的趋势构成了水资源供需平衡失调的严峻形势。据资料统计，在全国669个建制城市中，有400多个不同程度的缺水，其中比较严重缺水的达110个；在32个百万人口以上的特大城市中，有30个长期受到缺水的困扰。由于供水不足，城市工业每年经济损失达2000亿元以上，影响城市人口约4000万。</w:t>
      </w:r>
    </w:p>
    <w:p>
      <w:pPr>
        <w:pStyle w:val="16"/>
        <w:spacing w:line="360" w:lineRule="auto"/>
        <w:ind w:firstLine="560"/>
        <w:rPr>
          <w:rFonts w:cs="Times New Roman"/>
        </w:rPr>
      </w:pPr>
      <w:r>
        <w:rPr>
          <w:rFonts w:hint="eastAsia" w:cs="Times New Roman"/>
        </w:rPr>
        <w:t>淮北市位于安徽省北部，东经 116 度 23 分-117 度 02 分，北纬 33 度 16 分-34</w:t>
      </w:r>
    </w:p>
    <w:p>
      <w:pPr>
        <w:pStyle w:val="16"/>
        <w:spacing w:line="360" w:lineRule="auto"/>
        <w:ind w:firstLine="0" w:firstLineChars="0"/>
        <w:rPr>
          <w:rFonts w:cs="Times New Roman"/>
        </w:rPr>
      </w:pPr>
      <w:r>
        <w:rPr>
          <w:rFonts w:hint="eastAsia" w:cs="Times New Roman"/>
        </w:rPr>
        <w:t>度 14 分之间。地处华东地区腹地，苏、鲁、豫、皖四省之交，北接萧县、江苏徐州，南临蒙城，东与宿州比邻，西连涡阳和河南永城。南北长 108 公里，东西宽60 公里，总面积 2741 平方公里。</w:t>
      </w:r>
      <w:r>
        <w:rPr>
          <w:spacing w:val="-2"/>
        </w:rPr>
        <w:t>城市开发边界内：东至东外环路；西至101省道、相凤路、淮海</w:t>
      </w:r>
      <w:r>
        <w:rPr>
          <w:spacing w:val="-17"/>
        </w:rPr>
        <w:t>西路、相山区区界；北至北外环路；南至新濉河、五宋路。总面积263.5</w:t>
      </w:r>
      <w:r>
        <w:rPr>
          <w:spacing w:val="-95"/>
        </w:rPr>
        <w:t xml:space="preserve"> </w:t>
      </w:r>
      <w:r>
        <w:t>平方公里，其中城区城市建设用地130平方公里。</w:t>
      </w:r>
      <w:r>
        <w:rPr>
          <w:rFonts w:hint="eastAsia" w:cs="Times New Roman"/>
        </w:rPr>
        <w:t>淮北交通便利，基础完备。京沪、陇海、符夹等铁路纵横东西南北，6 条国道、省道以及京福、连霍高速公路穿境而过。</w:t>
      </w:r>
    </w:p>
    <w:p>
      <w:pPr>
        <w:pStyle w:val="16"/>
        <w:spacing w:line="360" w:lineRule="auto"/>
        <w:ind w:firstLine="560"/>
        <w:rPr>
          <w:rFonts w:cs="Times New Roman"/>
        </w:rPr>
      </w:pPr>
      <w:r>
        <w:rPr>
          <w:rFonts w:cs="Times New Roman"/>
        </w:rPr>
        <w:t>水资源是我国经济社会可持续发展和生态文明建设的重要内容。我国水资源时空分布不均，人均水资源量较低，供需矛盾突出，加之受经济结构、发展阶段和全球气候变化影响，严重制约着经济社会可持续发展。城镇节水是解决水资源供需矛盾、提升水环境承载能力、应对城市水安全问题的重要举措。深入推进城镇节水工作，有利于提高用水效率和效益，优化发展环境，以高效的水资源利用培育新的经济增长点。</w:t>
      </w:r>
    </w:p>
    <w:p>
      <w:pPr>
        <w:pStyle w:val="16"/>
        <w:spacing w:line="360" w:lineRule="auto"/>
        <w:ind w:firstLine="560"/>
        <w:rPr>
          <w:rFonts w:cs="Times New Roman"/>
        </w:rPr>
      </w:pPr>
      <w:r>
        <w:rPr>
          <w:rFonts w:cs="Times New Roman"/>
        </w:rPr>
        <w:t>习近平总书记提出，要“深入开展节水型城市建设，使节约用水成为每个单位、每个家庭、每个人的自觉行动”。李克强总理在2015年中央经济工作会议上明确要加快推进城市节水综合改造试点示范工作。《国民经济和社会发展第十三个五年规划纲要》提出要加快城镇节水改造，《中共中央国务院关于进一步加强城市规划建设管理工作的若干意见》、《国务院关于进一步推进新型城镇化发展的意见》（国发〔2016〕8号）以及《国务院关于印发水污染防治行动计划的通知》（国发〔2015〕17号，简称“水十条”）均明确了加强城镇节水的工作任务，全面建设节水型城市。</w:t>
      </w:r>
    </w:p>
    <w:p>
      <w:pPr>
        <w:pStyle w:val="16"/>
        <w:spacing w:line="360" w:lineRule="auto"/>
        <w:ind w:firstLine="592"/>
        <w:rPr>
          <w:rFonts w:cs="Times New Roman"/>
          <w:bCs/>
          <w:spacing w:val="16"/>
        </w:rPr>
      </w:pPr>
      <w:r>
        <w:rPr>
          <w:rFonts w:cs="Times New Roman"/>
          <w:bCs/>
          <w:spacing w:val="16"/>
        </w:rPr>
        <w:t>为贯彻落实《中共中央国务院关于进一步加强城市规划建设管理工作的若干意见》、《国民经济和社会发展第十三个五年规划纲要》、《国务院关于印发水污染防治行动计划的通知》（国发〔2015〕17号，以下简称“水十条”），全面推进城镇节水工作，住房城乡建设部会同国家发展改革委印发了《城镇节水工作指南》（以下简称《指南》）,要求各地对照“水十条”确定的“到2020年，地级及以上缺水城市全部达到国家节水型城市标准要求，京津冀、长三角、珠三角等区域提前一年完成”的目标要求, 制定节水工作计划，明确尚未达到国家节水型城市标准城市的完成期限和责任人，加快推进。</w:t>
      </w:r>
    </w:p>
    <w:p>
      <w:pPr>
        <w:pStyle w:val="16"/>
        <w:kinsoku w:val="0"/>
        <w:overflowPunct w:val="0"/>
        <w:spacing w:line="360" w:lineRule="auto"/>
        <w:ind w:firstLine="592"/>
        <w:rPr>
          <w:rFonts w:cs="Times New Roman"/>
          <w:spacing w:val="16"/>
        </w:rPr>
      </w:pPr>
      <w:r>
        <w:rPr>
          <w:rFonts w:hint="eastAsia" w:cs="Times New Roman"/>
          <w:spacing w:val="16"/>
        </w:rPr>
        <w:t>淮北</w:t>
      </w:r>
      <w:r>
        <w:rPr>
          <w:rFonts w:cs="Times New Roman"/>
          <w:spacing w:val="16"/>
        </w:rPr>
        <w:t>市市委、市政府对于城市节水工作一直非常重视，一直把节约用水作为一项基本政策。按照国家、省颁发的有关法律、法规，在省住建厅、</w:t>
      </w:r>
      <w:r>
        <w:rPr>
          <w:rFonts w:hint="eastAsia" w:cs="Times New Roman"/>
          <w:spacing w:val="16"/>
        </w:rPr>
        <w:t>发展改革委</w:t>
      </w:r>
      <w:r>
        <w:rPr>
          <w:rFonts w:cs="Times New Roman"/>
          <w:spacing w:val="16"/>
        </w:rPr>
        <w:t>等各级部门领导和支持下，</w:t>
      </w:r>
      <w:r>
        <w:rPr>
          <w:rFonts w:hint="eastAsia" w:cs="Times New Roman"/>
          <w:spacing w:val="16"/>
        </w:rPr>
        <w:t>淮北</w:t>
      </w:r>
      <w:r>
        <w:rPr>
          <w:rFonts w:cs="Times New Roman"/>
          <w:spacing w:val="16"/>
        </w:rPr>
        <w:t>市城市节约用水管理部门通过制定地方规章、编制发展规划，确定地方节水目标，加强节水管理等措施使淮北市近年来节水工作有了长足的进步，但也存在一些有待解决的问题，本次规划是淮北市进一步加强节水工作的需要，也有利于促进节水型城市的创建。</w:t>
      </w:r>
    </w:p>
    <w:p>
      <w:pPr>
        <w:pStyle w:val="16"/>
        <w:kinsoku w:val="0"/>
        <w:overflowPunct w:val="0"/>
        <w:spacing w:line="360" w:lineRule="auto"/>
        <w:ind w:firstLine="592"/>
        <w:rPr>
          <w:rFonts w:cs="Times New Roman"/>
          <w:spacing w:val="16"/>
        </w:rPr>
      </w:pPr>
      <w:r>
        <w:rPr>
          <w:rFonts w:cs="Times New Roman"/>
          <w:spacing w:val="16"/>
        </w:rPr>
        <w:t>规划的编制将为节水管理工作指明发展的方向，也有利于市政府及供水节水管理部门对新一轮各项专业规划进行指导和协调，发挥规划的最佳综合效益，使淮北市的节水工作取得更大的进步。</w:t>
      </w:r>
    </w:p>
    <w:p>
      <w:pPr>
        <w:pStyle w:val="16"/>
        <w:kinsoku w:val="0"/>
        <w:overflowPunct w:val="0"/>
        <w:spacing w:line="360" w:lineRule="auto"/>
        <w:ind w:firstLine="592"/>
        <w:rPr>
          <w:rFonts w:cs="Times New Roman"/>
          <w:spacing w:val="16"/>
        </w:rPr>
      </w:pPr>
      <w:r>
        <w:rPr>
          <w:rFonts w:cs="Times New Roman"/>
          <w:spacing w:val="16"/>
        </w:rPr>
        <w:t>本次规划的编制，得到了</w:t>
      </w:r>
      <w:r>
        <w:rPr>
          <w:rFonts w:hint="eastAsia" w:cs="Times New Roman"/>
          <w:spacing w:val="16"/>
        </w:rPr>
        <w:t>淮北市住房和城乡建设局</w:t>
      </w:r>
      <w:r>
        <w:rPr>
          <w:rFonts w:cs="Times New Roman"/>
          <w:spacing w:val="16"/>
        </w:rPr>
        <w:t>、</w:t>
      </w:r>
      <w:r>
        <w:rPr>
          <w:rFonts w:hint="eastAsia" w:cs="Times New Roman"/>
          <w:spacing w:val="16"/>
        </w:rPr>
        <w:t>淮北</w:t>
      </w:r>
      <w:r>
        <w:rPr>
          <w:rFonts w:cs="Times New Roman"/>
          <w:spacing w:val="16"/>
        </w:rPr>
        <w:t>市节水办、</w:t>
      </w:r>
      <w:r>
        <w:rPr>
          <w:rFonts w:hint="eastAsia" w:cs="Times New Roman"/>
          <w:spacing w:val="16"/>
        </w:rPr>
        <w:t>淮北</w:t>
      </w:r>
      <w:r>
        <w:rPr>
          <w:rFonts w:cs="Times New Roman"/>
          <w:spacing w:val="16"/>
        </w:rPr>
        <w:t>市经信委、</w:t>
      </w:r>
      <w:r>
        <w:rPr>
          <w:rFonts w:hint="eastAsia" w:cs="Times New Roman"/>
          <w:spacing w:val="16"/>
        </w:rPr>
        <w:t>淮北</w:t>
      </w:r>
      <w:r>
        <w:rPr>
          <w:rFonts w:cs="Times New Roman"/>
          <w:spacing w:val="16"/>
        </w:rPr>
        <w:t>市水务局、</w:t>
      </w:r>
      <w:r>
        <w:rPr>
          <w:rFonts w:hint="eastAsia" w:cs="Times New Roman"/>
          <w:spacing w:val="16"/>
        </w:rPr>
        <w:t>淮北</w:t>
      </w:r>
      <w:r>
        <w:rPr>
          <w:rFonts w:cs="Times New Roman"/>
          <w:spacing w:val="16"/>
        </w:rPr>
        <w:t>市</w:t>
      </w:r>
      <w:r>
        <w:rPr>
          <w:rFonts w:hint="eastAsia" w:cs="Times New Roman"/>
          <w:spacing w:val="16"/>
        </w:rPr>
        <w:t>生态环境</w:t>
      </w:r>
      <w:r>
        <w:rPr>
          <w:rFonts w:cs="Times New Roman"/>
          <w:spacing w:val="16"/>
        </w:rPr>
        <w:t>局、</w:t>
      </w:r>
      <w:r>
        <w:rPr>
          <w:rFonts w:hint="eastAsia" w:cs="Times New Roman"/>
          <w:spacing w:val="16"/>
        </w:rPr>
        <w:t>淮北</w:t>
      </w:r>
      <w:r>
        <w:rPr>
          <w:rFonts w:cs="Times New Roman"/>
          <w:spacing w:val="16"/>
        </w:rPr>
        <w:t>市统计局等有关部门的大力支持，在此一并深表谢意！</w:t>
      </w:r>
    </w:p>
    <w:p>
      <w:pPr>
        <w:pStyle w:val="16"/>
        <w:spacing w:line="360" w:lineRule="auto"/>
        <w:ind w:firstLine="560"/>
        <w:rPr>
          <w:rFonts w:cs="Times New Roman"/>
          <w:bCs/>
          <w:szCs w:val="20"/>
        </w:rPr>
      </w:pPr>
    </w:p>
    <w:p>
      <w:pPr>
        <w:pStyle w:val="2"/>
        <w:spacing w:before="120"/>
        <w:ind w:left="1132" w:firstLine="2808" w:firstLineChars="900"/>
        <w:jc w:val="left"/>
      </w:pPr>
      <w:r>
        <w:rPr>
          <w:b w:val="0"/>
          <w:bCs w:val="0"/>
          <w:spacing w:val="16"/>
          <w:kern w:val="0"/>
          <w:sz w:val="28"/>
          <w:szCs w:val="24"/>
        </w:rPr>
        <w:br w:type="page"/>
      </w:r>
      <w:bookmarkStart w:id="1" w:name="_Toc8032461"/>
      <w:r>
        <w:rPr>
          <w:rFonts w:hint="eastAsia"/>
        </w:rPr>
        <w:t xml:space="preserve">第一章  </w:t>
      </w:r>
      <w:r>
        <w:rPr>
          <w:rFonts w:hint="eastAsia"/>
          <w:spacing w:val="19"/>
        </w:rPr>
        <w:t>背景</w:t>
      </w:r>
      <w:r>
        <w:rPr>
          <w:spacing w:val="19"/>
        </w:rPr>
        <w:t>概况</w:t>
      </w:r>
      <w:bookmarkEnd w:id="1"/>
    </w:p>
    <w:p>
      <w:pPr>
        <w:pStyle w:val="3"/>
        <w:spacing w:before="120" w:after="60" w:line="360" w:lineRule="auto"/>
        <w:ind w:firstLine="602"/>
        <w:rPr>
          <w:rFonts w:ascii="Times New Roman" w:hAnsi="Times New Roman"/>
        </w:rPr>
      </w:pPr>
      <w:bookmarkStart w:id="2" w:name="_Toc8032462"/>
      <w:r>
        <w:rPr>
          <w:rFonts w:ascii="Times New Roman" w:hAnsi="Times New Roman"/>
        </w:rPr>
        <w:t xml:space="preserve">1.1. </w:t>
      </w:r>
      <w:r>
        <w:rPr>
          <w:rFonts w:ascii="Times New Roman" w:hAnsi="Times New Roman"/>
          <w:spacing w:val="52"/>
        </w:rPr>
        <w:t xml:space="preserve"> </w:t>
      </w:r>
      <w:r>
        <w:rPr>
          <w:rFonts w:ascii="Times New Roman" w:hAnsi="Times New Roman"/>
          <w:spacing w:val="16"/>
        </w:rPr>
        <w:t>自然概况</w:t>
      </w:r>
      <w:bookmarkEnd w:id="2"/>
    </w:p>
    <w:p>
      <w:pPr>
        <w:pStyle w:val="4"/>
      </w:pPr>
      <w:bookmarkStart w:id="3" w:name="_Toc8032463"/>
      <w:r>
        <w:t>1.1.1.</w:t>
      </w:r>
      <w:r>
        <w:rPr>
          <w:spacing w:val="54"/>
        </w:rPr>
        <w:t xml:space="preserve"> </w:t>
      </w:r>
      <w:r>
        <w:rPr>
          <w:spacing w:val="16"/>
        </w:rPr>
        <w:t>地理位置</w:t>
      </w:r>
      <w:bookmarkEnd w:id="3"/>
    </w:p>
    <w:p>
      <w:pPr>
        <w:pStyle w:val="16"/>
        <w:spacing w:line="360" w:lineRule="auto"/>
        <w:ind w:firstLine="560"/>
        <w:rPr>
          <w:rFonts w:cs="Times New Roman"/>
        </w:rPr>
      </w:pPr>
      <w:r>
        <w:rPr>
          <w:rFonts w:hint="eastAsia" w:cs="Times New Roman"/>
        </w:rPr>
        <w:drawing>
          <wp:anchor distT="0" distB="0" distL="114300" distR="114300" simplePos="0" relativeHeight="251659264" behindDoc="0" locked="0" layoutInCell="1" allowOverlap="1">
            <wp:simplePos x="0" y="0"/>
            <wp:positionH relativeFrom="column">
              <wp:posOffset>2536190</wp:posOffset>
            </wp:positionH>
            <wp:positionV relativeFrom="paragraph">
              <wp:posOffset>66675</wp:posOffset>
            </wp:positionV>
            <wp:extent cx="3761105" cy="4797425"/>
            <wp:effectExtent l="19050" t="0" r="0" b="0"/>
            <wp:wrapSquare wrapText="bothSides"/>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noChangeArrowheads="1"/>
                    </pic:cNvPicPr>
                  </pic:nvPicPr>
                  <pic:blipFill>
                    <a:blip r:embed="rId19"/>
                    <a:srcRect/>
                    <a:stretch>
                      <a:fillRect/>
                    </a:stretch>
                  </pic:blipFill>
                  <pic:spPr>
                    <a:xfrm>
                      <a:off x="0" y="0"/>
                      <a:ext cx="3761105" cy="4797425"/>
                    </a:xfrm>
                    <a:prstGeom prst="rect">
                      <a:avLst/>
                    </a:prstGeom>
                    <a:noFill/>
                    <a:ln w="9525">
                      <a:noFill/>
                      <a:miter lim="800000"/>
                      <a:headEnd/>
                      <a:tailEnd/>
                    </a:ln>
                  </pic:spPr>
                </pic:pic>
              </a:graphicData>
            </a:graphic>
          </wp:anchor>
        </w:drawing>
      </w:r>
      <w:r>
        <w:rPr>
          <w:rFonts w:hint="eastAsia" w:cs="Times New Roman"/>
        </w:rPr>
        <w:t>淮北市位于安徽省北部，东经</w:t>
      </w:r>
      <w:r>
        <w:rPr>
          <w:rFonts w:cs="Times New Roman"/>
        </w:rPr>
        <w:t xml:space="preserve">116 </w:t>
      </w:r>
      <w:r>
        <w:rPr>
          <w:rFonts w:hint="eastAsia" w:cs="Times New Roman"/>
        </w:rPr>
        <w:t>度</w:t>
      </w:r>
      <w:r>
        <w:rPr>
          <w:rFonts w:cs="Times New Roman"/>
        </w:rPr>
        <w:t xml:space="preserve">23 </w:t>
      </w:r>
      <w:r>
        <w:rPr>
          <w:rFonts w:hint="eastAsia" w:cs="Times New Roman"/>
        </w:rPr>
        <w:t>分</w:t>
      </w:r>
      <w:r>
        <w:rPr>
          <w:rFonts w:cs="Times New Roman"/>
        </w:rPr>
        <w:t xml:space="preserve">-117 </w:t>
      </w:r>
      <w:r>
        <w:rPr>
          <w:rFonts w:hint="eastAsia" w:cs="Times New Roman"/>
        </w:rPr>
        <w:t>度</w:t>
      </w:r>
      <w:r>
        <w:rPr>
          <w:rFonts w:cs="Times New Roman"/>
        </w:rPr>
        <w:t xml:space="preserve">02 </w:t>
      </w:r>
      <w:r>
        <w:rPr>
          <w:rFonts w:hint="eastAsia" w:cs="Times New Roman"/>
        </w:rPr>
        <w:t>分，北纬</w:t>
      </w:r>
      <w:r>
        <w:rPr>
          <w:rFonts w:cs="Times New Roman"/>
        </w:rPr>
        <w:t xml:space="preserve">33 </w:t>
      </w:r>
      <w:r>
        <w:rPr>
          <w:rFonts w:hint="eastAsia" w:cs="Times New Roman"/>
        </w:rPr>
        <w:t>度</w:t>
      </w:r>
      <w:r>
        <w:rPr>
          <w:rFonts w:cs="Times New Roman"/>
        </w:rPr>
        <w:t xml:space="preserve">16 </w:t>
      </w:r>
      <w:r>
        <w:rPr>
          <w:rFonts w:hint="eastAsia" w:cs="Times New Roman"/>
        </w:rPr>
        <w:t>分</w:t>
      </w:r>
      <w:r>
        <w:rPr>
          <w:rFonts w:cs="Times New Roman"/>
        </w:rPr>
        <w:t>-34</w:t>
      </w:r>
      <w:r>
        <w:rPr>
          <w:rFonts w:hint="eastAsia" w:cs="Times New Roman"/>
        </w:rPr>
        <w:t>度</w:t>
      </w:r>
      <w:r>
        <w:rPr>
          <w:rFonts w:cs="Times New Roman"/>
        </w:rPr>
        <w:t xml:space="preserve">14 </w:t>
      </w:r>
      <w:r>
        <w:rPr>
          <w:rFonts w:hint="eastAsia" w:cs="Times New Roman"/>
        </w:rPr>
        <w:t>分之间。地处华东地区腹地，苏、鲁、豫、皖四省之交，北接萧县、江苏徐州，南临蒙城，东与淮北比邻，西连涡阳和河南永城。南北长</w:t>
      </w:r>
      <w:r>
        <w:rPr>
          <w:rFonts w:cs="Times New Roman"/>
        </w:rPr>
        <w:t xml:space="preserve">108 </w:t>
      </w:r>
      <w:r>
        <w:rPr>
          <w:rFonts w:hint="eastAsia" w:cs="Times New Roman"/>
        </w:rPr>
        <w:t>公里，东西宽</w:t>
      </w:r>
      <w:r>
        <w:rPr>
          <w:rFonts w:cs="Times New Roman"/>
        </w:rPr>
        <w:t xml:space="preserve">60 </w:t>
      </w:r>
      <w:r>
        <w:rPr>
          <w:rFonts w:hint="eastAsia" w:cs="Times New Roman"/>
        </w:rPr>
        <w:t>公里，总面积</w:t>
      </w:r>
      <w:r>
        <w:rPr>
          <w:rFonts w:cs="Times New Roman"/>
        </w:rPr>
        <w:t xml:space="preserve">2741 </w:t>
      </w:r>
      <w:r>
        <w:rPr>
          <w:rFonts w:hint="eastAsia" w:cs="Times New Roman"/>
        </w:rPr>
        <w:t>平方公里。淮北交通便利，基础完备。京沪、陇海、符夹等铁路纵横东西南北，</w:t>
      </w:r>
      <w:r>
        <w:rPr>
          <w:rFonts w:cs="Times New Roman"/>
        </w:rPr>
        <w:t xml:space="preserve">6 </w:t>
      </w:r>
      <w:r>
        <w:rPr>
          <w:rFonts w:hint="eastAsia" w:cs="Times New Roman"/>
        </w:rPr>
        <w:t>条国道、省道以及京福、连霍高速公路穿境而过。</w:t>
      </w:r>
    </w:p>
    <w:p>
      <w:pPr>
        <w:pStyle w:val="16"/>
        <w:spacing w:line="360" w:lineRule="auto"/>
        <w:ind w:firstLine="560"/>
        <w:rPr>
          <w:rFonts w:cs="Times New Roman"/>
        </w:rPr>
      </w:pPr>
      <w:r>
        <w:rPr>
          <w:rFonts w:hint="eastAsia" w:cs="Times New Roman"/>
        </w:rPr>
        <w:t>淮北市地处沿海经济开放区向内地辐射的波及区的边缘，属于省际边界城市。淮北临近连霍、合徐两条高速公路，同时距徐州机场仅一个多小时车程，具有一定区位优势。尤其是临近东部沿海发达地区，具有很好的地缘优势，可以较快接受东部沿海经济发达地区的经济辐射、产业转移。因此，淮北市在整个周边区域中具有很重要的地位，有条件发展成为皖东北地区的一个中心城市。</w:t>
      </w:r>
    </w:p>
    <w:p>
      <w:pPr>
        <w:pStyle w:val="16"/>
        <w:spacing w:line="360" w:lineRule="auto"/>
        <w:ind w:firstLine="560"/>
        <w:rPr>
          <w:rFonts w:cs="Times New Roman"/>
        </w:rPr>
      </w:pPr>
      <w:r>
        <w:rPr>
          <w:rFonts w:hint="eastAsia" w:cs="Times New Roman"/>
        </w:rPr>
        <w:t>淮北市地处安徽省北部，早在</w:t>
      </w:r>
      <w:r>
        <w:rPr>
          <w:rFonts w:cs="Times New Roman"/>
        </w:rPr>
        <w:t xml:space="preserve">7000 </w:t>
      </w:r>
      <w:r>
        <w:rPr>
          <w:rFonts w:hint="eastAsia" w:cs="Times New Roman"/>
        </w:rPr>
        <w:t>年前新石器时代早期即有人类在此开始耕作。</w:t>
      </w:r>
      <w:r>
        <w:rPr>
          <w:rFonts w:cs="Times New Roman"/>
        </w:rPr>
        <w:t xml:space="preserve">1949 </w:t>
      </w:r>
      <w:r>
        <w:rPr>
          <w:rFonts w:hint="eastAsia" w:cs="Times New Roman"/>
        </w:rPr>
        <w:t>年，中华人民共和国成立，本地分属皖北行政公署宿县专区之宿县和萧县。</w:t>
      </w:r>
      <w:r>
        <w:rPr>
          <w:rFonts w:cs="Times New Roman"/>
        </w:rPr>
        <w:t xml:space="preserve">1950 </w:t>
      </w:r>
      <w:r>
        <w:rPr>
          <w:rFonts w:hint="eastAsia" w:cs="Times New Roman"/>
        </w:rPr>
        <w:t>年，析宿县西境置濉溪县。</w:t>
      </w:r>
      <w:r>
        <w:rPr>
          <w:rFonts w:cs="Times New Roman"/>
        </w:rPr>
        <w:t xml:space="preserve">1960 </w:t>
      </w:r>
      <w:r>
        <w:rPr>
          <w:rFonts w:hint="eastAsia" w:cs="Times New Roman"/>
        </w:rPr>
        <w:t>年，经国务院批准，设立濉溪市。</w:t>
      </w:r>
      <w:r>
        <w:rPr>
          <w:rFonts w:cs="Times New Roman"/>
        </w:rPr>
        <w:t>1971</w:t>
      </w:r>
      <w:r>
        <w:rPr>
          <w:rFonts w:hint="eastAsia" w:cs="Times New Roman"/>
        </w:rPr>
        <w:t>年，濉溪市更名为淮北市。</w:t>
      </w:r>
    </w:p>
    <w:p>
      <w:pPr>
        <w:pStyle w:val="4"/>
      </w:pPr>
      <w:bookmarkStart w:id="4" w:name="_Toc8032464"/>
      <w:r>
        <w:t>1.1.2.</w:t>
      </w:r>
      <w:r>
        <w:rPr>
          <w:rFonts w:hint="eastAsia"/>
        </w:rPr>
        <w:t>地形地貌</w:t>
      </w:r>
      <w:bookmarkEnd w:id="4"/>
    </w:p>
    <w:p>
      <w:pPr>
        <w:pStyle w:val="16"/>
        <w:spacing w:line="360" w:lineRule="auto"/>
        <w:ind w:firstLine="560"/>
        <w:rPr>
          <w:rFonts w:cs="Times New Roman"/>
        </w:rPr>
      </w:pPr>
      <w:r>
        <w:rPr>
          <w:rFonts w:hint="eastAsia" w:cs="Times New Roman"/>
        </w:rPr>
        <w:t>淮北市地处黄淮中下游平原，地貌类型以平原为主，地势自西北向东南微倾，城区北依相山，西临萧濉新河，东、西有寒武、奥陶系地层组成的山丘平行延伸两侧。其主要类型是：平原、山丘、湖洼地、河流。</w:t>
      </w:r>
    </w:p>
    <w:p>
      <w:pPr>
        <w:pStyle w:val="16"/>
        <w:spacing w:line="360" w:lineRule="auto"/>
        <w:ind w:firstLine="560"/>
        <w:rPr>
          <w:rFonts w:cs="Times New Roman"/>
        </w:rPr>
      </w:pPr>
      <w:r>
        <w:rPr>
          <w:rFonts w:hint="eastAsia" w:cs="Times New Roman"/>
        </w:rPr>
        <w:t>淮北市平原面积占土地总面积的</w:t>
      </w:r>
      <w:r>
        <w:rPr>
          <w:rFonts w:cs="Times New Roman"/>
        </w:rPr>
        <w:t>95.3%</w:t>
      </w:r>
      <w:r>
        <w:rPr>
          <w:rFonts w:hint="eastAsia" w:cs="Times New Roman"/>
        </w:rPr>
        <w:t>，低山残丘面积仅占</w:t>
      </w:r>
      <w:r>
        <w:rPr>
          <w:rFonts w:cs="Times New Roman"/>
        </w:rPr>
        <w:t>4.7%</w:t>
      </w:r>
      <w:r>
        <w:rPr>
          <w:rFonts w:hint="eastAsia" w:cs="Times New Roman"/>
        </w:rPr>
        <w:t>。山脉主要分布在北部及中部偏东，系泰山余脉，海拔在</w:t>
      </w:r>
      <w:r>
        <w:rPr>
          <w:rFonts w:cs="Times New Roman"/>
        </w:rPr>
        <w:t>60</w:t>
      </w:r>
      <w:r>
        <w:rPr>
          <w:rFonts w:hint="eastAsia" w:cs="Times New Roman"/>
        </w:rPr>
        <w:t>～</w:t>
      </w:r>
      <w:r>
        <w:rPr>
          <w:rFonts w:cs="Times New Roman"/>
        </w:rPr>
        <w:t xml:space="preserve">400 </w:t>
      </w:r>
      <w:r>
        <w:rPr>
          <w:rFonts w:hint="eastAsia" w:cs="Times New Roman"/>
        </w:rPr>
        <w:t>米之间，余者皆为一望无际的平原，其海拔高度</w:t>
      </w:r>
      <w:r>
        <w:rPr>
          <w:rFonts w:cs="Times New Roman"/>
        </w:rPr>
        <w:t>22.0</w:t>
      </w:r>
      <w:r>
        <w:rPr>
          <w:rFonts w:hint="eastAsia" w:cs="Times New Roman"/>
        </w:rPr>
        <w:t>～</w:t>
      </w:r>
      <w:r>
        <w:rPr>
          <w:rFonts w:cs="Times New Roman"/>
        </w:rPr>
        <w:t xml:space="preserve">37.0m </w:t>
      </w:r>
      <w:r>
        <w:rPr>
          <w:rFonts w:hint="eastAsia" w:cs="Times New Roman"/>
        </w:rPr>
        <w:t>米。地势由西北向东南倾斜，坡降约为万分之一。境内山地一般高程约</w:t>
      </w:r>
      <w:r>
        <w:rPr>
          <w:rFonts w:cs="Times New Roman"/>
        </w:rPr>
        <w:t>200m</w:t>
      </w:r>
      <w:r>
        <w:rPr>
          <w:rFonts w:hint="eastAsia" w:cs="Times New Roman"/>
        </w:rPr>
        <w:t>，以濉溪县的老龙脊最高，海拔为</w:t>
      </w:r>
      <w:r>
        <w:rPr>
          <w:rFonts w:cs="Times New Roman"/>
        </w:rPr>
        <w:t>362m</w:t>
      </w:r>
      <w:r>
        <w:rPr>
          <w:rFonts w:hint="eastAsia" w:cs="Times New Roman"/>
        </w:rPr>
        <w:t>；其次是市区西部的相山，海拔</w:t>
      </w:r>
      <w:r>
        <w:rPr>
          <w:rFonts w:cs="Times New Roman"/>
        </w:rPr>
        <w:t>342m</w:t>
      </w:r>
      <w:r>
        <w:rPr>
          <w:rFonts w:hint="eastAsia" w:cs="Times New Roman"/>
        </w:rPr>
        <w:t>。以横贯平原中部的古隋堤（今宿永公路）为界，北部为黄泛冲积平原区，土壤肥沃，地面平整，地下水丰富；南部为古老河湖沉积平原，地势较低，地下水位较高，地瘦质差，但增产潜力大。</w:t>
      </w:r>
    </w:p>
    <w:p>
      <w:pPr>
        <w:pStyle w:val="4"/>
      </w:pPr>
      <w:bookmarkStart w:id="5" w:name="_Toc8032465"/>
      <w:r>
        <w:t xml:space="preserve">1.1.3. </w:t>
      </w:r>
      <w:r>
        <w:rPr>
          <w:rFonts w:hint="eastAsia"/>
        </w:rPr>
        <w:t>水文地质</w:t>
      </w:r>
      <w:bookmarkEnd w:id="5"/>
    </w:p>
    <w:p>
      <w:pPr>
        <w:pStyle w:val="16"/>
        <w:spacing w:line="360" w:lineRule="auto"/>
        <w:ind w:firstLine="560"/>
        <w:rPr>
          <w:rFonts w:cs="Times New Roman"/>
        </w:rPr>
      </w:pPr>
      <w:r>
        <w:rPr>
          <w:rFonts w:hint="eastAsia" w:cs="Times New Roman"/>
        </w:rPr>
        <w:t>（</w:t>
      </w:r>
      <w:r>
        <w:rPr>
          <w:rFonts w:cs="Times New Roman"/>
        </w:rPr>
        <w:t>1</w:t>
      </w:r>
      <w:r>
        <w:rPr>
          <w:rFonts w:hint="eastAsia" w:cs="Times New Roman"/>
        </w:rPr>
        <w:t>）气象条件</w:t>
      </w:r>
    </w:p>
    <w:p>
      <w:pPr>
        <w:pStyle w:val="16"/>
        <w:spacing w:line="360" w:lineRule="auto"/>
        <w:ind w:firstLine="560"/>
        <w:rPr>
          <w:rFonts w:cs="Times New Roman"/>
        </w:rPr>
      </w:pPr>
      <w:r>
        <w:rPr>
          <w:rFonts w:hint="eastAsia" w:cs="Times New Roman"/>
        </w:rPr>
        <w:t>淮北市地处中纬度地区，属北方型大陆性气候与湿润性气候之间的过渡性气候。四季分明，气候温和，雨量适中，春温多变，秋高气爽，冬季显著，夏雨集中，无霜期长，日照充足。主导风向全年以偏东风为主，其次为偏北风和偏南风。</w:t>
      </w:r>
    </w:p>
    <w:p>
      <w:pPr>
        <w:pStyle w:val="16"/>
        <w:spacing w:line="360" w:lineRule="auto"/>
        <w:ind w:firstLine="560"/>
        <w:rPr>
          <w:rFonts w:cs="Times New Roman"/>
        </w:rPr>
      </w:pPr>
      <w:r>
        <w:rPr>
          <w:rFonts w:hint="eastAsia" w:cs="Times New Roman"/>
        </w:rPr>
        <w:t>受季风影响，降雨量的年际、年内变化较大，雨量集中且分布不均。多年平均降水量</w:t>
      </w:r>
      <w:r>
        <w:rPr>
          <w:rFonts w:cs="Times New Roman"/>
        </w:rPr>
        <w:t>860mm</w:t>
      </w:r>
      <w:r>
        <w:rPr>
          <w:rFonts w:hint="eastAsia" w:cs="Times New Roman"/>
        </w:rPr>
        <w:t>，主要集中在汛期</w:t>
      </w:r>
      <w:r>
        <w:rPr>
          <w:rFonts w:cs="Times New Roman"/>
        </w:rPr>
        <w:t>6</w:t>
      </w:r>
      <w:r>
        <w:rPr>
          <w:rFonts w:hint="eastAsia" w:cs="Times New Roman"/>
        </w:rPr>
        <w:t>～</w:t>
      </w:r>
      <w:r>
        <w:rPr>
          <w:rFonts w:cs="Times New Roman"/>
        </w:rPr>
        <w:t xml:space="preserve">9 </w:t>
      </w:r>
      <w:r>
        <w:rPr>
          <w:rFonts w:hint="eastAsia" w:cs="Times New Roman"/>
        </w:rPr>
        <w:t>月，约占全年的</w:t>
      </w:r>
      <w:r>
        <w:rPr>
          <w:rFonts w:cs="Times New Roman"/>
        </w:rPr>
        <w:t>60%</w:t>
      </w:r>
      <w:r>
        <w:rPr>
          <w:rFonts w:hint="eastAsia" w:cs="Times New Roman"/>
        </w:rPr>
        <w:t>；年降水量最多的</w:t>
      </w:r>
      <w:r>
        <w:rPr>
          <w:rFonts w:cs="Times New Roman"/>
        </w:rPr>
        <w:t xml:space="preserve">1963 </w:t>
      </w:r>
      <w:r>
        <w:rPr>
          <w:rFonts w:hint="eastAsia" w:cs="Times New Roman"/>
        </w:rPr>
        <w:t>年为</w:t>
      </w:r>
      <w:r>
        <w:rPr>
          <w:rFonts w:cs="Times New Roman"/>
        </w:rPr>
        <w:t>1352.3mm</w:t>
      </w:r>
      <w:r>
        <w:rPr>
          <w:rFonts w:hint="eastAsia" w:cs="Times New Roman"/>
        </w:rPr>
        <w:t>，降水量最少的</w:t>
      </w:r>
      <w:r>
        <w:rPr>
          <w:rFonts w:cs="Times New Roman"/>
        </w:rPr>
        <w:t xml:space="preserve">1999 </w:t>
      </w:r>
      <w:r>
        <w:rPr>
          <w:rFonts w:hint="eastAsia" w:cs="Times New Roman"/>
        </w:rPr>
        <w:t>年为</w:t>
      </w:r>
      <w:r>
        <w:rPr>
          <w:rFonts w:cs="Times New Roman"/>
        </w:rPr>
        <w:t>558.8mm</w:t>
      </w:r>
      <w:r>
        <w:rPr>
          <w:rFonts w:hint="eastAsia" w:cs="Times New Roman"/>
        </w:rPr>
        <w:t>，相差</w:t>
      </w:r>
      <w:r>
        <w:rPr>
          <w:rFonts w:cs="Times New Roman"/>
        </w:rPr>
        <w:t xml:space="preserve">2.4 </w:t>
      </w:r>
      <w:r>
        <w:rPr>
          <w:rFonts w:hint="eastAsia" w:cs="Times New Roman"/>
        </w:rPr>
        <w:t>倍。最大日降水量</w:t>
      </w:r>
      <w:r>
        <w:rPr>
          <w:rFonts w:cs="Times New Roman"/>
        </w:rPr>
        <w:t>249mm</w:t>
      </w:r>
      <w:r>
        <w:rPr>
          <w:rFonts w:hint="eastAsia" w:cs="Times New Roman"/>
        </w:rPr>
        <w:t>（</w:t>
      </w:r>
      <w:r>
        <w:rPr>
          <w:rFonts w:cs="Times New Roman"/>
        </w:rPr>
        <w:t xml:space="preserve">1957 </w:t>
      </w:r>
      <w:r>
        <w:rPr>
          <w:rFonts w:hint="eastAsia" w:cs="Times New Roman"/>
        </w:rPr>
        <w:t>年</w:t>
      </w:r>
      <w:r>
        <w:rPr>
          <w:rFonts w:cs="Times New Roman"/>
        </w:rPr>
        <w:t xml:space="preserve">7 </w:t>
      </w:r>
      <w:r>
        <w:rPr>
          <w:rFonts w:hint="eastAsia" w:cs="Times New Roman"/>
        </w:rPr>
        <w:t>月</w:t>
      </w:r>
      <w:r>
        <w:rPr>
          <w:rFonts w:cs="Times New Roman"/>
        </w:rPr>
        <w:t xml:space="preserve">14 </w:t>
      </w:r>
      <w:r>
        <w:rPr>
          <w:rFonts w:hint="eastAsia" w:cs="Times New Roman"/>
        </w:rPr>
        <w:t>日），年平均降雨天数</w:t>
      </w:r>
      <w:r>
        <w:rPr>
          <w:rFonts w:cs="Times New Roman"/>
        </w:rPr>
        <w:t>92d</w:t>
      </w:r>
      <w:r>
        <w:rPr>
          <w:rFonts w:hint="eastAsia" w:cs="Times New Roman"/>
        </w:rPr>
        <w:t>。淮北市暴雨日数不多，平均只有</w:t>
      </w:r>
      <w:r>
        <w:rPr>
          <w:rFonts w:cs="Times New Roman"/>
        </w:rPr>
        <w:t xml:space="preserve">3 </w:t>
      </w:r>
      <w:r>
        <w:rPr>
          <w:rFonts w:hint="eastAsia" w:cs="Times New Roman"/>
        </w:rPr>
        <w:t>天，出现暴雨的时间一般为</w:t>
      </w:r>
      <w:r>
        <w:rPr>
          <w:rFonts w:cs="Times New Roman"/>
        </w:rPr>
        <w:t>6</w:t>
      </w:r>
      <w:r>
        <w:rPr>
          <w:rFonts w:hint="eastAsia" w:cs="Times New Roman"/>
        </w:rPr>
        <w:t>～</w:t>
      </w:r>
      <w:r>
        <w:rPr>
          <w:rFonts w:cs="Times New Roman"/>
        </w:rPr>
        <w:t xml:space="preserve">9 </w:t>
      </w:r>
      <w:r>
        <w:rPr>
          <w:rFonts w:hint="eastAsia" w:cs="Times New Roman"/>
        </w:rPr>
        <w:t>月。</w:t>
      </w:r>
    </w:p>
    <w:p>
      <w:pPr>
        <w:pStyle w:val="16"/>
        <w:spacing w:line="360" w:lineRule="auto"/>
        <w:ind w:firstLine="560"/>
        <w:rPr>
          <w:rFonts w:cs="Times New Roman"/>
        </w:rPr>
      </w:pPr>
      <w:r>
        <w:rPr>
          <w:rFonts w:hint="eastAsia" w:cs="Times New Roman"/>
        </w:rPr>
        <w:t>市域年平均降雪日数为</w:t>
      </w:r>
      <w:r>
        <w:rPr>
          <w:rFonts w:cs="Times New Roman"/>
        </w:rPr>
        <w:t>9d</w:t>
      </w:r>
      <w:r>
        <w:rPr>
          <w:rFonts w:hint="eastAsia" w:cs="Times New Roman"/>
        </w:rPr>
        <w:t>，平均初雪日期为</w:t>
      </w:r>
      <w:r>
        <w:rPr>
          <w:rFonts w:cs="Times New Roman"/>
        </w:rPr>
        <w:t xml:space="preserve">12 </w:t>
      </w:r>
      <w:r>
        <w:rPr>
          <w:rFonts w:hint="eastAsia" w:cs="Times New Roman"/>
        </w:rPr>
        <w:t>月</w:t>
      </w:r>
      <w:r>
        <w:rPr>
          <w:rFonts w:cs="Times New Roman"/>
        </w:rPr>
        <w:t xml:space="preserve">12 </w:t>
      </w:r>
      <w:r>
        <w:rPr>
          <w:rFonts w:hint="eastAsia" w:cs="Times New Roman"/>
        </w:rPr>
        <w:t>日，平均终雪日期为</w:t>
      </w:r>
      <w:r>
        <w:rPr>
          <w:rFonts w:cs="Times New Roman"/>
        </w:rPr>
        <w:t>3</w:t>
      </w:r>
      <w:r>
        <w:rPr>
          <w:rFonts w:hint="eastAsia" w:cs="Times New Roman"/>
        </w:rPr>
        <w:t>月</w:t>
      </w:r>
      <w:r>
        <w:rPr>
          <w:rFonts w:cs="Times New Roman"/>
        </w:rPr>
        <w:t xml:space="preserve">2 </w:t>
      </w:r>
      <w:r>
        <w:rPr>
          <w:rFonts w:hint="eastAsia" w:cs="Times New Roman"/>
        </w:rPr>
        <w:t>日；年平均积雪日数为</w:t>
      </w:r>
      <w:r>
        <w:rPr>
          <w:rFonts w:cs="Times New Roman"/>
        </w:rPr>
        <w:t>12d</w:t>
      </w:r>
      <w:r>
        <w:rPr>
          <w:rFonts w:hint="eastAsia" w:cs="Times New Roman"/>
        </w:rPr>
        <w:t>，最多为</w:t>
      </w:r>
      <w:r>
        <w:rPr>
          <w:rFonts w:cs="Times New Roman"/>
        </w:rPr>
        <w:t>42d</w:t>
      </w:r>
      <w:r>
        <w:rPr>
          <w:rFonts w:hint="eastAsia" w:cs="Times New Roman"/>
        </w:rPr>
        <w:t>；积雪深度最深为</w:t>
      </w:r>
      <w:r>
        <w:rPr>
          <w:rFonts w:cs="Times New Roman"/>
        </w:rPr>
        <w:t>200mm</w:t>
      </w:r>
      <w:r>
        <w:rPr>
          <w:rFonts w:hint="eastAsia" w:cs="Times New Roman"/>
        </w:rPr>
        <w:t>。年平均气温</w:t>
      </w:r>
      <w:r>
        <w:rPr>
          <w:rFonts w:cs="Times New Roman"/>
        </w:rPr>
        <w:t>14.5</w:t>
      </w:r>
      <w:r>
        <w:rPr>
          <w:rFonts w:hint="eastAsia" w:cs="Times New Roman"/>
        </w:rPr>
        <w:t>℃，</w:t>
      </w:r>
      <w:r>
        <w:rPr>
          <w:rFonts w:cs="Times New Roman"/>
        </w:rPr>
        <w:t xml:space="preserve">1 </w:t>
      </w:r>
      <w:r>
        <w:rPr>
          <w:rFonts w:hint="eastAsia" w:cs="Times New Roman"/>
        </w:rPr>
        <w:t>月为全年最冷月，平均气温</w:t>
      </w:r>
      <w:r>
        <w:rPr>
          <w:rFonts w:cs="Times New Roman"/>
        </w:rPr>
        <w:t>-0.1</w:t>
      </w:r>
      <w:r>
        <w:rPr>
          <w:rFonts w:hint="eastAsia" w:cs="Times New Roman"/>
        </w:rPr>
        <w:t>℃，</w:t>
      </w:r>
      <w:r>
        <w:rPr>
          <w:rFonts w:cs="Times New Roman"/>
        </w:rPr>
        <w:t xml:space="preserve">7 </w:t>
      </w:r>
      <w:r>
        <w:rPr>
          <w:rFonts w:hint="eastAsia" w:cs="Times New Roman"/>
        </w:rPr>
        <w:t>月为全年最热月，平均气温</w:t>
      </w:r>
      <w:r>
        <w:rPr>
          <w:rFonts w:cs="Times New Roman"/>
        </w:rPr>
        <w:t>27.5</w:t>
      </w:r>
      <w:r>
        <w:rPr>
          <w:rFonts w:hint="eastAsia" w:cs="Times New Roman"/>
        </w:rPr>
        <w:t>℃；极端最高气温</w:t>
      </w:r>
      <w:r>
        <w:rPr>
          <w:rFonts w:cs="Times New Roman"/>
        </w:rPr>
        <w:t>41.1</w:t>
      </w:r>
      <w:r>
        <w:rPr>
          <w:rFonts w:hint="eastAsia" w:cs="Times New Roman"/>
        </w:rPr>
        <w:t>℃（</w:t>
      </w:r>
      <w:r>
        <w:rPr>
          <w:rFonts w:cs="Times New Roman"/>
        </w:rPr>
        <w:t xml:space="preserve">1992 </w:t>
      </w:r>
      <w:r>
        <w:rPr>
          <w:rFonts w:hint="eastAsia" w:cs="Times New Roman"/>
        </w:rPr>
        <w:t>年</w:t>
      </w:r>
      <w:r>
        <w:rPr>
          <w:rFonts w:cs="Times New Roman"/>
        </w:rPr>
        <w:t xml:space="preserve">6 </w:t>
      </w:r>
      <w:r>
        <w:rPr>
          <w:rFonts w:hint="eastAsia" w:cs="Times New Roman"/>
        </w:rPr>
        <w:t>月</w:t>
      </w:r>
      <w:r>
        <w:rPr>
          <w:rFonts w:cs="Times New Roman"/>
        </w:rPr>
        <w:t xml:space="preserve">11 </w:t>
      </w:r>
      <w:r>
        <w:rPr>
          <w:rFonts w:hint="eastAsia" w:cs="Times New Roman"/>
        </w:rPr>
        <w:t>日），极端最低气温</w:t>
      </w:r>
      <w:r>
        <w:rPr>
          <w:rFonts w:cs="Times New Roman"/>
        </w:rPr>
        <w:t>-21.3</w:t>
      </w:r>
      <w:r>
        <w:rPr>
          <w:rFonts w:hint="eastAsia" w:cs="Times New Roman"/>
        </w:rPr>
        <w:t>℃（</w:t>
      </w:r>
      <w:r>
        <w:rPr>
          <w:rFonts w:cs="Times New Roman"/>
        </w:rPr>
        <w:t>1969</w:t>
      </w:r>
      <w:r>
        <w:rPr>
          <w:rFonts w:hint="eastAsia" w:cs="Times New Roman"/>
        </w:rPr>
        <w:t>年</w:t>
      </w:r>
      <w:r>
        <w:rPr>
          <w:rFonts w:cs="Times New Roman"/>
        </w:rPr>
        <w:t>2</w:t>
      </w:r>
      <w:r>
        <w:rPr>
          <w:rFonts w:hint="eastAsia" w:cs="Times New Roman"/>
        </w:rPr>
        <w:t>月</w:t>
      </w:r>
      <w:r>
        <w:rPr>
          <w:rFonts w:cs="Times New Roman"/>
        </w:rPr>
        <w:t>5</w:t>
      </w:r>
      <w:r>
        <w:rPr>
          <w:rFonts w:hint="eastAsia" w:cs="Times New Roman"/>
        </w:rPr>
        <w:t>日）。历年平均日最低气温</w:t>
      </w:r>
      <w:r>
        <w:rPr>
          <w:rFonts w:cs="Times New Roman"/>
        </w:rPr>
        <w:t>&lt;0</w:t>
      </w:r>
      <w:r>
        <w:rPr>
          <w:rFonts w:hint="eastAsia" w:cs="Times New Roman"/>
        </w:rPr>
        <w:t>℃的天数为</w:t>
      </w:r>
      <w:r>
        <w:rPr>
          <w:rFonts w:cs="Times New Roman"/>
        </w:rPr>
        <w:t>83d</w:t>
      </w:r>
      <w:r>
        <w:rPr>
          <w:rFonts w:hint="eastAsia" w:cs="Times New Roman"/>
        </w:rPr>
        <w:t>；历年平均日最高气温</w:t>
      </w:r>
      <w:r>
        <w:rPr>
          <w:rFonts w:cs="Times New Roman"/>
        </w:rPr>
        <w:t>&gt;35</w:t>
      </w:r>
      <w:r>
        <w:rPr>
          <w:rFonts w:hint="eastAsia" w:cs="Times New Roman"/>
        </w:rPr>
        <w:t>℃的天数为</w:t>
      </w:r>
      <w:r>
        <w:rPr>
          <w:rFonts w:cs="Times New Roman"/>
        </w:rPr>
        <w:t>16d</w:t>
      </w:r>
      <w:r>
        <w:rPr>
          <w:rFonts w:hint="eastAsia" w:cs="Times New Roman"/>
        </w:rPr>
        <w:t>。多年平均日照时数</w:t>
      </w:r>
      <w:r>
        <w:rPr>
          <w:rFonts w:cs="Times New Roman"/>
        </w:rPr>
        <w:t>2294h</w:t>
      </w:r>
      <w:r>
        <w:rPr>
          <w:rFonts w:hint="eastAsia" w:cs="Times New Roman"/>
        </w:rPr>
        <w:t>，日照的月份分布以</w:t>
      </w:r>
      <w:r>
        <w:rPr>
          <w:rFonts w:cs="Times New Roman"/>
        </w:rPr>
        <w:t xml:space="preserve">6 </w:t>
      </w:r>
      <w:r>
        <w:rPr>
          <w:rFonts w:hint="eastAsia" w:cs="Times New Roman"/>
        </w:rPr>
        <w:t>月份日照时数为最多，</w:t>
      </w:r>
      <w:r>
        <w:rPr>
          <w:rFonts w:cs="Times New Roman"/>
        </w:rPr>
        <w:t>2</w:t>
      </w:r>
      <w:r>
        <w:rPr>
          <w:rFonts w:hint="eastAsia" w:cs="Times New Roman"/>
        </w:rPr>
        <w:t>月份最少；</w:t>
      </w:r>
      <w:r>
        <w:rPr>
          <w:rFonts w:cs="Times New Roman"/>
        </w:rPr>
        <w:t>5</w:t>
      </w:r>
      <w:r>
        <w:rPr>
          <w:rFonts w:hint="eastAsia" w:cs="Times New Roman"/>
        </w:rPr>
        <w:t>～</w:t>
      </w:r>
      <w:r>
        <w:rPr>
          <w:rFonts w:cs="Times New Roman"/>
        </w:rPr>
        <w:t xml:space="preserve">9 </w:t>
      </w:r>
      <w:r>
        <w:rPr>
          <w:rFonts w:hint="eastAsia" w:cs="Times New Roman"/>
        </w:rPr>
        <w:t>月份作物生长旺盛期日照时数为</w:t>
      </w:r>
      <w:r>
        <w:rPr>
          <w:rFonts w:cs="Times New Roman"/>
        </w:rPr>
        <w:t>1100h</w:t>
      </w:r>
      <w:r>
        <w:rPr>
          <w:rFonts w:hint="eastAsia" w:cs="Times New Roman"/>
        </w:rPr>
        <w:t>，占年总日照时数的</w:t>
      </w:r>
      <w:r>
        <w:rPr>
          <w:rFonts w:cs="Times New Roman"/>
        </w:rPr>
        <w:t>48%</w:t>
      </w:r>
      <w:r>
        <w:rPr>
          <w:rFonts w:hint="eastAsia" w:cs="Times New Roman"/>
        </w:rPr>
        <w:t>。市境主导风向为东北风，常年平均风速</w:t>
      </w:r>
      <w:r>
        <w:rPr>
          <w:rFonts w:cs="Times New Roman"/>
        </w:rPr>
        <w:t>3.0m/s</w:t>
      </w:r>
      <w:r>
        <w:rPr>
          <w:rFonts w:hint="eastAsia" w:cs="Times New Roman"/>
        </w:rPr>
        <w:t>；</w:t>
      </w:r>
      <w:r>
        <w:rPr>
          <w:rFonts w:cs="Times New Roman"/>
        </w:rPr>
        <w:t xml:space="preserve">10 </w:t>
      </w:r>
      <w:r>
        <w:rPr>
          <w:rFonts w:hint="eastAsia" w:cs="Times New Roman"/>
        </w:rPr>
        <w:t>分钟平均最大风速为</w:t>
      </w:r>
      <w:r>
        <w:rPr>
          <w:rFonts w:cs="Times New Roman"/>
        </w:rPr>
        <w:t>19m/s</w:t>
      </w:r>
      <w:r>
        <w:rPr>
          <w:rFonts w:hint="eastAsia" w:cs="Times New Roman"/>
        </w:rPr>
        <w:t>，相当于</w:t>
      </w:r>
      <w:r>
        <w:rPr>
          <w:rFonts w:cs="Times New Roman"/>
        </w:rPr>
        <w:t xml:space="preserve">8 </w:t>
      </w:r>
      <w:r>
        <w:rPr>
          <w:rFonts w:hint="eastAsia" w:cs="Times New Roman"/>
        </w:rPr>
        <w:t>级风力。</w:t>
      </w:r>
    </w:p>
    <w:p>
      <w:pPr>
        <w:pStyle w:val="16"/>
        <w:spacing w:line="360" w:lineRule="auto"/>
        <w:ind w:firstLine="560"/>
        <w:rPr>
          <w:rFonts w:cs="Times New Roman"/>
        </w:rPr>
      </w:pPr>
      <w:r>
        <w:rPr>
          <w:rFonts w:hint="eastAsia" w:cs="Times New Roman"/>
        </w:rPr>
        <w:t>（</w:t>
      </w:r>
      <w:r>
        <w:rPr>
          <w:rFonts w:cs="Times New Roman"/>
        </w:rPr>
        <w:t>2</w:t>
      </w:r>
      <w:r>
        <w:rPr>
          <w:rFonts w:hint="eastAsia" w:cs="Times New Roman"/>
        </w:rPr>
        <w:t>）水文条件</w:t>
      </w:r>
    </w:p>
    <w:p>
      <w:pPr>
        <w:pStyle w:val="16"/>
        <w:spacing w:line="360" w:lineRule="auto"/>
        <w:ind w:firstLine="560"/>
        <w:rPr>
          <w:rFonts w:cs="Times New Roman"/>
        </w:rPr>
      </w:pPr>
      <w:r>
        <w:rPr>
          <w:rFonts w:hint="eastAsia" w:cs="Times New Roman"/>
        </w:rPr>
        <w:t>本区第四系分布广泛，孔隙水储存于第四系砂层之中，主要以大气降水为主补给水源。浅层地下水流向与地形坡降及河流方向一致，由西北向东南。地下水位升降随季节（降雨量）变化，地下水对混凝土无侵蚀作用。淮北市浅层地下水主要分布在山涧盆地和广大的洪～冲积平原地区。浅层地下水位埋深，除岩溶水超采漏斗区外，一般在</w:t>
      </w:r>
      <w:r>
        <w:rPr>
          <w:rFonts w:cs="Times New Roman"/>
        </w:rPr>
        <w:t>3</w:t>
      </w:r>
      <w:r>
        <w:rPr>
          <w:rFonts w:hint="eastAsia" w:cs="Times New Roman"/>
        </w:rPr>
        <w:t>～</w:t>
      </w:r>
      <w:r>
        <w:rPr>
          <w:rFonts w:cs="Times New Roman"/>
        </w:rPr>
        <w:t>6m</w:t>
      </w:r>
      <w:r>
        <w:rPr>
          <w:rFonts w:hint="eastAsia" w:cs="Times New Roman"/>
        </w:rPr>
        <w:t>。汛期河道水位较高，地下水位相应也较高，旱季地下水位埋藏则较深。中深层孔隙型地下水主要分布于萧濉新河西南广大平原地区，沿河道两岸展布。淮北市岩溶水主要分布于淮北市北部地区。</w:t>
      </w:r>
    </w:p>
    <w:p>
      <w:pPr>
        <w:pStyle w:val="16"/>
        <w:spacing w:line="360" w:lineRule="auto"/>
        <w:ind w:firstLine="560"/>
        <w:rPr>
          <w:rFonts w:cs="Times New Roman"/>
        </w:rPr>
      </w:pPr>
      <w:r>
        <w:rPr>
          <w:rFonts w:hint="eastAsia" w:cs="Times New Roman"/>
        </w:rPr>
        <w:t>该区水文基本特征为：汛期洪水呈量大、峰缓、历时长的特点；枯水期河道无水源，稍干旱年份，不少河流干枯断流。</w:t>
      </w:r>
    </w:p>
    <w:p>
      <w:pPr>
        <w:pStyle w:val="16"/>
        <w:spacing w:line="360" w:lineRule="auto"/>
        <w:ind w:firstLine="560"/>
        <w:rPr>
          <w:rFonts w:cs="Times New Roman"/>
        </w:rPr>
      </w:pPr>
      <w:r>
        <w:rPr>
          <w:rFonts w:cs="Times New Roman"/>
        </w:rPr>
        <w:t>1、水文测站</w:t>
      </w:r>
    </w:p>
    <w:p>
      <w:pPr>
        <w:pStyle w:val="16"/>
        <w:spacing w:line="360" w:lineRule="auto"/>
        <w:ind w:firstLine="560"/>
        <w:rPr>
          <w:rFonts w:cs="Times New Roman"/>
        </w:rPr>
      </w:pPr>
      <w:r>
        <w:rPr>
          <w:rFonts w:cs="Times New Roman"/>
        </w:rPr>
        <w:t>濉溪雨量站离老濉河很近，设立于1950年，具有长期降雨观测资料，但没有24h以内短历时暴雨统计资料；相山雨量站离老濉河上游不远，前几年刚拆除，具有较长的短历时暴雨统计资料。</w:t>
      </w:r>
    </w:p>
    <w:p>
      <w:pPr>
        <w:pStyle w:val="16"/>
        <w:spacing w:line="360" w:lineRule="auto"/>
        <w:ind w:firstLine="560"/>
        <w:rPr>
          <w:rFonts w:cs="Times New Roman"/>
        </w:rPr>
      </w:pPr>
    </w:p>
    <w:p>
      <w:pPr>
        <w:pStyle w:val="16"/>
        <w:spacing w:line="360" w:lineRule="auto"/>
        <w:ind w:firstLine="560"/>
        <w:rPr>
          <w:rFonts w:cs="Times New Roman"/>
        </w:rPr>
      </w:pPr>
    </w:p>
    <w:p>
      <w:pPr>
        <w:spacing w:line="240" w:lineRule="auto"/>
        <w:ind w:left="720" w:firstLine="719" w:firstLineChars="257"/>
        <w:jc w:val="center"/>
        <w:rPr>
          <w:szCs w:val="28"/>
        </w:rPr>
      </w:pPr>
      <w:r>
        <w:rPr>
          <w:szCs w:val="28"/>
        </w:rPr>
        <w:drawing>
          <wp:inline distT="0" distB="0" distL="0" distR="0">
            <wp:extent cx="4776470" cy="3316605"/>
            <wp:effectExtent l="19050" t="19050" r="24130" b="17145"/>
            <wp:docPr id="47" name="图片 35"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5" descr="图形1"/>
                    <pic:cNvPicPr>
                      <a:picLocks noChangeAspect="1" noChangeArrowheads="1"/>
                    </pic:cNvPicPr>
                  </pic:nvPicPr>
                  <pic:blipFill>
                    <a:blip r:embed="rId20"/>
                    <a:srcRect/>
                    <a:stretch>
                      <a:fillRect/>
                    </a:stretch>
                  </pic:blipFill>
                  <pic:spPr>
                    <a:xfrm>
                      <a:off x="0" y="0"/>
                      <a:ext cx="4776470" cy="3316605"/>
                    </a:xfrm>
                    <a:prstGeom prst="rect">
                      <a:avLst/>
                    </a:prstGeom>
                    <a:noFill/>
                    <a:ln w="6350" cmpd="sng">
                      <a:solidFill>
                        <a:srgbClr val="000000"/>
                      </a:solidFill>
                      <a:miter lim="800000"/>
                      <a:headEnd/>
                      <a:tailEnd/>
                    </a:ln>
                    <a:effectLst/>
                  </pic:spPr>
                </pic:pic>
              </a:graphicData>
            </a:graphic>
          </wp:inline>
        </w:drawing>
      </w:r>
    </w:p>
    <w:p>
      <w:pPr>
        <w:spacing w:line="360" w:lineRule="auto"/>
        <w:ind w:firstLine="482"/>
        <w:jc w:val="center"/>
        <w:rPr>
          <w:sz w:val="24"/>
        </w:rPr>
      </w:pPr>
      <w:r>
        <w:rPr>
          <w:b/>
          <w:sz w:val="24"/>
        </w:rPr>
        <w:t>淮北市雨量站分布图</w:t>
      </w:r>
    </w:p>
    <w:p>
      <w:pPr>
        <w:pStyle w:val="16"/>
        <w:spacing w:line="360" w:lineRule="auto"/>
        <w:ind w:firstLine="560"/>
        <w:rPr>
          <w:rFonts w:cs="Times New Roman"/>
        </w:rPr>
      </w:pPr>
      <w:r>
        <w:rPr>
          <w:rFonts w:cs="Times New Roman"/>
        </w:rPr>
        <w:t>2、设计暴雨</w:t>
      </w:r>
    </w:p>
    <w:p>
      <w:pPr>
        <w:pStyle w:val="16"/>
        <w:spacing w:line="360" w:lineRule="auto"/>
        <w:ind w:firstLine="560"/>
        <w:rPr>
          <w:rFonts w:cs="Times New Roman"/>
        </w:rPr>
      </w:pPr>
      <w:r>
        <w:rPr>
          <w:rFonts w:cs="Times New Roman"/>
        </w:rPr>
        <w:t>以老濉河为例，由于老濉河流域面积较小，下垫面为城市建成区，产汇流时间短，因此涝灾风险主要源于短历时暴雨，设计暴雨采用淮北市原相山雨量站的短历时实测暴雨资料，资料序列为1982～2007年，一共26年，略短于30年，由于最近几年淮北市并未发生显著的大暴雨，因此该暴雨序列能满足防洪排涝计算需要的代表性要求。计算结果见下表：</w:t>
      </w:r>
    </w:p>
    <w:p>
      <w:pPr>
        <w:widowControl/>
        <w:spacing w:line="360" w:lineRule="auto"/>
        <w:ind w:left="-147" w:firstLine="482"/>
        <w:jc w:val="center"/>
        <w:rPr>
          <w:rFonts w:ascii="宋体" w:hAnsi="宋体" w:cs="Tahoma"/>
          <w:b/>
          <w:color w:val="000000"/>
          <w:sz w:val="24"/>
          <w:szCs w:val="21"/>
        </w:rPr>
      </w:pPr>
      <w:r>
        <w:rPr>
          <w:rFonts w:ascii="宋体" w:hAnsi="宋体" w:cs="Tahoma"/>
          <w:b/>
          <w:color w:val="000000"/>
          <w:sz w:val="24"/>
          <w:szCs w:val="21"/>
        </w:rPr>
        <w:t xml:space="preserve">表 </w:t>
      </w:r>
      <w:r>
        <w:rPr>
          <w:rFonts w:hint="eastAsia" w:ascii="宋体" w:hAnsi="宋体" w:cs="Tahoma"/>
          <w:b/>
          <w:color w:val="000000"/>
          <w:sz w:val="24"/>
          <w:szCs w:val="21"/>
        </w:rPr>
        <w:t>1</w:t>
      </w:r>
      <w:r>
        <w:rPr>
          <w:rFonts w:ascii="宋体" w:hAnsi="宋体" w:cs="Tahoma"/>
          <w:b/>
          <w:color w:val="000000"/>
          <w:sz w:val="24"/>
          <w:szCs w:val="21"/>
        </w:rPr>
        <w:t>-</w:t>
      </w:r>
      <w:r>
        <w:rPr>
          <w:rFonts w:hint="eastAsia" w:ascii="宋体" w:hAnsi="宋体" w:cs="Tahoma"/>
          <w:b/>
          <w:color w:val="000000"/>
          <w:sz w:val="24"/>
          <w:szCs w:val="21"/>
        </w:rPr>
        <w:t xml:space="preserve">1    </w:t>
      </w:r>
      <w:r>
        <w:rPr>
          <w:rFonts w:ascii="宋体" w:hAnsi="宋体" w:cs="Tahoma"/>
          <w:b/>
          <w:color w:val="000000"/>
          <w:sz w:val="24"/>
          <w:szCs w:val="21"/>
        </w:rPr>
        <w:t xml:space="preserve">淮北市相山雨量站短历时暴雨统计特征表 </w:t>
      </w:r>
    </w:p>
    <w:tbl>
      <w:tblPr>
        <w:tblStyle w:val="39"/>
        <w:tblW w:w="10326"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718"/>
        <w:gridCol w:w="1177"/>
        <w:gridCol w:w="1456"/>
        <w:gridCol w:w="1177"/>
        <w:gridCol w:w="779"/>
        <w:gridCol w:w="991"/>
        <w:gridCol w:w="1022"/>
        <w:gridCol w:w="1002"/>
        <w:gridCol w:w="1002"/>
        <w:gridCol w:w="1002"/>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18" w:type="dxa"/>
            <w:vMerge w:val="restart"/>
            <w:shd w:val="clear" w:color="auto" w:fill="auto"/>
            <w:vAlign w:val="center"/>
          </w:tcPr>
          <w:p>
            <w:pPr>
              <w:pStyle w:val="72"/>
            </w:pPr>
            <w:r>
              <w:t>时段</w:t>
            </w:r>
          </w:p>
        </w:tc>
        <w:tc>
          <w:tcPr>
            <w:tcW w:w="2633" w:type="dxa"/>
            <w:gridSpan w:val="2"/>
            <w:shd w:val="clear" w:color="auto" w:fill="auto"/>
            <w:vAlign w:val="center"/>
          </w:tcPr>
          <w:p>
            <w:pPr>
              <w:pStyle w:val="72"/>
            </w:pPr>
            <w:r>
              <w:t>最大</w:t>
            </w:r>
          </w:p>
        </w:tc>
        <w:tc>
          <w:tcPr>
            <w:tcW w:w="2947" w:type="dxa"/>
            <w:gridSpan w:val="3"/>
            <w:shd w:val="clear" w:color="auto" w:fill="auto"/>
            <w:vAlign w:val="center"/>
          </w:tcPr>
          <w:p>
            <w:pPr>
              <w:pStyle w:val="72"/>
            </w:pPr>
            <w:r>
              <w:t>统计参数</w:t>
            </w:r>
          </w:p>
        </w:tc>
        <w:tc>
          <w:tcPr>
            <w:tcW w:w="4028" w:type="dxa"/>
            <w:gridSpan w:val="4"/>
            <w:shd w:val="clear" w:color="auto" w:fill="auto"/>
            <w:vAlign w:val="center"/>
          </w:tcPr>
          <w:p>
            <w:pPr>
              <w:pStyle w:val="72"/>
            </w:pPr>
            <w:r>
              <w:t>不同频率降雨量</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18" w:type="dxa"/>
            <w:vMerge w:val="continue"/>
            <w:vAlign w:val="center"/>
          </w:tcPr>
          <w:p>
            <w:pPr>
              <w:pStyle w:val="72"/>
            </w:pPr>
          </w:p>
        </w:tc>
        <w:tc>
          <w:tcPr>
            <w:tcW w:w="1177" w:type="dxa"/>
            <w:shd w:val="clear" w:color="auto" w:fill="auto"/>
            <w:vAlign w:val="center"/>
          </w:tcPr>
          <w:p>
            <w:pPr>
              <w:pStyle w:val="72"/>
            </w:pPr>
            <w:r>
              <w:t>雨量（mm)</w:t>
            </w:r>
          </w:p>
        </w:tc>
        <w:tc>
          <w:tcPr>
            <w:tcW w:w="1456" w:type="dxa"/>
            <w:shd w:val="clear" w:color="auto" w:fill="auto"/>
            <w:vAlign w:val="center"/>
          </w:tcPr>
          <w:p>
            <w:pPr>
              <w:pStyle w:val="72"/>
            </w:pPr>
            <w:r>
              <w:t>出现时间</w:t>
            </w:r>
          </w:p>
        </w:tc>
        <w:tc>
          <w:tcPr>
            <w:tcW w:w="1177" w:type="dxa"/>
            <w:shd w:val="clear" w:color="auto" w:fill="auto"/>
            <w:vAlign w:val="center"/>
          </w:tcPr>
          <w:p>
            <w:pPr>
              <w:pStyle w:val="72"/>
            </w:pPr>
            <w:r>
              <w:t>均值（mm)</w:t>
            </w:r>
          </w:p>
        </w:tc>
        <w:tc>
          <w:tcPr>
            <w:tcW w:w="779" w:type="dxa"/>
            <w:shd w:val="clear" w:color="auto" w:fill="auto"/>
            <w:vAlign w:val="center"/>
          </w:tcPr>
          <w:p>
            <w:pPr>
              <w:pStyle w:val="72"/>
            </w:pPr>
            <w:r>
              <w:t>Cv</w:t>
            </w:r>
          </w:p>
        </w:tc>
        <w:tc>
          <w:tcPr>
            <w:tcW w:w="991" w:type="dxa"/>
            <w:shd w:val="clear" w:color="auto" w:fill="auto"/>
            <w:vAlign w:val="center"/>
          </w:tcPr>
          <w:p>
            <w:pPr>
              <w:pStyle w:val="72"/>
            </w:pPr>
            <w:r>
              <w:t>Cs/Cv</w:t>
            </w:r>
          </w:p>
        </w:tc>
        <w:tc>
          <w:tcPr>
            <w:tcW w:w="1022" w:type="dxa"/>
            <w:shd w:val="clear" w:color="auto" w:fill="auto"/>
            <w:vAlign w:val="center"/>
          </w:tcPr>
          <w:p>
            <w:pPr>
              <w:pStyle w:val="72"/>
            </w:pPr>
            <w:r>
              <w:t>1%</w:t>
            </w:r>
          </w:p>
        </w:tc>
        <w:tc>
          <w:tcPr>
            <w:tcW w:w="1002" w:type="dxa"/>
            <w:shd w:val="clear" w:color="auto" w:fill="auto"/>
            <w:vAlign w:val="center"/>
          </w:tcPr>
          <w:p>
            <w:pPr>
              <w:pStyle w:val="72"/>
            </w:pPr>
            <w:r>
              <w:t>2%</w:t>
            </w:r>
          </w:p>
        </w:tc>
        <w:tc>
          <w:tcPr>
            <w:tcW w:w="1002" w:type="dxa"/>
            <w:shd w:val="clear" w:color="auto" w:fill="auto"/>
            <w:vAlign w:val="center"/>
          </w:tcPr>
          <w:p>
            <w:pPr>
              <w:pStyle w:val="72"/>
            </w:pPr>
            <w:r>
              <w:t>5%</w:t>
            </w:r>
          </w:p>
        </w:tc>
        <w:tc>
          <w:tcPr>
            <w:tcW w:w="1002" w:type="dxa"/>
            <w:shd w:val="clear" w:color="auto" w:fill="auto"/>
            <w:vAlign w:val="center"/>
          </w:tcPr>
          <w:p>
            <w:pPr>
              <w:pStyle w:val="72"/>
            </w:pPr>
            <w:r>
              <w:t>10%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18" w:type="dxa"/>
            <w:shd w:val="clear" w:color="auto" w:fill="auto"/>
            <w:vAlign w:val="center"/>
          </w:tcPr>
          <w:p>
            <w:pPr>
              <w:pStyle w:val="72"/>
            </w:pPr>
            <w:r>
              <w:t>1h</w:t>
            </w:r>
          </w:p>
        </w:tc>
        <w:tc>
          <w:tcPr>
            <w:tcW w:w="1177" w:type="dxa"/>
            <w:shd w:val="clear" w:color="auto" w:fill="auto"/>
            <w:vAlign w:val="center"/>
          </w:tcPr>
          <w:p>
            <w:pPr>
              <w:pStyle w:val="72"/>
            </w:pPr>
            <w:r>
              <w:t>95.1</w:t>
            </w:r>
          </w:p>
        </w:tc>
        <w:tc>
          <w:tcPr>
            <w:tcW w:w="1456" w:type="dxa"/>
            <w:shd w:val="clear" w:color="auto" w:fill="auto"/>
            <w:vAlign w:val="center"/>
          </w:tcPr>
          <w:p>
            <w:pPr>
              <w:pStyle w:val="72"/>
            </w:pPr>
            <w:r>
              <w:t>1992-8-11</w:t>
            </w:r>
          </w:p>
        </w:tc>
        <w:tc>
          <w:tcPr>
            <w:tcW w:w="1177" w:type="dxa"/>
            <w:shd w:val="clear" w:color="auto" w:fill="auto"/>
            <w:vAlign w:val="center"/>
          </w:tcPr>
          <w:p>
            <w:pPr>
              <w:pStyle w:val="72"/>
            </w:pPr>
            <w:r>
              <w:t>48.8</w:t>
            </w:r>
          </w:p>
        </w:tc>
        <w:tc>
          <w:tcPr>
            <w:tcW w:w="779" w:type="dxa"/>
            <w:shd w:val="clear" w:color="auto" w:fill="auto"/>
            <w:vAlign w:val="center"/>
          </w:tcPr>
          <w:p>
            <w:pPr>
              <w:pStyle w:val="72"/>
            </w:pPr>
            <w:r>
              <w:t>0.44</w:t>
            </w:r>
          </w:p>
        </w:tc>
        <w:tc>
          <w:tcPr>
            <w:tcW w:w="991" w:type="dxa"/>
            <w:shd w:val="clear" w:color="auto" w:fill="auto"/>
            <w:vAlign w:val="center"/>
          </w:tcPr>
          <w:p>
            <w:pPr>
              <w:pStyle w:val="72"/>
            </w:pPr>
            <w:r>
              <w:t>4</w:t>
            </w:r>
          </w:p>
        </w:tc>
        <w:tc>
          <w:tcPr>
            <w:tcW w:w="1022" w:type="dxa"/>
            <w:shd w:val="clear" w:color="auto" w:fill="auto"/>
            <w:vAlign w:val="center"/>
          </w:tcPr>
          <w:p>
            <w:pPr>
              <w:pStyle w:val="72"/>
            </w:pPr>
            <w:r>
              <w:t>123.5</w:t>
            </w:r>
          </w:p>
        </w:tc>
        <w:tc>
          <w:tcPr>
            <w:tcW w:w="1002" w:type="dxa"/>
            <w:shd w:val="clear" w:color="auto" w:fill="auto"/>
            <w:vAlign w:val="center"/>
          </w:tcPr>
          <w:p>
            <w:pPr>
              <w:pStyle w:val="72"/>
            </w:pPr>
            <w:r>
              <w:t>109.7</w:t>
            </w:r>
          </w:p>
        </w:tc>
        <w:tc>
          <w:tcPr>
            <w:tcW w:w="1002" w:type="dxa"/>
            <w:shd w:val="clear" w:color="auto" w:fill="auto"/>
            <w:vAlign w:val="center"/>
          </w:tcPr>
          <w:p>
            <w:pPr>
              <w:pStyle w:val="72"/>
            </w:pPr>
            <w:r>
              <w:t>91.3</w:t>
            </w:r>
          </w:p>
        </w:tc>
        <w:tc>
          <w:tcPr>
            <w:tcW w:w="1002" w:type="dxa"/>
            <w:shd w:val="clear" w:color="auto" w:fill="auto"/>
            <w:vAlign w:val="center"/>
          </w:tcPr>
          <w:p>
            <w:pPr>
              <w:pStyle w:val="72"/>
            </w:pPr>
            <w:r>
              <w:t>77.1</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18" w:type="dxa"/>
            <w:shd w:val="clear" w:color="auto" w:fill="auto"/>
            <w:vAlign w:val="center"/>
          </w:tcPr>
          <w:p>
            <w:pPr>
              <w:pStyle w:val="72"/>
            </w:pPr>
            <w:r>
              <w:t>3h</w:t>
            </w:r>
          </w:p>
        </w:tc>
        <w:tc>
          <w:tcPr>
            <w:tcW w:w="1177" w:type="dxa"/>
            <w:shd w:val="clear" w:color="auto" w:fill="auto"/>
            <w:vAlign w:val="center"/>
          </w:tcPr>
          <w:p>
            <w:pPr>
              <w:pStyle w:val="72"/>
            </w:pPr>
            <w:r>
              <w:t>117</w:t>
            </w:r>
          </w:p>
        </w:tc>
        <w:tc>
          <w:tcPr>
            <w:tcW w:w="1456" w:type="dxa"/>
            <w:shd w:val="clear" w:color="auto" w:fill="auto"/>
            <w:vAlign w:val="center"/>
          </w:tcPr>
          <w:p>
            <w:pPr>
              <w:pStyle w:val="72"/>
            </w:pPr>
            <w:r>
              <w:t>1997-7-17</w:t>
            </w:r>
          </w:p>
        </w:tc>
        <w:tc>
          <w:tcPr>
            <w:tcW w:w="1177" w:type="dxa"/>
            <w:shd w:val="clear" w:color="auto" w:fill="auto"/>
            <w:vAlign w:val="center"/>
          </w:tcPr>
          <w:p>
            <w:pPr>
              <w:pStyle w:val="72"/>
            </w:pPr>
            <w:r>
              <w:t>69.1</w:t>
            </w:r>
          </w:p>
        </w:tc>
        <w:tc>
          <w:tcPr>
            <w:tcW w:w="779" w:type="dxa"/>
            <w:shd w:val="clear" w:color="auto" w:fill="auto"/>
            <w:vAlign w:val="center"/>
          </w:tcPr>
          <w:p>
            <w:pPr>
              <w:pStyle w:val="72"/>
            </w:pPr>
            <w:r>
              <w:t>0.44</w:t>
            </w:r>
          </w:p>
        </w:tc>
        <w:tc>
          <w:tcPr>
            <w:tcW w:w="991" w:type="dxa"/>
            <w:shd w:val="clear" w:color="auto" w:fill="auto"/>
            <w:vAlign w:val="center"/>
          </w:tcPr>
          <w:p>
            <w:pPr>
              <w:pStyle w:val="72"/>
            </w:pPr>
            <w:r>
              <w:t>4</w:t>
            </w:r>
          </w:p>
        </w:tc>
        <w:tc>
          <w:tcPr>
            <w:tcW w:w="1022" w:type="dxa"/>
            <w:shd w:val="clear" w:color="auto" w:fill="auto"/>
            <w:vAlign w:val="center"/>
          </w:tcPr>
          <w:p>
            <w:pPr>
              <w:pStyle w:val="72"/>
            </w:pPr>
            <w:r>
              <w:t>174.8</w:t>
            </w:r>
          </w:p>
        </w:tc>
        <w:tc>
          <w:tcPr>
            <w:tcW w:w="1002" w:type="dxa"/>
            <w:shd w:val="clear" w:color="auto" w:fill="auto"/>
            <w:vAlign w:val="center"/>
          </w:tcPr>
          <w:p>
            <w:pPr>
              <w:pStyle w:val="72"/>
            </w:pPr>
            <w:r>
              <w:t>155.3</w:t>
            </w:r>
          </w:p>
        </w:tc>
        <w:tc>
          <w:tcPr>
            <w:tcW w:w="1002" w:type="dxa"/>
            <w:shd w:val="clear" w:color="auto" w:fill="auto"/>
            <w:vAlign w:val="center"/>
          </w:tcPr>
          <w:p>
            <w:pPr>
              <w:pStyle w:val="72"/>
            </w:pPr>
            <w:r>
              <w:t>129.2</w:t>
            </w:r>
          </w:p>
        </w:tc>
        <w:tc>
          <w:tcPr>
            <w:tcW w:w="1002" w:type="dxa"/>
            <w:shd w:val="clear" w:color="auto" w:fill="auto"/>
            <w:vAlign w:val="center"/>
          </w:tcPr>
          <w:p>
            <w:pPr>
              <w:pStyle w:val="72"/>
            </w:pPr>
            <w:r>
              <w:t>109.2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18" w:type="dxa"/>
            <w:shd w:val="clear" w:color="auto" w:fill="auto"/>
            <w:vAlign w:val="center"/>
          </w:tcPr>
          <w:p>
            <w:pPr>
              <w:pStyle w:val="72"/>
            </w:pPr>
            <w:r>
              <w:t>6h</w:t>
            </w:r>
          </w:p>
        </w:tc>
        <w:tc>
          <w:tcPr>
            <w:tcW w:w="1177" w:type="dxa"/>
            <w:shd w:val="clear" w:color="auto" w:fill="auto"/>
            <w:vAlign w:val="center"/>
          </w:tcPr>
          <w:p>
            <w:pPr>
              <w:pStyle w:val="72"/>
            </w:pPr>
            <w:r>
              <w:t>151.6</w:t>
            </w:r>
          </w:p>
        </w:tc>
        <w:tc>
          <w:tcPr>
            <w:tcW w:w="1456" w:type="dxa"/>
            <w:shd w:val="clear" w:color="auto" w:fill="auto"/>
            <w:vAlign w:val="center"/>
          </w:tcPr>
          <w:p>
            <w:pPr>
              <w:pStyle w:val="72"/>
            </w:pPr>
            <w:r>
              <w:t>1997-7-17</w:t>
            </w:r>
          </w:p>
        </w:tc>
        <w:tc>
          <w:tcPr>
            <w:tcW w:w="1177" w:type="dxa"/>
            <w:shd w:val="clear" w:color="auto" w:fill="auto"/>
            <w:vAlign w:val="center"/>
          </w:tcPr>
          <w:p>
            <w:pPr>
              <w:pStyle w:val="72"/>
            </w:pPr>
            <w:r>
              <w:t>81.8</w:t>
            </w:r>
          </w:p>
        </w:tc>
        <w:tc>
          <w:tcPr>
            <w:tcW w:w="779" w:type="dxa"/>
            <w:shd w:val="clear" w:color="auto" w:fill="auto"/>
            <w:vAlign w:val="center"/>
          </w:tcPr>
          <w:p>
            <w:pPr>
              <w:pStyle w:val="72"/>
            </w:pPr>
            <w:r>
              <w:t>0.45</w:t>
            </w:r>
          </w:p>
        </w:tc>
        <w:tc>
          <w:tcPr>
            <w:tcW w:w="991" w:type="dxa"/>
            <w:shd w:val="clear" w:color="auto" w:fill="auto"/>
            <w:vAlign w:val="center"/>
          </w:tcPr>
          <w:p>
            <w:pPr>
              <w:pStyle w:val="72"/>
            </w:pPr>
            <w:r>
              <w:t>4</w:t>
            </w:r>
          </w:p>
        </w:tc>
        <w:tc>
          <w:tcPr>
            <w:tcW w:w="1022" w:type="dxa"/>
            <w:shd w:val="clear" w:color="auto" w:fill="auto"/>
            <w:vAlign w:val="center"/>
          </w:tcPr>
          <w:p>
            <w:pPr>
              <w:pStyle w:val="72"/>
            </w:pPr>
            <w:r>
              <w:t>210.6</w:t>
            </w:r>
          </w:p>
        </w:tc>
        <w:tc>
          <w:tcPr>
            <w:tcW w:w="1002" w:type="dxa"/>
            <w:shd w:val="clear" w:color="auto" w:fill="auto"/>
            <w:vAlign w:val="center"/>
          </w:tcPr>
          <w:p>
            <w:pPr>
              <w:pStyle w:val="72"/>
            </w:pPr>
            <w:r>
              <w:t>186.7</w:t>
            </w:r>
          </w:p>
        </w:tc>
        <w:tc>
          <w:tcPr>
            <w:tcW w:w="1002" w:type="dxa"/>
            <w:shd w:val="clear" w:color="auto" w:fill="auto"/>
            <w:vAlign w:val="center"/>
          </w:tcPr>
          <w:p>
            <w:pPr>
              <w:pStyle w:val="72"/>
            </w:pPr>
            <w:r>
              <w:t>154.7</w:t>
            </w:r>
          </w:p>
        </w:tc>
        <w:tc>
          <w:tcPr>
            <w:tcW w:w="1002" w:type="dxa"/>
            <w:shd w:val="clear" w:color="auto" w:fill="auto"/>
            <w:vAlign w:val="center"/>
          </w:tcPr>
          <w:p>
            <w:pPr>
              <w:pStyle w:val="72"/>
            </w:pPr>
            <w:r>
              <w:t>130.3</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18" w:type="dxa"/>
            <w:shd w:val="clear" w:color="auto" w:fill="auto"/>
            <w:vAlign w:val="center"/>
          </w:tcPr>
          <w:p>
            <w:pPr>
              <w:pStyle w:val="72"/>
            </w:pPr>
            <w:r>
              <w:t>12h</w:t>
            </w:r>
          </w:p>
        </w:tc>
        <w:tc>
          <w:tcPr>
            <w:tcW w:w="1177" w:type="dxa"/>
            <w:shd w:val="clear" w:color="auto" w:fill="auto"/>
            <w:vAlign w:val="center"/>
          </w:tcPr>
          <w:p>
            <w:pPr>
              <w:pStyle w:val="72"/>
            </w:pPr>
            <w:r>
              <w:t>179.5</w:t>
            </w:r>
          </w:p>
        </w:tc>
        <w:tc>
          <w:tcPr>
            <w:tcW w:w="1456" w:type="dxa"/>
            <w:shd w:val="clear" w:color="auto" w:fill="auto"/>
            <w:vAlign w:val="center"/>
          </w:tcPr>
          <w:p>
            <w:pPr>
              <w:pStyle w:val="72"/>
            </w:pPr>
            <w:r>
              <w:t>1997-7-17</w:t>
            </w:r>
          </w:p>
        </w:tc>
        <w:tc>
          <w:tcPr>
            <w:tcW w:w="1177" w:type="dxa"/>
            <w:shd w:val="clear" w:color="auto" w:fill="auto"/>
            <w:vAlign w:val="center"/>
          </w:tcPr>
          <w:p>
            <w:pPr>
              <w:pStyle w:val="72"/>
            </w:pPr>
            <w:r>
              <w:t>96.2</w:t>
            </w:r>
          </w:p>
        </w:tc>
        <w:tc>
          <w:tcPr>
            <w:tcW w:w="779" w:type="dxa"/>
            <w:shd w:val="clear" w:color="auto" w:fill="auto"/>
            <w:vAlign w:val="center"/>
          </w:tcPr>
          <w:p>
            <w:pPr>
              <w:pStyle w:val="72"/>
            </w:pPr>
            <w:r>
              <w:t>0.45</w:t>
            </w:r>
          </w:p>
        </w:tc>
        <w:tc>
          <w:tcPr>
            <w:tcW w:w="991" w:type="dxa"/>
            <w:shd w:val="clear" w:color="auto" w:fill="auto"/>
            <w:vAlign w:val="center"/>
          </w:tcPr>
          <w:p>
            <w:pPr>
              <w:pStyle w:val="72"/>
            </w:pPr>
            <w:r>
              <w:t>4</w:t>
            </w:r>
          </w:p>
        </w:tc>
        <w:tc>
          <w:tcPr>
            <w:tcW w:w="1022" w:type="dxa"/>
            <w:shd w:val="clear" w:color="auto" w:fill="auto"/>
            <w:vAlign w:val="center"/>
          </w:tcPr>
          <w:p>
            <w:pPr>
              <w:pStyle w:val="72"/>
            </w:pPr>
            <w:r>
              <w:t>247.7</w:t>
            </w:r>
          </w:p>
        </w:tc>
        <w:tc>
          <w:tcPr>
            <w:tcW w:w="1002" w:type="dxa"/>
            <w:shd w:val="clear" w:color="auto" w:fill="auto"/>
            <w:vAlign w:val="center"/>
          </w:tcPr>
          <w:p>
            <w:pPr>
              <w:pStyle w:val="72"/>
            </w:pPr>
            <w:r>
              <w:t>219.5</w:t>
            </w:r>
          </w:p>
        </w:tc>
        <w:tc>
          <w:tcPr>
            <w:tcW w:w="1002" w:type="dxa"/>
            <w:shd w:val="clear" w:color="auto" w:fill="auto"/>
            <w:vAlign w:val="center"/>
          </w:tcPr>
          <w:p>
            <w:pPr>
              <w:pStyle w:val="72"/>
            </w:pPr>
            <w:r>
              <w:t>182</w:t>
            </w:r>
          </w:p>
        </w:tc>
        <w:tc>
          <w:tcPr>
            <w:tcW w:w="1002" w:type="dxa"/>
            <w:shd w:val="clear" w:color="auto" w:fill="auto"/>
            <w:vAlign w:val="center"/>
          </w:tcPr>
          <w:p>
            <w:pPr>
              <w:pStyle w:val="72"/>
            </w:pPr>
            <w:r>
              <w:t>153.2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18" w:type="dxa"/>
            <w:shd w:val="clear" w:color="auto" w:fill="auto"/>
            <w:vAlign w:val="center"/>
          </w:tcPr>
          <w:p>
            <w:pPr>
              <w:pStyle w:val="72"/>
            </w:pPr>
            <w:r>
              <w:t>24h</w:t>
            </w:r>
          </w:p>
        </w:tc>
        <w:tc>
          <w:tcPr>
            <w:tcW w:w="1177" w:type="dxa"/>
            <w:shd w:val="clear" w:color="auto" w:fill="auto"/>
            <w:vAlign w:val="center"/>
          </w:tcPr>
          <w:p>
            <w:pPr>
              <w:pStyle w:val="72"/>
            </w:pPr>
            <w:r>
              <w:t>224.3</w:t>
            </w:r>
          </w:p>
        </w:tc>
        <w:tc>
          <w:tcPr>
            <w:tcW w:w="1456" w:type="dxa"/>
            <w:shd w:val="clear" w:color="auto" w:fill="auto"/>
            <w:vAlign w:val="center"/>
          </w:tcPr>
          <w:p>
            <w:pPr>
              <w:pStyle w:val="72"/>
            </w:pPr>
            <w:r>
              <w:t>1982-7-21</w:t>
            </w:r>
          </w:p>
        </w:tc>
        <w:tc>
          <w:tcPr>
            <w:tcW w:w="1177" w:type="dxa"/>
            <w:shd w:val="clear" w:color="auto" w:fill="auto"/>
            <w:vAlign w:val="center"/>
          </w:tcPr>
          <w:p>
            <w:pPr>
              <w:pStyle w:val="72"/>
            </w:pPr>
            <w:r>
              <w:t>113.1</w:t>
            </w:r>
          </w:p>
        </w:tc>
        <w:tc>
          <w:tcPr>
            <w:tcW w:w="779" w:type="dxa"/>
            <w:shd w:val="clear" w:color="auto" w:fill="auto"/>
            <w:vAlign w:val="center"/>
          </w:tcPr>
          <w:p>
            <w:pPr>
              <w:pStyle w:val="72"/>
            </w:pPr>
            <w:r>
              <w:t>0.45</w:t>
            </w:r>
          </w:p>
        </w:tc>
        <w:tc>
          <w:tcPr>
            <w:tcW w:w="991" w:type="dxa"/>
            <w:shd w:val="clear" w:color="auto" w:fill="auto"/>
            <w:vAlign w:val="center"/>
          </w:tcPr>
          <w:p>
            <w:pPr>
              <w:pStyle w:val="72"/>
            </w:pPr>
            <w:r>
              <w:t>4</w:t>
            </w:r>
          </w:p>
        </w:tc>
        <w:tc>
          <w:tcPr>
            <w:tcW w:w="1022" w:type="dxa"/>
            <w:shd w:val="clear" w:color="auto" w:fill="auto"/>
            <w:vAlign w:val="center"/>
          </w:tcPr>
          <w:p>
            <w:pPr>
              <w:pStyle w:val="72"/>
            </w:pPr>
            <w:r>
              <w:t>291.2</w:t>
            </w:r>
          </w:p>
        </w:tc>
        <w:tc>
          <w:tcPr>
            <w:tcW w:w="1002" w:type="dxa"/>
            <w:shd w:val="clear" w:color="auto" w:fill="auto"/>
            <w:vAlign w:val="center"/>
          </w:tcPr>
          <w:p>
            <w:pPr>
              <w:pStyle w:val="72"/>
            </w:pPr>
            <w:r>
              <w:t>258.1</w:t>
            </w:r>
          </w:p>
        </w:tc>
        <w:tc>
          <w:tcPr>
            <w:tcW w:w="1002" w:type="dxa"/>
            <w:shd w:val="clear" w:color="auto" w:fill="auto"/>
            <w:vAlign w:val="center"/>
          </w:tcPr>
          <w:p>
            <w:pPr>
              <w:pStyle w:val="72"/>
            </w:pPr>
            <w:r>
              <w:t>213.9</w:t>
            </w:r>
          </w:p>
        </w:tc>
        <w:tc>
          <w:tcPr>
            <w:tcW w:w="1002" w:type="dxa"/>
            <w:shd w:val="clear" w:color="auto" w:fill="auto"/>
            <w:vAlign w:val="center"/>
          </w:tcPr>
          <w:p>
            <w:pPr>
              <w:pStyle w:val="72"/>
            </w:pPr>
            <w:r>
              <w:t>180.2</w:t>
            </w:r>
          </w:p>
        </w:tc>
      </w:tr>
    </w:tbl>
    <w:p>
      <w:pPr>
        <w:spacing w:line="360" w:lineRule="auto"/>
        <w:ind w:firstLine="480"/>
        <w:rPr>
          <w:sz w:val="24"/>
        </w:rPr>
      </w:pPr>
      <w:r>
        <w:rPr>
          <w:sz w:val="24"/>
        </w:rPr>
        <w:t>根据淮北地区水文计算方法，本地区流域面积小于100km</w:t>
      </w:r>
      <w:r>
        <w:rPr>
          <w:sz w:val="24"/>
          <w:vertAlign w:val="superscript"/>
        </w:rPr>
        <w:t>2</w:t>
      </w:r>
      <w:r>
        <w:rPr>
          <w:sz w:val="24"/>
        </w:rPr>
        <w:t>时，设计暴雨点面折算系数为1。</w:t>
      </w:r>
    </w:p>
    <w:p>
      <w:pPr>
        <w:pStyle w:val="16"/>
        <w:spacing w:line="360" w:lineRule="auto"/>
        <w:ind w:firstLine="560"/>
        <w:rPr>
          <w:rFonts w:cs="Times New Roman"/>
        </w:rPr>
      </w:pPr>
      <w:r>
        <w:rPr>
          <w:rFonts w:hint="eastAsia" w:cs="Times New Roman"/>
        </w:rPr>
        <w:t>（</w:t>
      </w:r>
      <w:r>
        <w:rPr>
          <w:rFonts w:cs="Times New Roman"/>
        </w:rPr>
        <w:t>3</w:t>
      </w:r>
      <w:r>
        <w:rPr>
          <w:rFonts w:hint="eastAsia" w:cs="Times New Roman"/>
        </w:rPr>
        <w:t>）土壤地质</w:t>
      </w:r>
    </w:p>
    <w:p>
      <w:pPr>
        <w:pStyle w:val="16"/>
        <w:spacing w:line="360" w:lineRule="auto"/>
        <w:ind w:firstLine="560"/>
        <w:rPr>
          <w:rFonts w:cs="Times New Roman"/>
        </w:rPr>
      </w:pPr>
      <w:r>
        <w:rPr>
          <w:rFonts w:hint="eastAsia" w:cs="Times New Roman"/>
        </w:rPr>
        <w:t>淮北区区域大地构造位置属于中朝准地台东南之淮河台坳淮北陷褶断带，基底为一巨型的东西坳陷带。市区东南约</w:t>
      </w:r>
      <w:r>
        <w:rPr>
          <w:rFonts w:cs="Times New Roman"/>
        </w:rPr>
        <w:t xml:space="preserve">30km </w:t>
      </w:r>
      <w:r>
        <w:rPr>
          <w:rFonts w:hint="eastAsia" w:cs="Times New Roman"/>
        </w:rPr>
        <w:t>的符离集断层带是安徽省淮北北部地区最大的东西向构造，具有长期继承性活动特点，控制淮北北部地区断裂构造、岩浆岩分布及新生代坳陷的形成与发展。符离集断层北侧构造变形强烈，形成紧闭、倒转褶曲和叠瓦状断层。符离集断层南侧构造变形相对较弱，为宽缓的向、背斜构造。淮阴山脉位于符离集断层北侧，自西向东发育有北北西向萧县复式背斜、闸河复式向斜和蛮顶山复式背斜等，以及同向压性或压扭性断层和北西向张扭性断层。除蛮顶山背斜核部出露震旦系地层外，其余背斜核部为寒武系地层；向斜核部则多由石炭～二叠系地层组成。淮北平原及山间盆地地表则全为第四系地层覆盖。淮北市域大地构造属中淮地台鲁西隆起区南极，区境范围内除寒武系、奥陶系有部分裸露外，其余均为第四系掩盖，低山残丘占全市总面积的</w:t>
      </w:r>
      <w:r>
        <w:rPr>
          <w:rFonts w:cs="Times New Roman"/>
        </w:rPr>
        <w:t>4.7</w:t>
      </w:r>
      <w:r>
        <w:rPr>
          <w:rFonts w:hint="eastAsia" w:cs="Times New Roman"/>
        </w:rPr>
        <w:t>％。淮北市地下水位较高，土壤入渗条件好。</w:t>
      </w:r>
    </w:p>
    <w:p>
      <w:pPr>
        <w:pStyle w:val="16"/>
        <w:spacing w:line="360" w:lineRule="auto"/>
        <w:ind w:firstLine="560"/>
        <w:rPr>
          <w:rFonts w:cs="Times New Roman"/>
        </w:rPr>
      </w:pPr>
      <w:r>
        <w:rPr>
          <w:rFonts w:hint="eastAsia" w:cs="Times New Roman"/>
        </w:rPr>
        <w:t>淮北城区第四系地层分布广泛，厚度不均，山前、山间平原区一般厚</w:t>
      </w:r>
      <w:r>
        <w:rPr>
          <w:rFonts w:cs="Times New Roman"/>
        </w:rPr>
        <w:t>0</w:t>
      </w:r>
      <w:r>
        <w:rPr>
          <w:rFonts w:hint="eastAsia" w:cs="Times New Roman"/>
        </w:rPr>
        <w:t>～</w:t>
      </w:r>
      <w:r>
        <w:rPr>
          <w:rFonts w:cs="Times New Roman"/>
        </w:rPr>
        <w:t>70</w:t>
      </w:r>
      <w:r>
        <w:rPr>
          <w:rFonts w:hint="eastAsia" w:cs="Times New Roman"/>
        </w:rPr>
        <w:t>米，西部和南部一般厚</w:t>
      </w:r>
      <w:r>
        <w:rPr>
          <w:rFonts w:cs="Times New Roman"/>
        </w:rPr>
        <w:t>100</w:t>
      </w:r>
      <w:r>
        <w:rPr>
          <w:rFonts w:hint="eastAsia" w:cs="Times New Roman"/>
        </w:rPr>
        <w:t>～</w:t>
      </w:r>
      <w:r>
        <w:rPr>
          <w:rFonts w:cs="Times New Roman"/>
        </w:rPr>
        <w:t xml:space="preserve">200 </w:t>
      </w:r>
      <w:r>
        <w:rPr>
          <w:rFonts w:hint="eastAsia" w:cs="Times New Roman"/>
        </w:rPr>
        <w:t>米，部分地区可逾</w:t>
      </w:r>
      <w:r>
        <w:rPr>
          <w:rFonts w:cs="Times New Roman"/>
        </w:rPr>
        <w:t xml:space="preserve">300 </w:t>
      </w:r>
      <w:r>
        <w:rPr>
          <w:rFonts w:hint="eastAsia" w:cs="Times New Roman"/>
        </w:rPr>
        <w:t>米，地基承载力山前地带可达</w:t>
      </w:r>
      <w:r>
        <w:rPr>
          <w:rFonts w:cs="Times New Roman"/>
        </w:rPr>
        <w:t>18T/m</w:t>
      </w:r>
      <w:r>
        <w:rPr>
          <w:rFonts w:cs="Times New Roman"/>
          <w:vertAlign w:val="superscript"/>
        </w:rPr>
        <w:t>2</w:t>
      </w:r>
      <w:r>
        <w:rPr>
          <w:rFonts w:hint="eastAsia" w:cs="Times New Roman"/>
        </w:rPr>
        <w:t>，平原地区大多在</w:t>
      </w:r>
      <w:r>
        <w:rPr>
          <w:rFonts w:cs="Times New Roman"/>
        </w:rPr>
        <w:t>8T/m</w:t>
      </w:r>
      <w:r>
        <w:rPr>
          <w:rFonts w:cs="Times New Roman"/>
          <w:vertAlign w:val="superscript"/>
        </w:rPr>
        <w:t>2</w:t>
      </w:r>
      <w:r>
        <w:rPr>
          <w:rFonts w:hint="eastAsia" w:cs="Times New Roman"/>
        </w:rPr>
        <w:t>。</w:t>
      </w:r>
    </w:p>
    <w:p>
      <w:pPr>
        <w:pStyle w:val="16"/>
        <w:spacing w:line="360" w:lineRule="auto"/>
        <w:ind w:firstLine="560"/>
        <w:rPr>
          <w:rFonts w:cs="Times New Roman"/>
        </w:rPr>
      </w:pPr>
      <w:r>
        <w:rPr>
          <w:rFonts w:hint="eastAsia" w:cs="Times New Roman"/>
        </w:rPr>
        <w:t>（</w:t>
      </w:r>
      <w:r>
        <w:rPr>
          <w:rFonts w:cs="Times New Roman"/>
        </w:rPr>
        <w:t>4</w:t>
      </w:r>
      <w:r>
        <w:rPr>
          <w:rFonts w:hint="eastAsia" w:cs="Times New Roman"/>
        </w:rPr>
        <w:t>）河流水系</w:t>
      </w:r>
    </w:p>
    <w:p>
      <w:pPr>
        <w:pStyle w:val="16"/>
        <w:spacing w:line="360" w:lineRule="auto"/>
        <w:ind w:firstLine="560"/>
        <w:rPr>
          <w:rFonts w:cs="Times New Roman"/>
        </w:rPr>
      </w:pPr>
      <w:r>
        <w:rPr>
          <w:rFonts w:hint="eastAsia" w:cs="Times New Roman"/>
        </w:rPr>
        <w:t>一、河流</w:t>
      </w:r>
    </w:p>
    <w:p>
      <w:pPr>
        <w:pStyle w:val="16"/>
        <w:spacing w:line="360" w:lineRule="auto"/>
        <w:ind w:firstLine="560"/>
        <w:rPr>
          <w:rFonts w:cs="Times New Roman"/>
        </w:rPr>
      </w:pPr>
      <w:r>
        <w:rPr>
          <w:rFonts w:hint="eastAsia" w:cs="Times New Roman"/>
        </w:rPr>
        <w:t>淮北境内河流众多，自北向南依次分布有新汴河水系的萧濉新河、闸河、龙岱河、洪碱河、湘西河、南沱河、王引河，怀洪新河水系的包河、浍河、澥河、北淝河等，主干河道总长</w:t>
      </w:r>
      <w:r>
        <w:rPr>
          <w:rFonts w:cs="Times New Roman"/>
        </w:rPr>
        <w:t>327km</w:t>
      </w:r>
      <w:r>
        <w:rPr>
          <w:rFonts w:hint="eastAsia" w:cs="Times New Roman"/>
        </w:rPr>
        <w:t>，两岸配套大沟</w:t>
      </w:r>
      <w:r>
        <w:rPr>
          <w:rFonts w:cs="Times New Roman"/>
        </w:rPr>
        <w:t>140</w:t>
      </w:r>
      <w:r>
        <w:rPr>
          <w:rFonts w:hint="eastAsia" w:cs="Times New Roman"/>
        </w:rPr>
        <w:t>多条。</w:t>
      </w:r>
    </w:p>
    <w:p>
      <w:pPr>
        <w:pStyle w:val="16"/>
        <w:spacing w:line="360" w:lineRule="auto"/>
        <w:ind w:firstLine="562"/>
        <w:rPr>
          <w:rFonts w:cs="Times New Roman"/>
        </w:rPr>
      </w:pPr>
      <w:r>
        <w:rPr>
          <w:rFonts w:hint="eastAsia" w:cs="Times New Roman"/>
          <w:b/>
        </w:rPr>
        <w:t>新汴河水系</w:t>
      </w:r>
      <w:r>
        <w:rPr>
          <w:rFonts w:hint="eastAsia" w:cs="Times New Roman"/>
        </w:rPr>
        <w:t>的主要支流有闸河、萧濉新河、龙岱河、王引河、南沱河，怀洪新河水系的主要支流有浍河和澥河。</w:t>
      </w:r>
    </w:p>
    <w:p>
      <w:pPr>
        <w:pStyle w:val="16"/>
        <w:spacing w:line="360" w:lineRule="auto"/>
        <w:ind w:firstLine="562"/>
        <w:rPr>
          <w:rFonts w:cs="Times New Roman"/>
        </w:rPr>
      </w:pPr>
      <w:r>
        <w:rPr>
          <w:rFonts w:hint="eastAsia" w:cs="Times New Roman"/>
          <w:b/>
        </w:rPr>
        <w:t>闸河</w:t>
      </w:r>
      <w:r>
        <w:rPr>
          <w:rFonts w:hint="eastAsia" w:cs="Times New Roman"/>
        </w:rPr>
        <w:t>发源于江苏省徐州市十八里屯，由北向南流经江苏铜山、安徽淮北市、淮北、淮北，于符离集闸上王闸口汇入萧濉新河，全长</w:t>
      </w:r>
      <w:r>
        <w:rPr>
          <w:rFonts w:cs="Times New Roman"/>
        </w:rPr>
        <w:t>72.4km</w:t>
      </w:r>
      <w:r>
        <w:rPr>
          <w:rFonts w:hint="eastAsia" w:cs="Times New Roman"/>
        </w:rPr>
        <w:t>，流域面积</w:t>
      </w:r>
      <w:r>
        <w:rPr>
          <w:rFonts w:cs="Times New Roman"/>
        </w:rPr>
        <w:t>466km</w:t>
      </w:r>
      <w:r>
        <w:rPr>
          <w:rFonts w:cs="Times New Roman"/>
          <w:vertAlign w:val="superscript"/>
        </w:rPr>
        <w:t>2</w:t>
      </w:r>
      <w:r>
        <w:rPr>
          <w:rFonts w:hint="eastAsia" w:cs="Times New Roman"/>
        </w:rPr>
        <w:t>。闸河淮北市境内长</w:t>
      </w:r>
      <w:r>
        <w:rPr>
          <w:rFonts w:cs="Times New Roman"/>
        </w:rPr>
        <w:t>50.9km</w:t>
      </w:r>
      <w:r>
        <w:rPr>
          <w:rFonts w:hint="eastAsia" w:cs="Times New Roman"/>
        </w:rPr>
        <w:t>，河道上建有北山闸、拖山闸、丁庄闸，三座节制闸总库容</w:t>
      </w:r>
      <w:r>
        <w:rPr>
          <w:rFonts w:cs="Times New Roman"/>
        </w:rPr>
        <w:t>400.0</w:t>
      </w:r>
      <w:r>
        <w:rPr>
          <w:rFonts w:hint="eastAsia" w:cs="Times New Roman"/>
        </w:rPr>
        <w:t>万</w:t>
      </w:r>
      <w:r>
        <w:rPr>
          <w:rFonts w:cs="Times New Roman"/>
        </w:rPr>
        <w:t>m</w:t>
      </w:r>
      <w:r>
        <w:rPr>
          <w:rFonts w:cs="Times New Roman"/>
          <w:vertAlign w:val="superscript"/>
        </w:rPr>
        <w:t>3</w:t>
      </w:r>
      <w:r>
        <w:rPr>
          <w:rFonts w:hint="eastAsia" w:cs="Times New Roman"/>
        </w:rPr>
        <w:t>，兴利库容</w:t>
      </w:r>
      <w:r>
        <w:rPr>
          <w:rFonts w:cs="Times New Roman"/>
        </w:rPr>
        <w:t>300.0</w:t>
      </w:r>
      <w:r>
        <w:rPr>
          <w:rFonts w:hint="eastAsia" w:cs="Times New Roman"/>
        </w:rPr>
        <w:t>万</w:t>
      </w:r>
      <w:r>
        <w:rPr>
          <w:rFonts w:cs="Times New Roman"/>
        </w:rPr>
        <w:t>m</w:t>
      </w:r>
      <w:r>
        <w:rPr>
          <w:rFonts w:cs="Times New Roman"/>
          <w:vertAlign w:val="superscript"/>
        </w:rPr>
        <w:t>3</w:t>
      </w:r>
      <w:r>
        <w:rPr>
          <w:rFonts w:hint="eastAsia" w:cs="Times New Roman"/>
        </w:rPr>
        <w:t>。</w:t>
      </w:r>
    </w:p>
    <w:p>
      <w:pPr>
        <w:pStyle w:val="16"/>
        <w:spacing w:line="360" w:lineRule="auto"/>
        <w:ind w:firstLine="562"/>
        <w:rPr>
          <w:rFonts w:cs="Times New Roman"/>
        </w:rPr>
      </w:pPr>
      <w:r>
        <w:rPr>
          <w:rFonts w:hint="eastAsia" w:cs="Times New Roman"/>
          <w:b/>
        </w:rPr>
        <w:t>萧濉新河</w:t>
      </w:r>
      <w:r>
        <w:rPr>
          <w:rFonts w:hint="eastAsia" w:cs="Times New Roman"/>
        </w:rPr>
        <w:t>本干起源于瓦子口，经濉河引河注入新汴河，全长</w:t>
      </w:r>
      <w:r>
        <w:rPr>
          <w:rFonts w:cs="Times New Roman"/>
        </w:rPr>
        <w:t>62.1km</w:t>
      </w:r>
      <w:r>
        <w:rPr>
          <w:rFonts w:hint="eastAsia" w:cs="Times New Roman"/>
        </w:rPr>
        <w:t>，流域面积</w:t>
      </w:r>
      <w:r>
        <w:rPr>
          <w:rFonts w:cs="Times New Roman"/>
        </w:rPr>
        <w:t>2626km</w:t>
      </w:r>
      <w:r>
        <w:rPr>
          <w:rFonts w:cs="Times New Roman"/>
          <w:vertAlign w:val="superscript"/>
        </w:rPr>
        <w:t>2</w:t>
      </w:r>
      <w:r>
        <w:rPr>
          <w:rFonts w:hint="eastAsia" w:cs="Times New Roman"/>
        </w:rPr>
        <w:t>，主要支流有大沙河、洪碱河和岱河上段。萧濉新河淮北市境内长度</w:t>
      </w:r>
      <w:r>
        <w:rPr>
          <w:rFonts w:cs="Times New Roman"/>
        </w:rPr>
        <w:t>39.8km</w:t>
      </w:r>
      <w:r>
        <w:rPr>
          <w:rFonts w:hint="eastAsia" w:cs="Times New Roman"/>
        </w:rPr>
        <w:t>，上面建有黄桥、淮纺路节制闸，其中，黄桥闸正常蓄水库容</w:t>
      </w:r>
      <w:r>
        <w:rPr>
          <w:rFonts w:cs="Times New Roman"/>
        </w:rPr>
        <w:t>499</w:t>
      </w:r>
      <w:r>
        <w:rPr>
          <w:rFonts w:hint="eastAsia" w:cs="Times New Roman"/>
        </w:rPr>
        <w:t>万</w:t>
      </w:r>
      <w:r>
        <w:rPr>
          <w:rFonts w:cs="Times New Roman"/>
        </w:rPr>
        <w:t>m</w:t>
      </w:r>
      <w:r>
        <w:rPr>
          <w:rFonts w:cs="Times New Roman"/>
          <w:vertAlign w:val="superscript"/>
        </w:rPr>
        <w:t>3</w:t>
      </w:r>
      <w:r>
        <w:rPr>
          <w:rFonts w:hint="eastAsia" w:cs="Times New Roman"/>
        </w:rPr>
        <w:t>，淮纺路闸正常蓄水库容</w:t>
      </w:r>
      <w:r>
        <w:rPr>
          <w:rFonts w:cs="Times New Roman"/>
        </w:rPr>
        <w:t>537</w:t>
      </w:r>
      <w:r>
        <w:rPr>
          <w:rFonts w:hint="eastAsia" w:cs="Times New Roman"/>
        </w:rPr>
        <w:t>万</w:t>
      </w:r>
      <w:r>
        <w:rPr>
          <w:rFonts w:cs="Times New Roman"/>
        </w:rPr>
        <w:t>m</w:t>
      </w:r>
      <w:r>
        <w:rPr>
          <w:rFonts w:cs="Times New Roman"/>
          <w:vertAlign w:val="superscript"/>
        </w:rPr>
        <w:t>3</w:t>
      </w:r>
      <w:r>
        <w:rPr>
          <w:rFonts w:hint="eastAsia" w:cs="Times New Roman"/>
        </w:rPr>
        <w:t>。</w:t>
      </w:r>
    </w:p>
    <w:p>
      <w:pPr>
        <w:pStyle w:val="16"/>
        <w:spacing w:line="360" w:lineRule="auto"/>
        <w:ind w:firstLine="562"/>
        <w:rPr>
          <w:rFonts w:cs="Times New Roman"/>
        </w:rPr>
      </w:pPr>
      <w:r>
        <w:rPr>
          <w:rFonts w:hint="eastAsia" w:cs="Times New Roman"/>
          <w:b/>
        </w:rPr>
        <w:t>龙岱河</w:t>
      </w:r>
      <w:r>
        <w:rPr>
          <w:rFonts w:hint="eastAsia" w:cs="Times New Roman"/>
        </w:rPr>
        <w:t>为萧濉新河支流，来水面积为</w:t>
      </w:r>
      <w:r>
        <w:rPr>
          <w:rFonts w:cs="Times New Roman"/>
        </w:rPr>
        <w:t>415km</w:t>
      </w:r>
      <w:r>
        <w:rPr>
          <w:rFonts w:cs="Times New Roman"/>
          <w:vertAlign w:val="superscript"/>
        </w:rPr>
        <w:t>2</w:t>
      </w:r>
      <w:r>
        <w:rPr>
          <w:rFonts w:hint="eastAsia" w:cs="Times New Roman"/>
        </w:rPr>
        <w:t>。东支龙河发源于淮北市城东北龙湖，全长</w:t>
      </w:r>
      <w:r>
        <w:rPr>
          <w:rFonts w:cs="Times New Roman"/>
        </w:rPr>
        <w:t>46.2km</w:t>
      </w:r>
      <w:r>
        <w:rPr>
          <w:rFonts w:hint="eastAsia" w:cs="Times New Roman"/>
        </w:rPr>
        <w:t>，其中淮北境内长度</w:t>
      </w:r>
      <w:r>
        <w:rPr>
          <w:rFonts w:cs="Times New Roman"/>
        </w:rPr>
        <w:t>34.5km</w:t>
      </w:r>
      <w:r>
        <w:rPr>
          <w:rFonts w:hint="eastAsia" w:cs="Times New Roman"/>
        </w:rPr>
        <w:t>。西支岱河全长</w:t>
      </w:r>
      <w:r>
        <w:rPr>
          <w:rFonts w:cs="Times New Roman"/>
        </w:rPr>
        <w:t>17.9km</w:t>
      </w:r>
      <w:r>
        <w:rPr>
          <w:rFonts w:hint="eastAsia" w:cs="Times New Roman"/>
        </w:rPr>
        <w:t>，流域面积</w:t>
      </w:r>
      <w:r>
        <w:rPr>
          <w:rFonts w:cs="Times New Roman"/>
        </w:rPr>
        <w:t>105km</w:t>
      </w:r>
      <w:r>
        <w:rPr>
          <w:rFonts w:cs="Times New Roman"/>
          <w:vertAlign w:val="superscript"/>
        </w:rPr>
        <w:t>2</w:t>
      </w:r>
      <w:r>
        <w:rPr>
          <w:rFonts w:hint="eastAsia" w:cs="Times New Roman"/>
        </w:rPr>
        <w:t>。两河在相山区任圩镇双庄附近汇流后称龙岱河，在烈山区宋疃镇陈路口入萧濉新河。龙岱河陈路口闸，正常蓄水库容</w:t>
      </w:r>
      <w:r>
        <w:rPr>
          <w:rFonts w:cs="Times New Roman"/>
        </w:rPr>
        <w:t>317.0</w:t>
      </w:r>
      <w:r>
        <w:rPr>
          <w:rFonts w:hint="eastAsia" w:cs="Times New Roman"/>
        </w:rPr>
        <w:t>万</w:t>
      </w:r>
      <w:r>
        <w:rPr>
          <w:rFonts w:cs="Times New Roman"/>
        </w:rPr>
        <w:t>m</w:t>
      </w:r>
      <w:r>
        <w:rPr>
          <w:rFonts w:cs="Times New Roman"/>
          <w:vertAlign w:val="superscript"/>
        </w:rPr>
        <w:t>3</w:t>
      </w:r>
      <w:r>
        <w:rPr>
          <w:rFonts w:hint="eastAsia" w:cs="Times New Roman"/>
        </w:rPr>
        <w:t>。</w:t>
      </w:r>
    </w:p>
    <w:p>
      <w:pPr>
        <w:pStyle w:val="16"/>
        <w:spacing w:line="360" w:lineRule="auto"/>
        <w:ind w:firstLine="562"/>
        <w:rPr>
          <w:rFonts w:cs="Times New Roman"/>
        </w:rPr>
      </w:pPr>
      <w:r>
        <w:rPr>
          <w:rFonts w:hint="eastAsia" w:cs="Times New Roman"/>
          <w:b/>
        </w:rPr>
        <w:t>王引河</w:t>
      </w:r>
      <w:r>
        <w:rPr>
          <w:rFonts w:hint="eastAsia" w:cs="Times New Roman"/>
        </w:rPr>
        <w:t>原名溪河，本干起源砀山县固口闸，在四铺闸上汇入南沱河，全长</w:t>
      </w:r>
      <w:r>
        <w:rPr>
          <w:rFonts w:cs="Times New Roman"/>
        </w:rPr>
        <w:t>77.3km</w:t>
      </w:r>
      <w:r>
        <w:rPr>
          <w:rFonts w:hint="eastAsia" w:cs="Times New Roman"/>
        </w:rPr>
        <w:t>，流域面积</w:t>
      </w:r>
      <w:r>
        <w:rPr>
          <w:rFonts w:cs="Times New Roman"/>
        </w:rPr>
        <w:t>1241km</w:t>
      </w:r>
      <w:r>
        <w:rPr>
          <w:rFonts w:cs="Times New Roman"/>
          <w:vertAlign w:val="superscript"/>
        </w:rPr>
        <w:t>2</w:t>
      </w:r>
      <w:r>
        <w:rPr>
          <w:rFonts w:hint="eastAsia" w:cs="Times New Roman"/>
        </w:rPr>
        <w:t>。王引河淮北市境内长</w:t>
      </w:r>
      <w:r>
        <w:rPr>
          <w:rFonts w:cs="Times New Roman"/>
        </w:rPr>
        <w:t>43km</w:t>
      </w:r>
      <w:r>
        <w:rPr>
          <w:rFonts w:hint="eastAsia" w:cs="Times New Roman"/>
        </w:rPr>
        <w:t>，上面建有仲大庄闸和侯王闸，其中，仲大庄闸正常蓄水库容</w:t>
      </w:r>
      <w:r>
        <w:rPr>
          <w:rFonts w:cs="Times New Roman"/>
        </w:rPr>
        <w:t>331</w:t>
      </w:r>
      <w:r>
        <w:rPr>
          <w:rFonts w:hint="eastAsia" w:cs="Times New Roman"/>
        </w:rPr>
        <w:t>万</w:t>
      </w:r>
      <w:r>
        <w:rPr>
          <w:rFonts w:cs="Times New Roman"/>
        </w:rPr>
        <w:t>m</w:t>
      </w:r>
      <w:r>
        <w:rPr>
          <w:rFonts w:cs="Times New Roman"/>
          <w:vertAlign w:val="superscript"/>
        </w:rPr>
        <w:t>3</w:t>
      </w:r>
      <w:r>
        <w:rPr>
          <w:rFonts w:hint="eastAsia" w:cs="Times New Roman"/>
        </w:rPr>
        <w:t>，兴利库容</w:t>
      </w:r>
      <w:r>
        <w:rPr>
          <w:rFonts w:cs="Times New Roman"/>
        </w:rPr>
        <w:t>270</w:t>
      </w:r>
      <w:r>
        <w:rPr>
          <w:rFonts w:hint="eastAsia" w:cs="Times New Roman"/>
        </w:rPr>
        <w:t>万</w:t>
      </w:r>
      <w:r>
        <w:rPr>
          <w:rFonts w:cs="Times New Roman"/>
        </w:rPr>
        <w:t>m</w:t>
      </w:r>
      <w:r>
        <w:rPr>
          <w:rFonts w:cs="Times New Roman"/>
          <w:vertAlign w:val="superscript"/>
        </w:rPr>
        <w:t>3</w:t>
      </w:r>
      <w:r>
        <w:rPr>
          <w:rFonts w:hint="eastAsia" w:cs="Times New Roman"/>
        </w:rPr>
        <w:t>。</w:t>
      </w:r>
    </w:p>
    <w:p>
      <w:pPr>
        <w:pStyle w:val="16"/>
        <w:spacing w:line="360" w:lineRule="auto"/>
        <w:ind w:firstLine="562"/>
        <w:rPr>
          <w:rFonts w:cs="Times New Roman"/>
        </w:rPr>
      </w:pPr>
      <w:r>
        <w:rPr>
          <w:rFonts w:hint="eastAsia" w:cs="Times New Roman"/>
          <w:b/>
        </w:rPr>
        <w:t>南沱河</w:t>
      </w:r>
      <w:r>
        <w:rPr>
          <w:rFonts w:hint="eastAsia" w:cs="Times New Roman"/>
        </w:rPr>
        <w:t>发源于河南省商丘刘口集，流经虞城、商丘、夏邑、淮北、濉溪至淮北戚岭孜入新汴河。南沱河濉溪县境内长</w:t>
      </w:r>
      <w:r>
        <w:rPr>
          <w:rFonts w:cs="Times New Roman"/>
        </w:rPr>
        <w:t>46.2km</w:t>
      </w:r>
      <w:r>
        <w:rPr>
          <w:rFonts w:hint="eastAsia" w:cs="Times New Roman"/>
        </w:rPr>
        <w:t>，上面建有四铺和徐楼节制闸。四铺闸以上来水面积</w:t>
      </w:r>
      <w:r>
        <w:rPr>
          <w:rFonts w:cs="Times New Roman"/>
        </w:rPr>
        <w:t>3936km</w:t>
      </w:r>
      <w:r>
        <w:rPr>
          <w:rFonts w:cs="Times New Roman"/>
          <w:vertAlign w:val="superscript"/>
        </w:rPr>
        <w:t>2</w:t>
      </w:r>
      <w:r>
        <w:rPr>
          <w:rFonts w:hint="eastAsia" w:cs="Times New Roman"/>
        </w:rPr>
        <w:t>，库容</w:t>
      </w:r>
      <w:r>
        <w:rPr>
          <w:rFonts w:cs="Times New Roman"/>
        </w:rPr>
        <w:t>775</w:t>
      </w:r>
      <w:r>
        <w:rPr>
          <w:rFonts w:hint="eastAsia" w:cs="Times New Roman"/>
        </w:rPr>
        <w:t>万</w:t>
      </w:r>
      <w:r>
        <w:rPr>
          <w:rFonts w:cs="Times New Roman"/>
        </w:rPr>
        <w:t>m</w:t>
      </w:r>
      <w:r>
        <w:rPr>
          <w:rFonts w:cs="Times New Roman"/>
          <w:vertAlign w:val="superscript"/>
        </w:rPr>
        <w:t>3</w:t>
      </w:r>
      <w:r>
        <w:rPr>
          <w:rFonts w:hint="eastAsia" w:cs="Times New Roman"/>
        </w:rPr>
        <w:t>，兴利库容</w:t>
      </w:r>
      <w:r>
        <w:rPr>
          <w:rFonts w:cs="Times New Roman"/>
        </w:rPr>
        <w:t>620</w:t>
      </w:r>
      <w:r>
        <w:rPr>
          <w:rFonts w:hint="eastAsia" w:cs="Times New Roman"/>
        </w:rPr>
        <w:t>万</w:t>
      </w:r>
      <w:r>
        <w:rPr>
          <w:rFonts w:cs="Times New Roman"/>
        </w:rPr>
        <w:t>m</w:t>
      </w:r>
      <w:r>
        <w:rPr>
          <w:rFonts w:cs="Times New Roman"/>
          <w:vertAlign w:val="superscript"/>
        </w:rPr>
        <w:t>3</w:t>
      </w:r>
      <w:r>
        <w:rPr>
          <w:rFonts w:hint="eastAsia" w:cs="Times New Roman"/>
        </w:rPr>
        <w:t>；徐楼闸蓄水库容</w:t>
      </w:r>
      <w:r>
        <w:rPr>
          <w:rFonts w:cs="Times New Roman"/>
        </w:rPr>
        <w:t>850</w:t>
      </w:r>
      <w:r>
        <w:rPr>
          <w:rFonts w:hint="eastAsia" w:cs="Times New Roman"/>
        </w:rPr>
        <w:t>万</w:t>
      </w:r>
      <w:r>
        <w:rPr>
          <w:rFonts w:cs="Times New Roman"/>
        </w:rPr>
        <w:t>m</w:t>
      </w:r>
      <w:r>
        <w:rPr>
          <w:rFonts w:cs="Times New Roman"/>
          <w:vertAlign w:val="superscript"/>
        </w:rPr>
        <w:t>3</w:t>
      </w:r>
      <w:r>
        <w:rPr>
          <w:rFonts w:hint="eastAsia" w:cs="Times New Roman"/>
        </w:rPr>
        <w:t>，兴利库容</w:t>
      </w:r>
      <w:r>
        <w:rPr>
          <w:rFonts w:cs="Times New Roman"/>
        </w:rPr>
        <w:t>620</w:t>
      </w:r>
      <w:r>
        <w:rPr>
          <w:rFonts w:hint="eastAsia" w:cs="Times New Roman"/>
        </w:rPr>
        <w:t>万</w:t>
      </w:r>
      <w:r>
        <w:rPr>
          <w:rFonts w:cs="Times New Roman"/>
        </w:rPr>
        <w:t>m</w:t>
      </w:r>
      <w:r>
        <w:rPr>
          <w:rFonts w:cs="Times New Roman"/>
          <w:vertAlign w:val="superscript"/>
        </w:rPr>
        <w:t>3</w:t>
      </w:r>
      <w:r>
        <w:rPr>
          <w:rFonts w:hint="eastAsia" w:cs="Times New Roman"/>
        </w:rPr>
        <w:t>。</w:t>
      </w:r>
    </w:p>
    <w:p>
      <w:pPr>
        <w:pStyle w:val="16"/>
        <w:spacing w:line="360" w:lineRule="auto"/>
        <w:ind w:firstLine="562"/>
        <w:rPr>
          <w:rFonts w:cs="Times New Roman"/>
        </w:rPr>
      </w:pPr>
      <w:r>
        <w:rPr>
          <w:rFonts w:hint="eastAsia" w:cs="Times New Roman"/>
          <w:b/>
        </w:rPr>
        <w:t>浍河</w:t>
      </w:r>
      <w:r>
        <w:rPr>
          <w:rFonts w:hint="eastAsia" w:cs="Times New Roman"/>
        </w:rPr>
        <w:t>是怀洪新河水系中最大的支流，也是淮北地区重要的省际河道。西北起自废黄河南堤，东南迄怀洪新河，九湾以上流域总面积</w:t>
      </w:r>
      <w:r>
        <w:rPr>
          <w:rFonts w:cs="Times New Roman"/>
        </w:rPr>
        <w:t>4850km</w:t>
      </w:r>
      <w:r>
        <w:rPr>
          <w:rFonts w:cs="Times New Roman"/>
          <w:vertAlign w:val="superscript"/>
        </w:rPr>
        <w:t>2</w:t>
      </w:r>
      <w:r>
        <w:rPr>
          <w:rFonts w:hint="eastAsia" w:cs="Times New Roman"/>
        </w:rPr>
        <w:t>。濉溪县境内建有临涣闸、南坪闸，其中，临涣闸控制面积</w:t>
      </w:r>
      <w:r>
        <w:rPr>
          <w:rFonts w:cs="Times New Roman"/>
        </w:rPr>
        <w:t>2795km</w:t>
      </w:r>
      <w:r>
        <w:rPr>
          <w:rFonts w:cs="Times New Roman"/>
          <w:vertAlign w:val="superscript"/>
        </w:rPr>
        <w:t>2</w:t>
      </w:r>
      <w:r>
        <w:rPr>
          <w:rFonts w:hint="eastAsia" w:cs="Times New Roman"/>
        </w:rPr>
        <w:t>，正常蓄水库容</w:t>
      </w:r>
      <w:r>
        <w:rPr>
          <w:rFonts w:cs="Times New Roman"/>
        </w:rPr>
        <w:t>1050</w:t>
      </w:r>
      <w:r>
        <w:rPr>
          <w:rFonts w:hint="eastAsia" w:cs="Times New Roman"/>
        </w:rPr>
        <w:t>万</w:t>
      </w:r>
      <w:r>
        <w:rPr>
          <w:rFonts w:cs="Times New Roman"/>
        </w:rPr>
        <w:t>m</w:t>
      </w:r>
      <w:r>
        <w:rPr>
          <w:rFonts w:cs="Times New Roman"/>
          <w:vertAlign w:val="superscript"/>
        </w:rPr>
        <w:t>3</w:t>
      </w:r>
      <w:r>
        <w:rPr>
          <w:rFonts w:hint="eastAsia" w:cs="Times New Roman"/>
        </w:rPr>
        <w:t>；南坪闸控制面积</w:t>
      </w:r>
      <w:r>
        <w:rPr>
          <w:rFonts w:cs="Times New Roman"/>
        </w:rPr>
        <w:t>3472km</w:t>
      </w:r>
      <w:r>
        <w:rPr>
          <w:rFonts w:cs="Times New Roman"/>
          <w:vertAlign w:val="superscript"/>
        </w:rPr>
        <w:t>2</w:t>
      </w:r>
      <w:r>
        <w:rPr>
          <w:rFonts w:hint="eastAsia" w:cs="Times New Roman"/>
        </w:rPr>
        <w:t>，正常蓄水库容</w:t>
      </w:r>
      <w:r>
        <w:rPr>
          <w:rFonts w:cs="Times New Roman"/>
        </w:rPr>
        <w:t>730</w:t>
      </w:r>
      <w:r>
        <w:rPr>
          <w:rFonts w:hint="eastAsia" w:cs="Times New Roman"/>
        </w:rPr>
        <w:t>万</w:t>
      </w:r>
      <w:r>
        <w:rPr>
          <w:rFonts w:cs="Times New Roman"/>
        </w:rPr>
        <w:t>m</w:t>
      </w:r>
      <w:r>
        <w:rPr>
          <w:rFonts w:cs="Times New Roman"/>
          <w:vertAlign w:val="superscript"/>
        </w:rPr>
        <w:t>3</w:t>
      </w:r>
      <w:r>
        <w:rPr>
          <w:rFonts w:hint="eastAsia" w:cs="Times New Roman"/>
        </w:rPr>
        <w:t>。</w:t>
      </w:r>
    </w:p>
    <w:p>
      <w:pPr>
        <w:pStyle w:val="16"/>
        <w:spacing w:line="360" w:lineRule="auto"/>
        <w:ind w:firstLine="562"/>
        <w:rPr>
          <w:rFonts w:cs="Times New Roman"/>
        </w:rPr>
      </w:pPr>
      <w:r>
        <w:rPr>
          <w:rFonts w:hint="eastAsia" w:cs="Times New Roman"/>
          <w:b/>
        </w:rPr>
        <w:t>澥河</w:t>
      </w:r>
      <w:r>
        <w:rPr>
          <w:rFonts w:hint="eastAsia" w:cs="Times New Roman"/>
        </w:rPr>
        <w:t>发源于濉溪县白沙镇，流经埇桥区、怀远县，于固镇县胡洼闸汇入怀洪新河，全长</w:t>
      </w:r>
      <w:r>
        <w:rPr>
          <w:rFonts w:cs="Times New Roman"/>
        </w:rPr>
        <w:t>81km</w:t>
      </w:r>
      <w:r>
        <w:rPr>
          <w:rFonts w:hint="eastAsia" w:cs="Times New Roman"/>
        </w:rPr>
        <w:t>，流域面积</w:t>
      </w:r>
      <w:r>
        <w:rPr>
          <w:rFonts w:cs="Times New Roman"/>
        </w:rPr>
        <w:t>757km</w:t>
      </w:r>
      <w:r>
        <w:rPr>
          <w:rFonts w:cs="Times New Roman"/>
          <w:vertAlign w:val="superscript"/>
        </w:rPr>
        <w:t>2</w:t>
      </w:r>
      <w:r>
        <w:rPr>
          <w:rFonts w:hint="eastAsia" w:cs="Times New Roman"/>
        </w:rPr>
        <w:t>。澥河淮北市境内集水面积</w:t>
      </w:r>
      <w:r>
        <w:rPr>
          <w:rFonts w:cs="Times New Roman"/>
        </w:rPr>
        <w:t>344.1 km</w:t>
      </w:r>
      <w:r>
        <w:rPr>
          <w:rFonts w:cs="Times New Roman"/>
          <w:vertAlign w:val="superscript"/>
        </w:rPr>
        <w:t>2</w:t>
      </w:r>
      <w:r>
        <w:rPr>
          <w:rFonts w:hint="eastAsia" w:cs="Times New Roman"/>
        </w:rPr>
        <w:t>，河长</w:t>
      </w:r>
      <w:r>
        <w:rPr>
          <w:rFonts w:cs="Times New Roman"/>
        </w:rPr>
        <w:t>39.3km</w:t>
      </w:r>
      <w:r>
        <w:rPr>
          <w:rFonts w:hint="eastAsia" w:cs="Times New Roman"/>
        </w:rPr>
        <w:t>。</w:t>
      </w:r>
    </w:p>
    <w:p>
      <w:pPr>
        <w:pStyle w:val="16"/>
        <w:spacing w:line="360" w:lineRule="auto"/>
        <w:ind w:firstLine="562"/>
        <w:rPr>
          <w:rFonts w:cs="Times New Roman"/>
        </w:rPr>
      </w:pPr>
      <w:r>
        <w:rPr>
          <w:rFonts w:hint="eastAsia" w:cs="Times New Roman"/>
          <w:b/>
        </w:rPr>
        <w:t>北淝河流域</w:t>
      </w:r>
      <w:r>
        <w:rPr>
          <w:rFonts w:hint="eastAsia" w:cs="Times New Roman"/>
        </w:rPr>
        <w:t>面积</w:t>
      </w:r>
      <w:r>
        <w:rPr>
          <w:rFonts w:cs="Times New Roman"/>
        </w:rPr>
        <w:t>1670 km</w:t>
      </w:r>
      <w:r>
        <w:rPr>
          <w:rFonts w:cs="Times New Roman"/>
          <w:vertAlign w:val="superscript"/>
        </w:rPr>
        <w:t>2</w:t>
      </w:r>
      <w:r>
        <w:rPr>
          <w:rFonts w:hint="eastAsia" w:cs="Times New Roman"/>
        </w:rPr>
        <w:t>，境内河道长</w:t>
      </w:r>
      <w:r>
        <w:rPr>
          <w:rFonts w:cs="Times New Roman"/>
        </w:rPr>
        <w:t>6.3km</w:t>
      </w:r>
      <w:r>
        <w:rPr>
          <w:rFonts w:hint="eastAsia" w:cs="Times New Roman"/>
        </w:rPr>
        <w:t>，集水面积</w:t>
      </w:r>
      <w:r>
        <w:rPr>
          <w:rFonts w:cs="Times New Roman"/>
        </w:rPr>
        <w:t>124.5km</w:t>
      </w:r>
      <w:r>
        <w:rPr>
          <w:rFonts w:cs="Times New Roman"/>
          <w:vertAlign w:val="superscript"/>
        </w:rPr>
        <w:t>2</w:t>
      </w:r>
      <w:r>
        <w:rPr>
          <w:rFonts w:hint="eastAsia" w:cs="Times New Roman"/>
        </w:rPr>
        <w:t>。</w:t>
      </w:r>
    </w:p>
    <w:p>
      <w:pPr>
        <w:pStyle w:val="16"/>
        <w:spacing w:line="360" w:lineRule="auto"/>
        <w:ind w:firstLine="562"/>
        <w:rPr>
          <w:rFonts w:cs="Times New Roman"/>
        </w:rPr>
      </w:pPr>
      <w:r>
        <w:rPr>
          <w:rFonts w:hint="eastAsia" w:cs="Times New Roman"/>
          <w:b/>
        </w:rPr>
        <w:t>新北沱河</w:t>
      </w:r>
      <w:r>
        <w:rPr>
          <w:rFonts w:hint="eastAsia" w:cs="Times New Roman"/>
        </w:rPr>
        <w:t>上游截源后，流域面积</w:t>
      </w:r>
      <w:r>
        <w:rPr>
          <w:rFonts w:cs="Times New Roman"/>
        </w:rPr>
        <w:t>85.0km</w:t>
      </w:r>
      <w:r>
        <w:rPr>
          <w:rFonts w:cs="Times New Roman"/>
          <w:vertAlign w:val="superscript"/>
        </w:rPr>
        <w:t>2</w:t>
      </w:r>
      <w:r>
        <w:rPr>
          <w:rFonts w:hint="eastAsia" w:cs="Times New Roman"/>
        </w:rPr>
        <w:t>，境内河道长</w:t>
      </w:r>
      <w:r>
        <w:rPr>
          <w:rFonts w:cs="Times New Roman"/>
        </w:rPr>
        <w:t>12.5km</w:t>
      </w:r>
      <w:r>
        <w:rPr>
          <w:rFonts w:hint="eastAsia" w:cs="Times New Roman"/>
        </w:rPr>
        <w:t>，其上建有蔡桥闸，蓄水库容</w:t>
      </w:r>
      <w:r>
        <w:rPr>
          <w:rFonts w:cs="Times New Roman"/>
        </w:rPr>
        <w:t>180</w:t>
      </w:r>
      <w:r>
        <w:rPr>
          <w:rFonts w:hint="eastAsia" w:cs="Times New Roman"/>
        </w:rPr>
        <w:t>万</w:t>
      </w:r>
      <w:r>
        <w:rPr>
          <w:rFonts w:cs="Times New Roman"/>
        </w:rPr>
        <w:t>m</w:t>
      </w:r>
      <w:r>
        <w:rPr>
          <w:rFonts w:cs="Times New Roman"/>
          <w:vertAlign w:val="superscript"/>
        </w:rPr>
        <w:t>3</w:t>
      </w:r>
      <w:r>
        <w:rPr>
          <w:rFonts w:hint="eastAsia" w:cs="Times New Roman"/>
        </w:rPr>
        <w:t>，兴利库容</w:t>
      </w:r>
      <w:r>
        <w:rPr>
          <w:rFonts w:cs="Times New Roman"/>
        </w:rPr>
        <w:t>140</w:t>
      </w:r>
      <w:r>
        <w:rPr>
          <w:rFonts w:hint="eastAsia" w:cs="Times New Roman"/>
        </w:rPr>
        <w:t>万</w:t>
      </w:r>
      <w:r>
        <w:rPr>
          <w:rFonts w:cs="Times New Roman"/>
        </w:rPr>
        <w:t>m</w:t>
      </w:r>
      <w:r>
        <w:rPr>
          <w:rFonts w:cs="Times New Roman"/>
          <w:vertAlign w:val="superscript"/>
        </w:rPr>
        <w:t>3</w:t>
      </w:r>
      <w:r>
        <w:rPr>
          <w:rFonts w:hint="eastAsia" w:cs="Times New Roman"/>
        </w:rPr>
        <w:t>。</w:t>
      </w:r>
    </w:p>
    <w:p>
      <w:pPr>
        <w:pStyle w:val="16"/>
        <w:spacing w:line="360" w:lineRule="auto"/>
        <w:ind w:firstLine="560"/>
        <w:rPr>
          <w:rFonts w:cs="Times New Roman"/>
        </w:rPr>
      </w:pPr>
      <w:r>
        <w:rPr>
          <w:rFonts w:hint="eastAsia" w:cs="Times New Roman"/>
        </w:rPr>
        <w:t>全市河道节制闸</w:t>
      </w:r>
      <w:r>
        <w:rPr>
          <w:rFonts w:cs="Times New Roman"/>
        </w:rPr>
        <w:t>14</w:t>
      </w:r>
      <w:r>
        <w:rPr>
          <w:rFonts w:hint="eastAsia" w:cs="Times New Roman"/>
        </w:rPr>
        <w:t>座，蓄水总库容</w:t>
      </w:r>
      <w:r>
        <w:rPr>
          <w:rFonts w:cs="Times New Roman"/>
        </w:rPr>
        <w:t>4790</w:t>
      </w:r>
      <w:r>
        <w:rPr>
          <w:rFonts w:hint="eastAsia" w:cs="Times New Roman"/>
        </w:rPr>
        <w:t>万</w:t>
      </w:r>
      <w:r>
        <w:rPr>
          <w:rFonts w:cs="Times New Roman"/>
        </w:rPr>
        <w:t>m</w:t>
      </w:r>
      <w:r>
        <w:rPr>
          <w:rFonts w:cs="Times New Roman"/>
          <w:vertAlign w:val="superscript"/>
        </w:rPr>
        <w:t>3</w:t>
      </w:r>
      <w:r>
        <w:rPr>
          <w:rFonts w:hint="eastAsia" w:cs="Times New Roman"/>
        </w:rPr>
        <w:t>，兴利库容</w:t>
      </w:r>
      <w:r>
        <w:rPr>
          <w:rFonts w:cs="Times New Roman"/>
        </w:rPr>
        <w:t>3610.1</w:t>
      </w:r>
      <w:r>
        <w:rPr>
          <w:rFonts w:hint="eastAsia" w:cs="Times New Roman"/>
        </w:rPr>
        <w:t>万</w:t>
      </w:r>
      <w:r>
        <w:rPr>
          <w:rFonts w:cs="Times New Roman"/>
        </w:rPr>
        <w:t>m</w:t>
      </w:r>
      <w:r>
        <w:rPr>
          <w:rFonts w:cs="Times New Roman"/>
          <w:vertAlign w:val="superscript"/>
        </w:rPr>
        <w:t>3</w:t>
      </w:r>
      <w:r>
        <w:rPr>
          <w:rFonts w:hint="eastAsia" w:cs="Times New Roman"/>
        </w:rPr>
        <w:t>。全市现有大沟</w:t>
      </w:r>
      <w:r>
        <w:rPr>
          <w:rFonts w:cs="Times New Roman"/>
        </w:rPr>
        <w:t>140</w:t>
      </w:r>
      <w:r>
        <w:rPr>
          <w:rFonts w:hint="eastAsia" w:cs="Times New Roman"/>
        </w:rPr>
        <w:t>余条，长</w:t>
      </w:r>
      <w:r>
        <w:rPr>
          <w:rFonts w:cs="Times New Roman"/>
        </w:rPr>
        <w:t>1539km</w:t>
      </w:r>
      <w:r>
        <w:rPr>
          <w:rFonts w:hint="eastAsia" w:cs="Times New Roman"/>
        </w:rPr>
        <w:t>；中沟</w:t>
      </w:r>
      <w:r>
        <w:rPr>
          <w:rFonts w:cs="Times New Roman"/>
        </w:rPr>
        <w:t>2190</w:t>
      </w:r>
      <w:r>
        <w:rPr>
          <w:rFonts w:hint="eastAsia" w:cs="Times New Roman"/>
        </w:rPr>
        <w:t>条，长</w:t>
      </w:r>
      <w:r>
        <w:rPr>
          <w:rFonts w:cs="Times New Roman"/>
        </w:rPr>
        <w:t>3615km</w:t>
      </w:r>
      <w:r>
        <w:rPr>
          <w:rFonts w:hint="eastAsia" w:cs="Times New Roman"/>
        </w:rPr>
        <w:t>，大、中沟上建有涵闸</w:t>
      </w:r>
      <w:r>
        <w:rPr>
          <w:rFonts w:cs="Times New Roman"/>
        </w:rPr>
        <w:t>251</w:t>
      </w:r>
      <w:r>
        <w:rPr>
          <w:rFonts w:hint="eastAsia" w:cs="Times New Roman"/>
        </w:rPr>
        <w:t>处，蓄水总库容</w:t>
      </w:r>
      <w:r>
        <w:rPr>
          <w:rFonts w:cs="Times New Roman"/>
        </w:rPr>
        <w:t>2550</w:t>
      </w:r>
      <w:r>
        <w:rPr>
          <w:rFonts w:hint="eastAsia" w:cs="Times New Roman"/>
        </w:rPr>
        <w:t>万</w:t>
      </w:r>
      <w:r>
        <w:rPr>
          <w:rFonts w:cs="Times New Roman"/>
        </w:rPr>
        <w:t>m</w:t>
      </w:r>
      <w:r>
        <w:rPr>
          <w:rFonts w:cs="Times New Roman"/>
          <w:vertAlign w:val="superscript"/>
        </w:rPr>
        <w:t>3</w:t>
      </w:r>
      <w:r>
        <w:rPr>
          <w:rFonts w:hint="eastAsia" w:cs="Times New Roman"/>
        </w:rPr>
        <w:t>，兴利库容</w:t>
      </w:r>
      <w:r>
        <w:rPr>
          <w:rFonts w:cs="Times New Roman"/>
        </w:rPr>
        <w:t>1780</w:t>
      </w:r>
      <w:r>
        <w:rPr>
          <w:rFonts w:hint="eastAsia" w:cs="Times New Roman"/>
        </w:rPr>
        <w:t>万</w:t>
      </w:r>
      <w:r>
        <w:rPr>
          <w:rFonts w:cs="Times New Roman"/>
        </w:rPr>
        <w:t>m</w:t>
      </w:r>
      <w:r>
        <w:rPr>
          <w:rFonts w:cs="Times New Roman"/>
          <w:vertAlign w:val="superscript"/>
        </w:rPr>
        <w:t>3</w:t>
      </w:r>
      <w:r>
        <w:rPr>
          <w:rFonts w:hint="eastAsia" w:cs="Times New Roman"/>
        </w:rPr>
        <w:t>。</w:t>
      </w:r>
    </w:p>
    <w:p>
      <w:pPr>
        <w:pStyle w:val="16"/>
        <w:spacing w:line="360" w:lineRule="auto"/>
        <w:ind w:firstLine="560"/>
        <w:rPr>
          <w:rFonts w:cs="Times New Roman"/>
        </w:rPr>
      </w:pPr>
      <w:r>
        <w:rPr>
          <w:rFonts w:hint="eastAsia" w:cs="Times New Roman"/>
        </w:rPr>
        <w:t>淮北市山丘区有中型水库</w:t>
      </w:r>
      <w:r>
        <w:rPr>
          <w:rFonts w:cs="Times New Roman"/>
        </w:rPr>
        <w:t>1</w:t>
      </w:r>
      <w:r>
        <w:rPr>
          <w:rFonts w:hint="eastAsia" w:cs="Times New Roman"/>
        </w:rPr>
        <w:t>座</w:t>
      </w:r>
      <w:r>
        <w:rPr>
          <w:rFonts w:cs="Times New Roman"/>
        </w:rPr>
        <w:t>—</w:t>
      </w:r>
      <w:r>
        <w:rPr>
          <w:rFonts w:hint="eastAsia" w:cs="Times New Roman"/>
        </w:rPr>
        <w:t>华家湖水库，总库容</w:t>
      </w:r>
      <w:r>
        <w:rPr>
          <w:rFonts w:cs="Times New Roman"/>
        </w:rPr>
        <w:t>1330</w:t>
      </w:r>
      <w:r>
        <w:rPr>
          <w:rFonts w:hint="eastAsia" w:cs="Times New Roman"/>
        </w:rPr>
        <w:t>万</w:t>
      </w:r>
      <w:r>
        <w:rPr>
          <w:rFonts w:cs="Times New Roman"/>
        </w:rPr>
        <w:t>m</w:t>
      </w:r>
      <w:r>
        <w:rPr>
          <w:rFonts w:cs="Times New Roman"/>
          <w:vertAlign w:val="superscript"/>
        </w:rPr>
        <w:t>3</w:t>
      </w:r>
      <w:r>
        <w:rPr>
          <w:rFonts w:hint="eastAsia" w:cs="Times New Roman"/>
        </w:rPr>
        <w:t>，兴利库容</w:t>
      </w:r>
      <w:r>
        <w:rPr>
          <w:rFonts w:cs="Times New Roman"/>
        </w:rPr>
        <w:t>930</w:t>
      </w:r>
      <w:r>
        <w:rPr>
          <w:rFonts w:hint="eastAsia" w:cs="Times New Roman"/>
        </w:rPr>
        <w:t>万</w:t>
      </w:r>
      <w:r>
        <w:rPr>
          <w:rFonts w:cs="Times New Roman"/>
        </w:rPr>
        <w:t>m</w:t>
      </w:r>
      <w:r>
        <w:rPr>
          <w:rFonts w:cs="Times New Roman"/>
          <w:vertAlign w:val="superscript"/>
        </w:rPr>
        <w:t>3</w:t>
      </w:r>
      <w:r>
        <w:rPr>
          <w:rFonts w:hint="eastAsia" w:cs="Times New Roman"/>
        </w:rPr>
        <w:t>；小型水库</w:t>
      </w:r>
      <w:r>
        <w:rPr>
          <w:rFonts w:cs="Times New Roman"/>
        </w:rPr>
        <w:t>4</w:t>
      </w:r>
      <w:r>
        <w:rPr>
          <w:rFonts w:hint="eastAsia" w:cs="Times New Roman"/>
        </w:rPr>
        <w:t>座，总库容</w:t>
      </w:r>
      <w:r>
        <w:rPr>
          <w:rFonts w:cs="Times New Roman"/>
        </w:rPr>
        <w:t>151</w:t>
      </w:r>
      <w:r>
        <w:rPr>
          <w:rFonts w:hint="eastAsia" w:cs="Times New Roman"/>
        </w:rPr>
        <w:t>万</w:t>
      </w:r>
      <w:r>
        <w:rPr>
          <w:rFonts w:cs="Times New Roman"/>
        </w:rPr>
        <w:t>m</w:t>
      </w:r>
      <w:r>
        <w:rPr>
          <w:rFonts w:cs="Times New Roman"/>
          <w:vertAlign w:val="superscript"/>
        </w:rPr>
        <w:t>3</w:t>
      </w:r>
      <w:r>
        <w:rPr>
          <w:rFonts w:hint="eastAsia" w:cs="Times New Roman"/>
        </w:rPr>
        <w:t>，兴利库容</w:t>
      </w:r>
      <w:r>
        <w:rPr>
          <w:rFonts w:cs="Times New Roman"/>
        </w:rPr>
        <w:t>127.6</w:t>
      </w:r>
      <w:r>
        <w:rPr>
          <w:rFonts w:hint="eastAsia" w:cs="Times New Roman"/>
        </w:rPr>
        <w:t>万</w:t>
      </w:r>
      <w:r>
        <w:rPr>
          <w:rFonts w:cs="Times New Roman"/>
        </w:rPr>
        <w:t>m</w:t>
      </w:r>
      <w:r>
        <w:rPr>
          <w:rFonts w:cs="Times New Roman"/>
          <w:vertAlign w:val="superscript"/>
        </w:rPr>
        <w:t>3</w:t>
      </w:r>
      <w:r>
        <w:rPr>
          <w:rFonts w:hint="eastAsia" w:cs="Times New Roman"/>
        </w:rPr>
        <w:t>。东北山丘区较大的塘坝有</w:t>
      </w:r>
      <w:r>
        <w:rPr>
          <w:rFonts w:cs="Times New Roman"/>
        </w:rPr>
        <w:t>4</w:t>
      </w:r>
      <w:r>
        <w:rPr>
          <w:rFonts w:hint="eastAsia" w:cs="Times New Roman"/>
        </w:rPr>
        <w:t>处，总库容</w:t>
      </w:r>
      <w:r>
        <w:rPr>
          <w:rFonts w:cs="Times New Roman"/>
        </w:rPr>
        <w:t>19.0</w:t>
      </w:r>
      <w:r>
        <w:rPr>
          <w:rFonts w:hint="eastAsia" w:cs="Times New Roman"/>
        </w:rPr>
        <w:t>万</w:t>
      </w:r>
      <w:r>
        <w:rPr>
          <w:rFonts w:cs="Times New Roman"/>
        </w:rPr>
        <w:t>m</w:t>
      </w:r>
      <w:r>
        <w:rPr>
          <w:rFonts w:cs="Times New Roman"/>
          <w:vertAlign w:val="superscript"/>
        </w:rPr>
        <w:t>3</w:t>
      </w:r>
      <w:r>
        <w:rPr>
          <w:rFonts w:hint="eastAsia" w:cs="Times New Roman"/>
        </w:rPr>
        <w:t>，兴利库容</w:t>
      </w:r>
      <w:r>
        <w:rPr>
          <w:rFonts w:cs="Times New Roman"/>
        </w:rPr>
        <w:t>16.3</w:t>
      </w:r>
      <w:r>
        <w:rPr>
          <w:rFonts w:hint="eastAsia" w:cs="Times New Roman"/>
        </w:rPr>
        <w:t>万</w:t>
      </w:r>
      <w:r>
        <w:rPr>
          <w:rFonts w:cs="Times New Roman"/>
        </w:rPr>
        <w:t>m</w:t>
      </w:r>
      <w:r>
        <w:rPr>
          <w:rFonts w:cs="Times New Roman"/>
          <w:vertAlign w:val="superscript"/>
        </w:rPr>
        <w:t>3</w:t>
      </w:r>
      <w:r>
        <w:rPr>
          <w:rFonts w:hint="eastAsia" w:cs="Times New Roman"/>
        </w:rPr>
        <w:t>。山丘区水库、塘坝位于岩溶发育地带，渗漏较为严重，偏旱</w:t>
      </w:r>
      <w:r>
        <w:rPr>
          <w:rFonts w:cs="Times New Roman"/>
        </w:rPr>
        <w:t>-</w:t>
      </w:r>
      <w:r>
        <w:rPr>
          <w:rFonts w:hint="eastAsia" w:cs="Times New Roman"/>
        </w:rPr>
        <w:t>干旱年份，基本干枯见底。</w:t>
      </w:r>
    </w:p>
    <w:p>
      <w:pPr>
        <w:pStyle w:val="16"/>
        <w:spacing w:line="360" w:lineRule="auto"/>
        <w:ind w:firstLine="560"/>
        <w:jc w:val="center"/>
        <w:rPr>
          <w:rFonts w:cs="Times New Roman"/>
        </w:rPr>
      </w:pPr>
      <w:r>
        <w:drawing>
          <wp:inline distT="0" distB="0" distL="0" distR="0">
            <wp:extent cx="2724785" cy="2029460"/>
            <wp:effectExtent l="19050" t="0" r="0" b="0"/>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noChangeArrowheads="1"/>
                    </pic:cNvPicPr>
                  </pic:nvPicPr>
                  <pic:blipFill>
                    <a:blip r:embed="rId21"/>
                    <a:srcRect/>
                    <a:stretch>
                      <a:fillRect/>
                    </a:stretch>
                  </pic:blipFill>
                  <pic:spPr>
                    <a:xfrm>
                      <a:off x="0" y="0"/>
                      <a:ext cx="2733278" cy="2035640"/>
                    </a:xfrm>
                    <a:prstGeom prst="rect">
                      <a:avLst/>
                    </a:prstGeom>
                    <a:noFill/>
                    <a:ln w="9525">
                      <a:noFill/>
                      <a:miter lim="800000"/>
                      <a:headEnd/>
                      <a:tailEnd/>
                    </a:ln>
                  </pic:spPr>
                </pic:pic>
              </a:graphicData>
            </a:graphic>
          </wp:inline>
        </w:drawing>
      </w:r>
      <w:r>
        <w:rPr>
          <w:rFonts w:cs="Times New Roman"/>
        </w:rPr>
        <w:t xml:space="preserve"> </w:t>
      </w:r>
      <w:r>
        <w:rPr>
          <w:rFonts w:cs="Times New Roman"/>
        </w:rPr>
        <w:drawing>
          <wp:inline distT="0" distB="0" distL="0" distR="0">
            <wp:extent cx="2764790" cy="2073275"/>
            <wp:effectExtent l="19050" t="0" r="0" b="0"/>
            <wp:docPr id="22" name="图片 1" descr="F:\2019年项目\淮北市节约用水规划\补充资料\照片\IMG_20190116_13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descr="F:\2019年项目\淮北市节约用水规划\补充资料\照片\IMG_20190116_134825.jpg"/>
                    <pic:cNvPicPr>
                      <a:picLocks noChangeAspect="1" noChangeArrowheads="1"/>
                    </pic:cNvPicPr>
                  </pic:nvPicPr>
                  <pic:blipFill>
                    <a:blip r:embed="rId22"/>
                    <a:srcRect/>
                    <a:stretch>
                      <a:fillRect/>
                    </a:stretch>
                  </pic:blipFill>
                  <pic:spPr>
                    <a:xfrm>
                      <a:off x="0" y="0"/>
                      <a:ext cx="2789825" cy="2092370"/>
                    </a:xfrm>
                    <a:prstGeom prst="rect">
                      <a:avLst/>
                    </a:prstGeom>
                    <a:noFill/>
                    <a:ln w="9525">
                      <a:noFill/>
                      <a:miter lim="800000"/>
                      <a:headEnd/>
                      <a:tailEnd/>
                    </a:ln>
                  </pic:spPr>
                </pic:pic>
              </a:graphicData>
            </a:graphic>
          </wp:inline>
        </w:drawing>
      </w:r>
    </w:p>
    <w:p>
      <w:pPr>
        <w:pStyle w:val="16"/>
        <w:spacing w:line="360" w:lineRule="auto"/>
        <w:ind w:firstLine="560"/>
        <w:jc w:val="center"/>
        <w:rPr>
          <w:rFonts w:cs="Times New Roman"/>
        </w:rPr>
      </w:pPr>
      <w:r>
        <w:rPr>
          <w:rFonts w:hint="eastAsia" w:cs="Times New Roman"/>
        </w:rPr>
        <w:t>王引河                                                    萧濉新河</w:t>
      </w:r>
    </w:p>
    <w:p>
      <w:pPr>
        <w:pStyle w:val="16"/>
        <w:spacing w:line="360" w:lineRule="auto"/>
        <w:ind w:firstLine="482"/>
        <w:jc w:val="center"/>
        <w:rPr>
          <w:rFonts w:ascii="宋体" w:hAnsi="宋体" w:cs="Tahoma"/>
          <w:b/>
          <w:color w:val="000000"/>
          <w:sz w:val="24"/>
          <w:szCs w:val="21"/>
        </w:rPr>
      </w:pPr>
      <w:r>
        <w:rPr>
          <w:rFonts w:ascii="宋体" w:hAnsi="宋体" w:cs="Tahoma"/>
          <w:b/>
          <w:color w:val="000000"/>
          <w:sz w:val="24"/>
          <w:szCs w:val="21"/>
        </w:rPr>
        <w:t xml:space="preserve">表 </w:t>
      </w:r>
      <w:r>
        <w:rPr>
          <w:rFonts w:hint="eastAsia" w:ascii="宋体" w:hAnsi="宋体" w:cs="Tahoma"/>
          <w:b/>
          <w:color w:val="000000"/>
          <w:sz w:val="24"/>
          <w:szCs w:val="21"/>
        </w:rPr>
        <w:t>1</w:t>
      </w:r>
      <w:r>
        <w:rPr>
          <w:rFonts w:ascii="宋体" w:hAnsi="宋体" w:cs="Tahoma"/>
          <w:b/>
          <w:color w:val="000000"/>
          <w:sz w:val="24"/>
          <w:szCs w:val="21"/>
        </w:rPr>
        <w:t>-</w:t>
      </w:r>
      <w:r>
        <w:rPr>
          <w:rFonts w:hint="eastAsia" w:ascii="宋体" w:hAnsi="宋体" w:cs="Tahoma"/>
          <w:b/>
          <w:color w:val="000000"/>
          <w:sz w:val="24"/>
          <w:szCs w:val="21"/>
        </w:rPr>
        <w:t>2   淮北市内主要河道长度及控制流域面积</w:t>
      </w:r>
    </w:p>
    <w:tbl>
      <w:tblPr>
        <w:tblStyle w:val="39"/>
        <w:tblW w:w="10326"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2550"/>
        <w:gridCol w:w="3261"/>
        <w:gridCol w:w="4515"/>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50" w:type="dxa"/>
            <w:vAlign w:val="center"/>
          </w:tcPr>
          <w:p>
            <w:pPr>
              <w:overflowPunct w:val="0"/>
              <w:ind w:firstLine="482"/>
              <w:jc w:val="center"/>
              <w:rPr>
                <w:b/>
                <w:sz w:val="24"/>
              </w:rPr>
            </w:pPr>
            <w:r>
              <w:rPr>
                <w:b/>
                <w:sz w:val="24"/>
              </w:rPr>
              <w:t>河道名称</w:t>
            </w:r>
          </w:p>
        </w:tc>
        <w:tc>
          <w:tcPr>
            <w:tcW w:w="3261" w:type="dxa"/>
            <w:vAlign w:val="center"/>
          </w:tcPr>
          <w:p>
            <w:pPr>
              <w:overflowPunct w:val="0"/>
              <w:ind w:firstLine="482"/>
              <w:jc w:val="center"/>
              <w:rPr>
                <w:b/>
                <w:sz w:val="24"/>
              </w:rPr>
            </w:pPr>
            <w:r>
              <w:rPr>
                <w:b/>
                <w:sz w:val="24"/>
              </w:rPr>
              <w:t>长度（km）</w:t>
            </w:r>
          </w:p>
        </w:tc>
        <w:tc>
          <w:tcPr>
            <w:tcW w:w="4515" w:type="dxa"/>
            <w:vAlign w:val="center"/>
          </w:tcPr>
          <w:p>
            <w:pPr>
              <w:overflowPunct w:val="0"/>
              <w:ind w:firstLine="482"/>
              <w:jc w:val="center"/>
              <w:rPr>
                <w:b/>
                <w:sz w:val="24"/>
              </w:rPr>
            </w:pPr>
            <w:r>
              <w:rPr>
                <w:b/>
                <w:sz w:val="24"/>
              </w:rPr>
              <w:t>控制流域面积（km</w:t>
            </w:r>
            <w:r>
              <w:rPr>
                <w:b/>
                <w:sz w:val="24"/>
                <w:vertAlign w:val="superscript"/>
              </w:rPr>
              <w:t>2</w:t>
            </w:r>
            <w:r>
              <w:rPr>
                <w:b/>
                <w:sz w:val="24"/>
              </w:rPr>
              <w:t>）</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50" w:type="dxa"/>
            <w:vAlign w:val="center"/>
          </w:tcPr>
          <w:p>
            <w:pPr>
              <w:overflowPunct w:val="0"/>
              <w:ind w:firstLine="560"/>
              <w:jc w:val="center"/>
              <w:rPr>
                <w:szCs w:val="21"/>
              </w:rPr>
            </w:pPr>
            <w:r>
              <w:rPr>
                <w:szCs w:val="21"/>
              </w:rPr>
              <w:t>洪碱河</w:t>
            </w:r>
          </w:p>
        </w:tc>
        <w:tc>
          <w:tcPr>
            <w:tcW w:w="3261" w:type="dxa"/>
            <w:vAlign w:val="center"/>
          </w:tcPr>
          <w:p>
            <w:pPr>
              <w:overflowPunct w:val="0"/>
              <w:ind w:firstLine="560"/>
              <w:jc w:val="center"/>
              <w:rPr>
                <w:szCs w:val="21"/>
              </w:rPr>
            </w:pPr>
            <w:r>
              <w:rPr>
                <w:szCs w:val="21"/>
              </w:rPr>
              <w:t>19.15</w:t>
            </w:r>
          </w:p>
        </w:tc>
        <w:tc>
          <w:tcPr>
            <w:tcW w:w="4515" w:type="dxa"/>
            <w:vAlign w:val="center"/>
          </w:tcPr>
          <w:p>
            <w:pPr>
              <w:overflowPunct w:val="0"/>
              <w:ind w:firstLine="560"/>
              <w:jc w:val="center"/>
              <w:rPr>
                <w:szCs w:val="21"/>
              </w:rPr>
            </w:pPr>
            <w:r>
              <w:rPr>
                <w:szCs w:val="21"/>
              </w:rPr>
              <w:t>465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50" w:type="dxa"/>
            <w:vAlign w:val="center"/>
          </w:tcPr>
          <w:p>
            <w:pPr>
              <w:overflowPunct w:val="0"/>
              <w:ind w:firstLine="560"/>
              <w:jc w:val="center"/>
              <w:rPr>
                <w:szCs w:val="21"/>
              </w:rPr>
            </w:pPr>
            <w:r>
              <w:rPr>
                <w:szCs w:val="21"/>
              </w:rPr>
              <w:t>龙岱河</w:t>
            </w:r>
          </w:p>
        </w:tc>
        <w:tc>
          <w:tcPr>
            <w:tcW w:w="3261" w:type="dxa"/>
            <w:vAlign w:val="center"/>
          </w:tcPr>
          <w:p>
            <w:pPr>
              <w:overflowPunct w:val="0"/>
              <w:ind w:firstLine="560"/>
              <w:jc w:val="center"/>
              <w:rPr>
                <w:szCs w:val="21"/>
              </w:rPr>
            </w:pPr>
            <w:r>
              <w:rPr>
                <w:szCs w:val="21"/>
              </w:rPr>
              <w:t>34.65</w:t>
            </w:r>
          </w:p>
        </w:tc>
        <w:tc>
          <w:tcPr>
            <w:tcW w:w="4515" w:type="dxa"/>
            <w:vAlign w:val="center"/>
          </w:tcPr>
          <w:p>
            <w:pPr>
              <w:overflowPunct w:val="0"/>
              <w:ind w:firstLine="560"/>
              <w:jc w:val="center"/>
              <w:rPr>
                <w:szCs w:val="21"/>
              </w:rPr>
            </w:pPr>
            <w:r>
              <w:rPr>
                <w:szCs w:val="21"/>
              </w:rPr>
              <w:t>415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50" w:type="dxa"/>
            <w:vAlign w:val="center"/>
          </w:tcPr>
          <w:p>
            <w:pPr>
              <w:overflowPunct w:val="0"/>
              <w:ind w:firstLine="560"/>
              <w:jc w:val="center"/>
              <w:rPr>
                <w:szCs w:val="21"/>
              </w:rPr>
            </w:pPr>
            <w:r>
              <w:rPr>
                <w:szCs w:val="21"/>
              </w:rPr>
              <w:t>萧濉新河</w:t>
            </w:r>
          </w:p>
        </w:tc>
        <w:tc>
          <w:tcPr>
            <w:tcW w:w="3261" w:type="dxa"/>
            <w:vAlign w:val="center"/>
          </w:tcPr>
          <w:p>
            <w:pPr>
              <w:overflowPunct w:val="0"/>
              <w:ind w:firstLine="560"/>
              <w:jc w:val="center"/>
              <w:rPr>
                <w:szCs w:val="21"/>
              </w:rPr>
            </w:pPr>
            <w:r>
              <w:rPr>
                <w:szCs w:val="21"/>
              </w:rPr>
              <w:t>37.73</w:t>
            </w:r>
          </w:p>
        </w:tc>
        <w:tc>
          <w:tcPr>
            <w:tcW w:w="4515" w:type="dxa"/>
            <w:vAlign w:val="center"/>
          </w:tcPr>
          <w:p>
            <w:pPr>
              <w:overflowPunct w:val="0"/>
              <w:ind w:firstLine="560"/>
              <w:jc w:val="center"/>
              <w:rPr>
                <w:szCs w:val="21"/>
              </w:rPr>
            </w:pPr>
            <w:r>
              <w:rPr>
                <w:szCs w:val="21"/>
              </w:rPr>
              <w:t>2626</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50" w:type="dxa"/>
            <w:vAlign w:val="center"/>
          </w:tcPr>
          <w:p>
            <w:pPr>
              <w:overflowPunct w:val="0"/>
              <w:ind w:firstLine="560"/>
              <w:jc w:val="center"/>
              <w:rPr>
                <w:szCs w:val="21"/>
              </w:rPr>
            </w:pPr>
            <w:r>
              <w:rPr>
                <w:szCs w:val="21"/>
              </w:rPr>
              <w:t>岱河</w:t>
            </w:r>
          </w:p>
        </w:tc>
        <w:tc>
          <w:tcPr>
            <w:tcW w:w="3261" w:type="dxa"/>
            <w:vAlign w:val="center"/>
          </w:tcPr>
          <w:p>
            <w:pPr>
              <w:overflowPunct w:val="0"/>
              <w:ind w:firstLine="560"/>
              <w:jc w:val="center"/>
              <w:rPr>
                <w:szCs w:val="21"/>
              </w:rPr>
            </w:pPr>
            <w:r>
              <w:rPr>
                <w:szCs w:val="21"/>
              </w:rPr>
              <w:t>17.9</w:t>
            </w:r>
          </w:p>
        </w:tc>
        <w:tc>
          <w:tcPr>
            <w:tcW w:w="4515" w:type="dxa"/>
            <w:vAlign w:val="center"/>
          </w:tcPr>
          <w:p>
            <w:pPr>
              <w:overflowPunct w:val="0"/>
              <w:ind w:firstLine="560"/>
              <w:jc w:val="center"/>
              <w:rPr>
                <w:szCs w:val="21"/>
              </w:rPr>
            </w:pPr>
            <w:r>
              <w:rPr>
                <w:szCs w:val="21"/>
              </w:rPr>
              <w:t>105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50" w:type="dxa"/>
            <w:vAlign w:val="center"/>
          </w:tcPr>
          <w:p>
            <w:pPr>
              <w:overflowPunct w:val="0"/>
              <w:ind w:firstLine="560"/>
              <w:jc w:val="center"/>
              <w:rPr>
                <w:szCs w:val="21"/>
              </w:rPr>
            </w:pPr>
            <w:r>
              <w:rPr>
                <w:szCs w:val="21"/>
              </w:rPr>
              <w:t>闸河</w:t>
            </w:r>
          </w:p>
        </w:tc>
        <w:tc>
          <w:tcPr>
            <w:tcW w:w="3261" w:type="dxa"/>
            <w:vAlign w:val="center"/>
          </w:tcPr>
          <w:p>
            <w:pPr>
              <w:overflowPunct w:val="0"/>
              <w:ind w:firstLine="560"/>
              <w:jc w:val="center"/>
              <w:rPr>
                <w:szCs w:val="21"/>
              </w:rPr>
            </w:pPr>
            <w:r>
              <w:rPr>
                <w:szCs w:val="21"/>
              </w:rPr>
              <w:t>72.4</w:t>
            </w:r>
          </w:p>
        </w:tc>
        <w:tc>
          <w:tcPr>
            <w:tcW w:w="4515" w:type="dxa"/>
            <w:vAlign w:val="center"/>
          </w:tcPr>
          <w:p>
            <w:pPr>
              <w:overflowPunct w:val="0"/>
              <w:ind w:firstLine="560"/>
              <w:jc w:val="center"/>
              <w:rPr>
                <w:szCs w:val="21"/>
              </w:rPr>
            </w:pPr>
            <w:r>
              <w:rPr>
                <w:szCs w:val="21"/>
              </w:rPr>
              <w:t>466</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50" w:type="dxa"/>
            <w:vAlign w:val="center"/>
          </w:tcPr>
          <w:p>
            <w:pPr>
              <w:overflowPunct w:val="0"/>
              <w:ind w:firstLine="560"/>
              <w:jc w:val="center"/>
              <w:rPr>
                <w:szCs w:val="21"/>
              </w:rPr>
            </w:pPr>
            <w:r>
              <w:rPr>
                <w:szCs w:val="21"/>
              </w:rPr>
              <w:t>王引河</w:t>
            </w:r>
          </w:p>
        </w:tc>
        <w:tc>
          <w:tcPr>
            <w:tcW w:w="3261" w:type="dxa"/>
            <w:vAlign w:val="center"/>
          </w:tcPr>
          <w:p>
            <w:pPr>
              <w:overflowPunct w:val="0"/>
              <w:ind w:firstLine="560"/>
              <w:jc w:val="center"/>
              <w:rPr>
                <w:szCs w:val="21"/>
              </w:rPr>
            </w:pPr>
            <w:r>
              <w:rPr>
                <w:szCs w:val="21"/>
              </w:rPr>
              <w:t>43</w:t>
            </w:r>
          </w:p>
        </w:tc>
        <w:tc>
          <w:tcPr>
            <w:tcW w:w="4515" w:type="dxa"/>
            <w:vAlign w:val="center"/>
          </w:tcPr>
          <w:p>
            <w:pPr>
              <w:overflowPunct w:val="0"/>
              <w:ind w:firstLine="560"/>
              <w:jc w:val="center"/>
              <w:rPr>
                <w:szCs w:val="21"/>
              </w:rPr>
            </w:pPr>
            <w:r>
              <w:rPr>
                <w:szCs w:val="21"/>
              </w:rPr>
              <w:t>1112.9</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550" w:type="dxa"/>
            <w:vAlign w:val="center"/>
          </w:tcPr>
          <w:p>
            <w:pPr>
              <w:overflowPunct w:val="0"/>
              <w:ind w:firstLine="560"/>
              <w:jc w:val="center"/>
              <w:rPr>
                <w:szCs w:val="21"/>
              </w:rPr>
            </w:pPr>
            <w:r>
              <w:rPr>
                <w:rFonts w:hint="eastAsia"/>
                <w:szCs w:val="21"/>
              </w:rPr>
              <w:t>老濉河</w:t>
            </w:r>
          </w:p>
        </w:tc>
        <w:tc>
          <w:tcPr>
            <w:tcW w:w="3261" w:type="dxa"/>
            <w:vAlign w:val="center"/>
          </w:tcPr>
          <w:p>
            <w:pPr>
              <w:overflowPunct w:val="0"/>
              <w:ind w:firstLine="560"/>
              <w:jc w:val="center"/>
              <w:rPr>
                <w:szCs w:val="21"/>
              </w:rPr>
            </w:pPr>
            <w:r>
              <w:rPr>
                <w:rFonts w:hint="eastAsia"/>
                <w:szCs w:val="21"/>
              </w:rPr>
              <w:t>10.6</w:t>
            </w:r>
          </w:p>
        </w:tc>
        <w:tc>
          <w:tcPr>
            <w:tcW w:w="4515" w:type="dxa"/>
            <w:vAlign w:val="center"/>
          </w:tcPr>
          <w:p>
            <w:pPr>
              <w:overflowPunct w:val="0"/>
              <w:ind w:firstLine="560"/>
              <w:jc w:val="center"/>
              <w:rPr>
                <w:szCs w:val="21"/>
              </w:rPr>
            </w:pPr>
            <w:r>
              <w:rPr>
                <w:rFonts w:hint="eastAsia"/>
                <w:szCs w:val="21"/>
              </w:rPr>
              <w:t>53.9</w:t>
            </w:r>
          </w:p>
        </w:tc>
      </w:tr>
    </w:tbl>
    <w:p>
      <w:pPr>
        <w:pStyle w:val="16"/>
        <w:spacing w:line="360" w:lineRule="auto"/>
        <w:ind w:firstLine="560"/>
        <w:jc w:val="center"/>
        <w:rPr>
          <w:rFonts w:cs="Times New Roman"/>
        </w:rPr>
      </w:pPr>
    </w:p>
    <w:p>
      <w:pPr>
        <w:pStyle w:val="16"/>
        <w:spacing w:line="360" w:lineRule="auto"/>
        <w:ind w:firstLine="560"/>
        <w:rPr>
          <w:rFonts w:cs="Times New Roman"/>
        </w:rPr>
      </w:pPr>
      <w:r>
        <w:rPr>
          <w:rFonts w:hint="eastAsia" w:cs="Times New Roman"/>
        </w:rPr>
        <w:t>二、湖泊</w:t>
      </w:r>
    </w:p>
    <w:p>
      <w:pPr>
        <w:pStyle w:val="16"/>
        <w:spacing w:line="360" w:lineRule="auto"/>
        <w:ind w:firstLine="560"/>
        <w:rPr>
          <w:rFonts w:cs="Times New Roman"/>
        </w:rPr>
      </w:pPr>
      <w:r>
        <w:rPr>
          <w:rFonts w:hint="eastAsia" w:cs="Times New Roman"/>
        </w:rPr>
        <w:t>淮北市是一座以煤炭开采为支柱工业的城市，开采后的区域地表下沉，形成塌陷区，雨季雨水在此蓄积，形成湖泊。根据《淮北市城市生态水景规划》，淮北市将拥有五座较大规模的湖泊，即东湖、南湖、中湖、乾隆湖以及北湖，水域总面积可达</w:t>
      </w:r>
      <w:r>
        <w:rPr>
          <w:rFonts w:cs="Times New Roman"/>
        </w:rPr>
        <w:t>22.31km</w:t>
      </w:r>
      <w:r>
        <w:rPr>
          <w:rFonts w:cs="Times New Roman"/>
          <w:vertAlign w:val="superscript"/>
        </w:rPr>
        <w:t>2</w:t>
      </w:r>
      <w:r>
        <w:rPr>
          <w:rFonts w:hint="eastAsia" w:cs="Times New Roman"/>
        </w:rPr>
        <w:t>，目前，北湖尚未塌陷形成湖泊，其他塌陷区虽未完全塌陷，但已形成一定规模的水域。</w:t>
      </w:r>
    </w:p>
    <w:p>
      <w:pPr>
        <w:pStyle w:val="16"/>
        <w:spacing w:line="360" w:lineRule="auto"/>
        <w:ind w:firstLine="560"/>
        <w:rPr>
          <w:rFonts w:cs="Times New Roman"/>
        </w:rPr>
      </w:pPr>
      <w:r>
        <w:drawing>
          <wp:inline distT="0" distB="0" distL="0" distR="0">
            <wp:extent cx="6360160" cy="2306320"/>
            <wp:effectExtent l="19050" t="0" r="2540" b="0"/>
            <wp:docPr id="4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9"/>
                    <pic:cNvPicPr>
                      <a:picLocks noChangeAspect="1" noChangeArrowheads="1"/>
                    </pic:cNvPicPr>
                  </pic:nvPicPr>
                  <pic:blipFill>
                    <a:blip r:embed="rId23"/>
                    <a:srcRect/>
                    <a:stretch>
                      <a:fillRect/>
                    </a:stretch>
                  </pic:blipFill>
                  <pic:spPr>
                    <a:xfrm>
                      <a:off x="0" y="0"/>
                      <a:ext cx="6360160" cy="2306320"/>
                    </a:xfrm>
                    <a:prstGeom prst="rect">
                      <a:avLst/>
                    </a:prstGeom>
                    <a:noFill/>
                    <a:ln w="9525">
                      <a:noFill/>
                      <a:miter lim="800000"/>
                      <a:headEnd/>
                      <a:tailEnd/>
                    </a:ln>
                  </pic:spPr>
                </pic:pic>
              </a:graphicData>
            </a:graphic>
          </wp:inline>
        </w:drawing>
      </w:r>
    </w:p>
    <w:p>
      <w:pPr>
        <w:pStyle w:val="16"/>
        <w:spacing w:line="360" w:lineRule="auto"/>
        <w:ind w:firstLine="2940" w:firstLineChars="1050"/>
        <w:rPr>
          <w:rFonts w:cs="Times New Roman"/>
        </w:rPr>
      </w:pPr>
      <w:r>
        <w:rPr>
          <w:rFonts w:hint="eastAsia" w:cs="Times New Roman"/>
        </w:rPr>
        <w:t>南湖                                                       东湖</w:t>
      </w:r>
    </w:p>
    <w:p>
      <w:pPr>
        <w:pStyle w:val="16"/>
        <w:spacing w:line="360" w:lineRule="auto"/>
        <w:ind w:firstLine="560"/>
        <w:rPr>
          <w:rFonts w:cs="Times New Roman"/>
        </w:rPr>
      </w:pPr>
      <w:r>
        <w:rPr>
          <w:rFonts w:hint="eastAsia" w:cs="Times New Roman"/>
        </w:rPr>
        <w:t>淮北市五大湖泊的共同特点是：位于周边城区的低洼区、与周边河流连通、水域面积较大、具有潜在的水体调蓄能力。淮北市北部为山区，地面坡度大，汇流速度快，而城区段河道及地面坡度相对平缓，汛期暴雨洪水在城区段易形成量大，缓峰、历时长为特点的洪水过程；受外河干流持续高水位的顶托，城区雨水难以下泄，低洼区往往容易形成内涝。同时，城区过境河道境外汇水面积大，也对城区段河道的过流能力形成较大的压力。面对淮北市城区汛期雨水工程的复杂性，原本可以起到错峰避洪作用的五大湖泊，因为处在城区郊外，缺乏统一的监测管理，所以迟迟未受到应有的利用和开发。</w:t>
      </w:r>
    </w:p>
    <w:p>
      <w:pPr>
        <w:pStyle w:val="16"/>
        <w:spacing w:line="360" w:lineRule="auto"/>
        <w:ind w:firstLine="560"/>
        <w:jc w:val="center"/>
        <w:rPr>
          <w:rFonts w:cs="Times New Roman"/>
        </w:rPr>
      </w:pPr>
      <w:r>
        <w:rPr>
          <w:rFonts w:hint="eastAsia"/>
        </w:rPr>
        <w:drawing>
          <wp:inline distT="0" distB="0" distL="0" distR="0">
            <wp:extent cx="5878830" cy="4999355"/>
            <wp:effectExtent l="19050" t="0" r="7126" b="0"/>
            <wp:docPr id="4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2"/>
                    <pic:cNvPicPr>
                      <a:picLocks noChangeAspect="1" noChangeArrowheads="1"/>
                    </pic:cNvPicPr>
                  </pic:nvPicPr>
                  <pic:blipFill>
                    <a:blip r:embed="rId24"/>
                    <a:srcRect/>
                    <a:stretch>
                      <a:fillRect/>
                    </a:stretch>
                  </pic:blipFill>
                  <pic:spPr>
                    <a:xfrm>
                      <a:off x="0" y="0"/>
                      <a:ext cx="5884057" cy="5004014"/>
                    </a:xfrm>
                    <a:prstGeom prst="rect">
                      <a:avLst/>
                    </a:prstGeom>
                    <a:noFill/>
                    <a:ln w="9525">
                      <a:noFill/>
                      <a:miter lim="800000"/>
                      <a:headEnd/>
                      <a:tailEnd/>
                    </a:ln>
                  </pic:spPr>
                </pic:pic>
              </a:graphicData>
            </a:graphic>
          </wp:inline>
        </w:drawing>
      </w:r>
    </w:p>
    <w:p>
      <w:pPr>
        <w:spacing w:line="360" w:lineRule="auto"/>
        <w:ind w:firstLine="482"/>
        <w:jc w:val="center"/>
        <w:rPr>
          <w:b/>
          <w:sz w:val="24"/>
        </w:rPr>
      </w:pPr>
      <w:r>
        <w:rPr>
          <w:b/>
          <w:sz w:val="24"/>
        </w:rPr>
        <w:t>淮北市主要水系图</w:t>
      </w:r>
    </w:p>
    <w:p>
      <w:pPr>
        <w:pStyle w:val="16"/>
        <w:spacing w:line="360" w:lineRule="auto"/>
        <w:ind w:firstLine="560"/>
        <w:rPr>
          <w:rFonts w:cs="Times New Roman"/>
        </w:rPr>
      </w:pPr>
      <w:r>
        <w:rPr>
          <w:rFonts w:hint="eastAsia" w:cs="Times New Roman"/>
        </w:rPr>
        <w:t>（</w:t>
      </w:r>
      <w:r>
        <w:rPr>
          <w:rFonts w:cs="Times New Roman"/>
        </w:rPr>
        <w:t>5</w:t>
      </w:r>
      <w:r>
        <w:rPr>
          <w:rFonts w:hint="eastAsia" w:cs="Times New Roman"/>
        </w:rPr>
        <w:t>）地震灾害</w:t>
      </w:r>
    </w:p>
    <w:p>
      <w:pPr>
        <w:pStyle w:val="16"/>
        <w:spacing w:line="360" w:lineRule="auto"/>
        <w:ind w:firstLine="560"/>
        <w:rPr>
          <w:rFonts w:cs="Times New Roman"/>
        </w:rPr>
      </w:pPr>
      <w:r>
        <w:rPr>
          <w:rFonts w:hint="eastAsia" w:cs="Times New Roman"/>
        </w:rPr>
        <w:t>我省淮北北部大部分地区属地震相对稳定区。根据近期地震资料分析，主要以震级小于</w:t>
      </w:r>
      <w:r>
        <w:rPr>
          <w:rFonts w:cs="Times New Roman"/>
        </w:rPr>
        <w:t xml:space="preserve">4.0 </w:t>
      </w:r>
      <w:r>
        <w:rPr>
          <w:rFonts w:hint="eastAsia" w:cs="Times New Roman"/>
        </w:rPr>
        <w:t>级的弱震和微震为主。发震位置主要分布在淮北市以南的涡阳县、濉溪县临涣、淮北大店及灵璧县附近，以及北部萧县以北一带。据</w:t>
      </w:r>
      <w:r>
        <w:rPr>
          <w:rFonts w:cs="Times New Roman"/>
        </w:rPr>
        <w:t>2001</w:t>
      </w:r>
      <w:r>
        <w:rPr>
          <w:rFonts w:hint="eastAsia" w:cs="Times New Roman"/>
        </w:rPr>
        <w:t>年出版的《中国地震动参数区划图（</w:t>
      </w:r>
      <w:r>
        <w:rPr>
          <w:rFonts w:cs="Times New Roman"/>
        </w:rPr>
        <w:t>1</w:t>
      </w:r>
      <w:r>
        <w:rPr>
          <w:rFonts w:hint="eastAsia" w:cs="Times New Roman"/>
        </w:rPr>
        <w:t>∶</w:t>
      </w:r>
      <w:r>
        <w:rPr>
          <w:rFonts w:cs="Times New Roman"/>
        </w:rPr>
        <w:t xml:space="preserve">400 </w:t>
      </w:r>
      <w:r>
        <w:rPr>
          <w:rFonts w:hint="eastAsia" w:cs="Times New Roman"/>
        </w:rPr>
        <w:t>万）》，工程区地震动峰值加速度为</w:t>
      </w:r>
      <w:r>
        <w:rPr>
          <w:rFonts w:cs="Times New Roman"/>
        </w:rPr>
        <w:t>0.05g</w:t>
      </w:r>
      <w:r>
        <w:rPr>
          <w:rFonts w:hint="eastAsia" w:cs="Times New Roman"/>
        </w:rPr>
        <w:t>（相当于原地震基本烈度Ⅵ度），地震动反应谱特征周期为</w:t>
      </w:r>
      <w:r>
        <w:rPr>
          <w:rFonts w:cs="Times New Roman"/>
        </w:rPr>
        <w:t>0.45s</w:t>
      </w:r>
      <w:r>
        <w:rPr>
          <w:rFonts w:hint="eastAsia" w:cs="Times New Roman"/>
        </w:rPr>
        <w:t>。淮北市位于我国大地构造分区相对较稳定的地块，无大构造断裂带。近千年来，从未发生过中强度地震。历代所遇到的小震大都是由山东、苏北、河南等地区波及传来。地震按基本烈度</w:t>
      </w:r>
      <w:r>
        <w:rPr>
          <w:rFonts w:cs="Times New Roman"/>
        </w:rPr>
        <w:t xml:space="preserve">6 </w:t>
      </w:r>
      <w:r>
        <w:rPr>
          <w:rFonts w:hint="eastAsia" w:cs="Times New Roman"/>
        </w:rPr>
        <w:t>度设防。</w:t>
      </w:r>
    </w:p>
    <w:p>
      <w:pPr>
        <w:pStyle w:val="4"/>
      </w:pPr>
      <w:bookmarkStart w:id="6" w:name="_Toc8032466"/>
      <w:r>
        <w:t xml:space="preserve">1.1.4  </w:t>
      </w:r>
      <w:r>
        <w:rPr>
          <w:rFonts w:hint="eastAsia"/>
        </w:rPr>
        <w:t>社会经济发展概况</w:t>
      </w:r>
      <w:bookmarkEnd w:id="6"/>
    </w:p>
    <w:p>
      <w:pPr>
        <w:pStyle w:val="16"/>
        <w:spacing w:line="360" w:lineRule="auto"/>
        <w:ind w:firstLine="560"/>
        <w:rPr>
          <w:rFonts w:cs="Times New Roman"/>
        </w:rPr>
      </w:pPr>
      <w:r>
        <w:rPr>
          <w:rFonts w:hint="eastAsia" w:cs="Times New Roman"/>
        </w:rPr>
        <w:t>淮北市资源富集、景观美丽，矿产丰富、品种繁多，其中以煤为最，远景储量</w:t>
      </w:r>
      <w:r>
        <w:rPr>
          <w:rFonts w:cs="Times New Roman"/>
        </w:rPr>
        <w:t>350</w:t>
      </w:r>
      <w:r>
        <w:rPr>
          <w:rFonts w:hint="eastAsia" w:cs="Times New Roman"/>
        </w:rPr>
        <w:t>亿吨，工业储量</w:t>
      </w:r>
      <w:r>
        <w:rPr>
          <w:rFonts w:cs="Times New Roman"/>
        </w:rPr>
        <w:t>80</w:t>
      </w:r>
      <w:r>
        <w:rPr>
          <w:rFonts w:hint="eastAsia" w:cs="Times New Roman"/>
        </w:rPr>
        <w:t>亿吨；气候宜人、光照充足，是国家和安徽省重要的粮、棉、畜禽、蚕桑等农副产品生产基地。</w:t>
      </w:r>
    </w:p>
    <w:p>
      <w:pPr>
        <w:pStyle w:val="16"/>
        <w:spacing w:line="360" w:lineRule="auto"/>
        <w:ind w:firstLine="560"/>
        <w:rPr>
          <w:rFonts w:cs="Times New Roman"/>
        </w:rPr>
      </w:pPr>
      <w:r>
        <w:rPr>
          <w:rFonts w:hint="eastAsia" w:cs="Times New Roman"/>
        </w:rPr>
        <w:t>淮北市建市初期是以煤炭为主，</w:t>
      </w:r>
      <w:r>
        <w:rPr>
          <w:rFonts w:cs="Times New Roman"/>
        </w:rPr>
        <w:t xml:space="preserve">70 </w:t>
      </w:r>
      <w:r>
        <w:rPr>
          <w:rFonts w:hint="eastAsia" w:cs="Times New Roman"/>
        </w:rPr>
        <w:t>年代后由单一的煤炭城市，逐步发展为以煤炭、电力、纺织、酿酒为主，轻工、建材、化工、冶金、机械、电子、医药等工业行业共同协调发展的能源基地，是苏、鲁、豫、皖四省交界地区的商务、流通中心和陇海—兰新经济带重要的工业城市。</w:t>
      </w:r>
    </w:p>
    <w:p>
      <w:pPr>
        <w:pStyle w:val="16"/>
        <w:spacing w:line="360" w:lineRule="auto"/>
        <w:ind w:firstLine="560"/>
        <w:rPr>
          <w:rFonts w:cs="Times New Roman"/>
        </w:rPr>
      </w:pPr>
      <w:r>
        <w:rPr>
          <w:rFonts w:hint="eastAsia" w:cs="Times New Roman"/>
        </w:rPr>
        <w:t>近年来淮北市城市基础设施不断完善，按照城市总体规划，已经编制完成了淮北市天然气利用规划、公交规划、供热规划、供水规划、排水规划、排水防涝规划、绿地系统规划、海绵城市规划等专项规划。淮北的城市功能进一步提升。</w:t>
      </w:r>
    </w:p>
    <w:p>
      <w:pPr>
        <w:pStyle w:val="16"/>
        <w:spacing w:line="360" w:lineRule="auto"/>
        <w:ind w:firstLine="560"/>
        <w:rPr>
          <w:rFonts w:cs="Times New Roman"/>
        </w:rPr>
      </w:pPr>
      <w:r>
        <w:rPr>
          <w:rFonts w:hint="eastAsia" w:cs="Times New Roman"/>
        </w:rPr>
        <w:t>淮北市投资成本较低、环境优越。全市现有</w:t>
      </w:r>
      <w:r>
        <w:rPr>
          <w:rFonts w:cs="Times New Roman"/>
        </w:rPr>
        <w:t xml:space="preserve">6 </w:t>
      </w:r>
      <w:r>
        <w:rPr>
          <w:rFonts w:hint="eastAsia" w:cs="Times New Roman"/>
        </w:rPr>
        <w:t>个经济开发区和工业园区，总投资近</w:t>
      </w:r>
      <w:r>
        <w:rPr>
          <w:rFonts w:cs="Times New Roman"/>
        </w:rPr>
        <w:t xml:space="preserve">200 </w:t>
      </w:r>
      <w:r>
        <w:rPr>
          <w:rFonts w:hint="eastAsia" w:cs="Times New Roman"/>
        </w:rPr>
        <w:t>亿元的市开发区南部新区正在建设，为企业发展搭建了坚实平台；</w:t>
      </w:r>
      <w:r>
        <w:rPr>
          <w:rFonts w:cs="Times New Roman"/>
        </w:rPr>
        <w:t>20</w:t>
      </w:r>
      <w:r>
        <w:rPr>
          <w:rFonts w:hint="eastAsia" w:cs="Times New Roman"/>
        </w:rPr>
        <w:t>多万工程技术人员和技术熟练的产业工人，为企业用人提供可靠保证。良好的投资环境吸引了一批批外商纷至沓来，香港华润、深圳华孚、浙江维科、盐城新光、山河智能等一批大企业、大集团相继入驻，为淮北的跨越式发展提供了强大的动力。</w:t>
      </w:r>
    </w:p>
    <w:p>
      <w:pPr>
        <w:pStyle w:val="16"/>
        <w:spacing w:line="360" w:lineRule="auto"/>
        <w:ind w:firstLine="560"/>
      </w:pPr>
      <w:r>
        <w:rPr>
          <w:rFonts w:hint="eastAsia"/>
        </w:rPr>
        <w:t>2017年全市实现地区生产总值（GDP）929.0亿元，按可比价格计算，比上年增长7.6%。其中第一产业增加值64亿元，增长3.8%；第二产业增加值547.3亿元，增长8.6%，第三产业增加值317.7亿元，增长6.9%。三次产业结构6.9:58.9:34.2，与上年相比，第一产业比重下降0.8个百分点，第三产业比重下降1.4个百分点，第二产业比重提高2.2个百分点。人均生产总值41885元，比上年增加5458元，按可比价格计算，增长6.4%；按年均汇率折算为6204美元。</w:t>
      </w:r>
    </w:p>
    <w:p>
      <w:pPr>
        <w:pStyle w:val="16"/>
        <w:spacing w:line="360" w:lineRule="auto"/>
        <w:ind w:firstLine="560"/>
      </w:pPr>
      <w:r>
        <w:rPr>
          <w:rFonts w:hint="eastAsia"/>
        </w:rPr>
        <w:t>全年新增城镇就业岗位4.8万个，10126名下岗失业人员实现再就业,全年城镇登记失业率控制在2.6%。年末全市从业人员120万人，比上年增加1.5万人。其中，第一产业从业人员38万人，比上年减少0.1万人；第二产业从业人员37.5万人，比上年增加0.5万人；第三产业从业人员44.5万人，比上年增加1.1万人。全年新增私营企业4931户，新增注册资金376.6亿元；新增个体工商户16231户，新增个体从业人员36359人。年末全市实有个体工商户111262户，个体从业人员33.5万人；实有私营企业21599家，注册资金1387.1亿元。</w:t>
      </w:r>
    </w:p>
    <w:p>
      <w:pPr>
        <w:pStyle w:val="16"/>
        <w:spacing w:line="360" w:lineRule="auto"/>
        <w:ind w:firstLine="560"/>
      </w:pPr>
      <w:r>
        <w:rPr>
          <w:rFonts w:hint="eastAsia"/>
        </w:rPr>
        <w:t>由以上数据可以看出，近年来淮北市的经济增长保持了较高的速度，但仍然面临着经济与产业结构较为单一的不利情况。淮北市产业结构单一，以煤炭、电力为主的能源工业占工业经济比重的</w:t>
      </w:r>
      <w:r>
        <w:t>60%</w:t>
      </w:r>
      <w:r>
        <w:rPr>
          <w:rFonts w:hint="eastAsia"/>
        </w:rPr>
        <w:t>以上，其他产业的发展均相对滞后，这是导致淮北城市综合功能较为薄弱，对周围地区的辐射和带动作用较低，难以发挥区域性中心城市功能的重要因素之一。</w:t>
      </w:r>
    </w:p>
    <w:p>
      <w:pPr>
        <w:pStyle w:val="16"/>
        <w:spacing w:line="360" w:lineRule="auto"/>
        <w:ind w:firstLine="560"/>
      </w:pPr>
      <w:r>
        <w:rPr>
          <w:rFonts w:hint="eastAsia"/>
        </w:rPr>
        <w:t>此外，淮北市轻、重工业之比为</w:t>
      </w:r>
      <w:r>
        <w:t>30</w:t>
      </w:r>
      <w:r>
        <w:rPr>
          <w:rFonts w:hint="eastAsia"/>
        </w:rPr>
        <w:t>：</w:t>
      </w:r>
      <w:r>
        <w:t>70</w:t>
      </w:r>
      <w:r>
        <w:rPr>
          <w:rFonts w:hint="eastAsia"/>
        </w:rPr>
        <w:t>，比例失衡。而在重工业中，以原材料为主的基础产业所占比重较高，从原料到成品产业链条短，严重制约了煤炭、电力等产业的深层次发展，进而影响产业结构的优化，这使得淮北丰富的资源优势并未能及时转化为产业优势和经济发展优势。</w:t>
      </w:r>
    </w:p>
    <w:p>
      <w:pPr>
        <w:pStyle w:val="16"/>
        <w:spacing w:line="360" w:lineRule="auto"/>
        <w:ind w:firstLine="560"/>
      </w:pPr>
      <w:r>
        <w:rPr>
          <w:rFonts w:hint="eastAsia"/>
        </w:rPr>
        <w:t>因此，在加快淮北市经济增长，增大经济规模的同时，也要对经济结构进行一定的调整，保持现有“二三一”的产业结构比例，同时力争扩大第三产业的比重。</w:t>
      </w:r>
    </w:p>
    <w:p>
      <w:pPr>
        <w:pStyle w:val="3"/>
        <w:spacing w:before="120" w:after="60" w:line="360" w:lineRule="auto"/>
        <w:ind w:firstLine="602"/>
        <w:rPr>
          <w:rFonts w:ascii="Times New Roman" w:hAnsi="Times New Roman"/>
        </w:rPr>
      </w:pPr>
      <w:bookmarkStart w:id="7" w:name="_Toc8032467"/>
      <w:r>
        <w:rPr>
          <w:rFonts w:ascii="Times New Roman" w:hAnsi="Times New Roman"/>
        </w:rPr>
        <w:t>1.2</w:t>
      </w:r>
      <w:r>
        <w:rPr>
          <w:rFonts w:hint="eastAsia" w:ascii="Times New Roman" w:hAnsi="Times New Roman"/>
        </w:rPr>
        <w:t xml:space="preserve">  </w:t>
      </w:r>
      <w:r>
        <w:rPr>
          <w:rFonts w:ascii="Times New Roman" w:hAnsi="Times New Roman"/>
        </w:rPr>
        <w:t>城市总体规划概况</w:t>
      </w:r>
      <w:bookmarkEnd w:id="7"/>
    </w:p>
    <w:p>
      <w:pPr>
        <w:pStyle w:val="4"/>
      </w:pPr>
      <w:bookmarkStart w:id="8" w:name="_Toc358070339"/>
      <w:bookmarkStart w:id="9" w:name="_Toc8032468"/>
      <w:bookmarkStart w:id="10" w:name="_Toc423375108"/>
      <w:r>
        <w:t>1.2.1 淮北市城市总体规划概况</w:t>
      </w:r>
      <w:bookmarkEnd w:id="8"/>
      <w:bookmarkEnd w:id="9"/>
      <w:bookmarkEnd w:id="10"/>
    </w:p>
    <w:p>
      <w:pPr>
        <w:pStyle w:val="5"/>
        <w:spacing w:before="120"/>
      </w:pPr>
      <w:bookmarkStart w:id="11" w:name="_Toc8032469"/>
      <w:r>
        <w:t>1.2.1.1 规划期限</w:t>
      </w:r>
      <w:bookmarkEnd w:id="11"/>
    </w:p>
    <w:p>
      <w:pPr>
        <w:pStyle w:val="16"/>
        <w:spacing w:line="360" w:lineRule="auto"/>
        <w:ind w:firstLine="560"/>
        <w:rPr>
          <w:rFonts w:cs="Times New Roman"/>
        </w:rPr>
      </w:pPr>
      <w:r>
        <w:rPr>
          <w:rFonts w:cs="Times New Roman"/>
        </w:rPr>
        <w:t>近期：201</w:t>
      </w:r>
      <w:r>
        <w:rPr>
          <w:rFonts w:hint="eastAsia" w:cs="Times New Roman"/>
        </w:rPr>
        <w:t>6</w:t>
      </w:r>
      <w:r>
        <w:rPr>
          <w:rFonts w:cs="Times New Roman"/>
        </w:rPr>
        <w:t>-2020年；</w:t>
      </w:r>
    </w:p>
    <w:p>
      <w:pPr>
        <w:pStyle w:val="16"/>
        <w:spacing w:line="360" w:lineRule="auto"/>
        <w:ind w:firstLine="560"/>
        <w:rPr>
          <w:rFonts w:cs="Times New Roman"/>
        </w:rPr>
      </w:pPr>
      <w:r>
        <w:rPr>
          <w:rFonts w:cs="Times New Roman"/>
        </w:rPr>
        <w:t>远期：202</w:t>
      </w:r>
      <w:r>
        <w:rPr>
          <w:rFonts w:hint="eastAsia" w:cs="Times New Roman"/>
        </w:rPr>
        <w:t>1</w:t>
      </w:r>
      <w:r>
        <w:rPr>
          <w:rFonts w:cs="Times New Roman"/>
        </w:rPr>
        <w:t>-2035年；</w:t>
      </w:r>
    </w:p>
    <w:p>
      <w:pPr>
        <w:pStyle w:val="16"/>
        <w:spacing w:line="360" w:lineRule="auto"/>
        <w:ind w:firstLine="560"/>
        <w:rPr>
          <w:rFonts w:cs="Times New Roman"/>
        </w:rPr>
      </w:pPr>
      <w:r>
        <w:rPr>
          <w:rFonts w:cs="Times New Roman"/>
        </w:rPr>
        <w:t>远景：2035年以后。</w:t>
      </w:r>
    </w:p>
    <w:p>
      <w:pPr>
        <w:pStyle w:val="5"/>
        <w:spacing w:before="120"/>
        <w:rPr>
          <w:szCs w:val="20"/>
        </w:rPr>
      </w:pPr>
      <w:bookmarkStart w:id="12" w:name="_Toc8032470"/>
      <w:r>
        <w:t>1.2.1.2 规划范围</w:t>
      </w:r>
      <w:bookmarkEnd w:id="12"/>
    </w:p>
    <w:p>
      <w:pPr>
        <w:pStyle w:val="16"/>
        <w:spacing w:line="360" w:lineRule="auto"/>
        <w:ind w:firstLine="560"/>
      </w:pPr>
      <w:r>
        <w:t xml:space="preserve">《淮北市城市总体规划》分为市域、规划区、城市开发边界内三个空间层次。 </w:t>
      </w:r>
    </w:p>
    <w:p>
      <w:pPr>
        <w:pStyle w:val="16"/>
        <w:spacing w:line="360" w:lineRule="auto"/>
        <w:ind w:firstLine="560"/>
      </w:pPr>
      <w:r>
        <w:t>市域：淮北市行政区划范围，包括3个区、1个县和18个镇，总面积2741平方公里。</w:t>
      </w:r>
    </w:p>
    <w:p>
      <w:pPr>
        <w:pStyle w:val="16"/>
        <w:spacing w:line="360" w:lineRule="auto"/>
        <w:ind w:firstLine="560"/>
      </w:pPr>
      <w:r>
        <w:t xml:space="preserve"> 规划区：淮北市下辖相山、杜集、烈山三区行政管辖范围，总面积760平方公里。 </w:t>
      </w:r>
    </w:p>
    <w:p>
      <w:pPr>
        <w:pStyle w:val="16"/>
        <w:spacing w:line="360" w:lineRule="auto"/>
        <w:ind w:firstLine="560"/>
      </w:pPr>
      <w:r>
        <w:t>城市开发边界内：东至东外环路；西至101省道、相凤路、淮海西路、相山区区界；北至北外环路；南至新濉河、五宋路。总面积263.5 平方公里，其中城区城市建设用地130平方公里。</w:t>
      </w:r>
    </w:p>
    <w:p>
      <w:pPr>
        <w:pStyle w:val="5"/>
        <w:spacing w:before="120"/>
      </w:pPr>
      <w:bookmarkStart w:id="13" w:name="_Toc8032471"/>
      <w:r>
        <w:t>1.2.1.3 城市性质</w:t>
      </w:r>
      <w:r>
        <w:rPr>
          <w:rFonts w:hint="eastAsia"/>
        </w:rPr>
        <w:t>和职能</w:t>
      </w:r>
      <w:bookmarkEnd w:id="13"/>
    </w:p>
    <w:p>
      <w:pPr>
        <w:pStyle w:val="16"/>
        <w:spacing w:line="360" w:lineRule="auto"/>
        <w:ind w:firstLine="560"/>
        <w:rPr>
          <w:rFonts w:cs="Times New Roman"/>
        </w:rPr>
      </w:pPr>
      <w:r>
        <w:rPr>
          <w:rFonts w:cs="Times New Roman"/>
        </w:rPr>
        <w:t>淮北</w:t>
      </w:r>
      <w:r>
        <w:rPr>
          <w:rFonts w:hint="eastAsia" w:cs="Times New Roman"/>
        </w:rPr>
        <w:t>市</w:t>
      </w:r>
      <w:r>
        <w:rPr>
          <w:rFonts w:cs="Times New Roman"/>
        </w:rPr>
        <w:t>城市性质</w:t>
      </w:r>
      <w:r>
        <w:rPr>
          <w:rFonts w:hint="eastAsia" w:cs="Times New Roman"/>
        </w:rPr>
        <w:t>：</w:t>
      </w:r>
      <w:r>
        <w:rPr>
          <w:rFonts w:cs="Times New Roman"/>
        </w:rPr>
        <w:t>国家重要能源基地，中部地区新材料产业基地，苏鲁豫皖交汇区域中心城市。</w:t>
      </w:r>
    </w:p>
    <w:p>
      <w:pPr>
        <w:pStyle w:val="16"/>
        <w:spacing w:line="360" w:lineRule="auto"/>
        <w:ind w:firstLine="560"/>
        <w:rPr>
          <w:rFonts w:cs="Times New Roman"/>
        </w:rPr>
      </w:pPr>
      <w:r>
        <w:rPr>
          <w:rFonts w:cs="Times New Roman"/>
        </w:rPr>
        <w:t>淮北</w:t>
      </w:r>
      <w:r>
        <w:rPr>
          <w:rFonts w:hint="eastAsia" w:cs="Times New Roman"/>
        </w:rPr>
        <w:t>市</w:t>
      </w:r>
      <w:r>
        <w:rPr>
          <w:rFonts w:cs="Times New Roman"/>
        </w:rPr>
        <w:t>城市职能</w:t>
      </w:r>
      <w:r>
        <w:rPr>
          <w:rFonts w:hint="eastAsia" w:cs="Times New Roman"/>
        </w:rPr>
        <w:t>：</w:t>
      </w:r>
      <w:r>
        <w:rPr>
          <w:rFonts w:cs="Times New Roman"/>
        </w:rPr>
        <w:t>国家重要能源基地，中原城市群重要节点城市，宿淮城市组群核心城市，安徽省重要的现代煤化工基地和战略性新兴产业基地，苏鲁豫皖四省交汇区域生态旅游和休闲度假中心。</w:t>
      </w:r>
    </w:p>
    <w:p>
      <w:pPr>
        <w:pStyle w:val="5"/>
        <w:spacing w:before="120"/>
      </w:pPr>
      <w:bookmarkStart w:id="14" w:name="_Toc8032472"/>
      <w:r>
        <w:t>1.2.1.4 城市人口规模</w:t>
      </w:r>
      <w:bookmarkEnd w:id="14"/>
    </w:p>
    <w:p>
      <w:pPr>
        <w:pStyle w:val="16"/>
        <w:spacing w:line="360" w:lineRule="auto"/>
        <w:ind w:firstLine="560"/>
        <w:rPr>
          <w:rFonts w:cs="Times New Roman"/>
        </w:rPr>
      </w:pPr>
      <w:r>
        <w:rPr>
          <w:rFonts w:cs="Times New Roman"/>
        </w:rPr>
        <w:t>根据淮北市人口流动、常住人口变化和城镇化发展趋势，以资源和环境承载能力为约束，同时考虑应对包括常住人口、半年以下暂住 人口、短期游客等在内的实际服务人口的需求，预留公共服务设施和基础设施的保障能力。规划到2035年全市常住人口规模控制在260万人以内，城镇人口规模控制在220万人左右，城镇化水平达到85%。其 中：</w:t>
      </w:r>
    </w:p>
    <w:p>
      <w:pPr>
        <w:pStyle w:val="16"/>
        <w:spacing w:line="360" w:lineRule="auto"/>
        <w:ind w:firstLine="560"/>
        <w:rPr>
          <w:rFonts w:cs="Times New Roman"/>
        </w:rPr>
      </w:pPr>
      <w:r>
        <w:rPr>
          <w:rFonts w:cs="Times New Roman"/>
        </w:rPr>
        <w:t xml:space="preserve">淮北城区（城市开发边界内）城市人口130万人； </w:t>
      </w:r>
    </w:p>
    <w:p>
      <w:pPr>
        <w:pStyle w:val="16"/>
        <w:spacing w:line="360" w:lineRule="auto"/>
        <w:ind w:firstLine="560"/>
        <w:rPr>
          <w:rFonts w:cs="Times New Roman"/>
        </w:rPr>
      </w:pPr>
      <w:r>
        <w:rPr>
          <w:rFonts w:cs="Times New Roman"/>
        </w:rPr>
        <w:t>濉溪县城城市人口40万人；</w:t>
      </w:r>
    </w:p>
    <w:p>
      <w:pPr>
        <w:pStyle w:val="16"/>
        <w:spacing w:line="360" w:lineRule="auto"/>
        <w:ind w:firstLine="560"/>
        <w:rPr>
          <w:rFonts w:cs="Times New Roman"/>
        </w:rPr>
      </w:pPr>
      <w:r>
        <w:rPr>
          <w:rFonts w:cs="Times New Roman"/>
        </w:rPr>
        <w:t xml:space="preserve"> 中心镇城镇人口34.5万人； </w:t>
      </w:r>
    </w:p>
    <w:p>
      <w:pPr>
        <w:pStyle w:val="16"/>
        <w:spacing w:line="360" w:lineRule="auto"/>
        <w:ind w:firstLine="560"/>
        <w:rPr>
          <w:rFonts w:cs="Times New Roman"/>
        </w:rPr>
      </w:pPr>
      <w:r>
        <w:rPr>
          <w:rFonts w:cs="Times New Roman"/>
        </w:rPr>
        <w:t>一般镇城镇人口15.5万人。</w:t>
      </w:r>
    </w:p>
    <w:p>
      <w:pPr>
        <w:pStyle w:val="5"/>
        <w:spacing w:before="120"/>
      </w:pPr>
      <w:bookmarkStart w:id="15" w:name="_Toc8032473"/>
      <w:r>
        <w:t>1.2.1.5 城市建设用地规模</w:t>
      </w:r>
      <w:bookmarkEnd w:id="15"/>
    </w:p>
    <w:p>
      <w:pPr>
        <w:pStyle w:val="16"/>
        <w:spacing w:line="360" w:lineRule="auto"/>
        <w:ind w:firstLine="560"/>
        <w:rPr>
          <w:rFonts w:cs="Times New Roman"/>
        </w:rPr>
      </w:pPr>
      <w:r>
        <w:rPr>
          <w:rFonts w:cs="Times New Roman"/>
        </w:rPr>
        <w:t>按照城乡建设用地规模减速增长、用地结构优化、集体建设用地集约高效使用的要求，规划到2035年全市城乡建设用地规模控制在 521.27平方公里以内，包括城镇建设用地279平方公里、独立工矿用 地14平方公里、农村居民点用地228.27平方公里。</w:t>
      </w:r>
    </w:p>
    <w:p>
      <w:pPr>
        <w:pStyle w:val="5"/>
        <w:spacing w:before="120"/>
      </w:pPr>
      <w:bookmarkStart w:id="16" w:name="_Toc8032474"/>
      <w:r>
        <w:rPr>
          <w:rFonts w:hint="eastAsia"/>
        </w:rPr>
        <w:t>1.2.1.6城区（城市开发边界内）规模</w:t>
      </w:r>
      <w:bookmarkEnd w:id="16"/>
    </w:p>
    <w:p>
      <w:pPr>
        <w:pStyle w:val="16"/>
        <w:spacing w:line="360" w:lineRule="auto"/>
        <w:ind w:firstLine="560"/>
      </w:pPr>
      <w:r>
        <w:rPr>
          <w:rFonts w:cs="Times New Roman"/>
        </w:rPr>
        <w:t>规划到2035年，城区（城市开发边界内）城市人口规模为130万人</w:t>
      </w:r>
      <w:bookmarkStart w:id="17" w:name="三、城区（城市开发边界内）空间布局结构"/>
      <w:bookmarkEnd w:id="17"/>
      <w:bookmarkStart w:id="18" w:name="二、城区（城市开发边界内）空间发展策略"/>
      <w:bookmarkEnd w:id="18"/>
      <w:bookmarkStart w:id="19" w:name="_bookmark32"/>
      <w:bookmarkEnd w:id="19"/>
      <w:r>
        <w:rPr>
          <w:rFonts w:cs="Times New Roman"/>
        </w:rPr>
        <w:t>，城市建设用地规模为130平方公里。其中： 近期到2020年，城区（城市开发边界内）城市人口规模为105万</w:t>
      </w:r>
      <w:r>
        <w:t>人，城市建设用地规模为105平方公里。</w:t>
      </w:r>
    </w:p>
    <w:p>
      <w:pPr>
        <w:pStyle w:val="5"/>
        <w:spacing w:before="120"/>
      </w:pPr>
      <w:bookmarkStart w:id="20" w:name="_Toc8032475"/>
      <w:r>
        <w:rPr>
          <w:rFonts w:hint="eastAsia"/>
        </w:rPr>
        <w:t>1.2.1.7</w:t>
      </w:r>
      <w:r>
        <w:t>城区（城市开发边界内）空间发展策略</w:t>
      </w:r>
      <w:bookmarkEnd w:id="20"/>
    </w:p>
    <w:p>
      <w:pPr>
        <w:pStyle w:val="16"/>
        <w:spacing w:line="360" w:lineRule="auto"/>
        <w:ind w:firstLine="560"/>
        <w:rPr>
          <w:rFonts w:cs="Times New Roman"/>
        </w:rPr>
      </w:pPr>
      <w:r>
        <w:rPr>
          <w:rFonts w:cs="Times New Roman"/>
        </w:rPr>
        <w:t>依托相山、龙脊山绿色屏障，聚焦城市“中央湖廊”，城市由“依山建城”迈向“拥湖发展”，拉开城市空间发展框架。 城市用地发展方向：东进、西延、南扩、北调、中优。 东进：沿人民路、沱河路东向推进，开拓城市空间； 西延：沿人民路、沱河路西向延伸，整合城市空间； 南扩：向南有序扩展，完善城市功能； 北调：调整用地功能，提档优化升级； 中优：优化特色空间资源，提升空间环境品质。</w:t>
      </w:r>
    </w:p>
    <w:p>
      <w:pPr>
        <w:pStyle w:val="5"/>
        <w:spacing w:before="120"/>
      </w:pPr>
      <w:bookmarkStart w:id="21" w:name="_Toc8032476"/>
      <w:r>
        <w:rPr>
          <w:rFonts w:hint="eastAsia"/>
        </w:rPr>
        <w:t>1.2.1.8城区（城市开发边界内）空间布局结构</w:t>
      </w:r>
      <w:bookmarkEnd w:id="21"/>
    </w:p>
    <w:p>
      <w:pPr>
        <w:pStyle w:val="16"/>
        <w:spacing w:line="360" w:lineRule="auto"/>
        <w:ind w:firstLine="560"/>
        <w:rPr>
          <w:rFonts w:cs="Times New Roman"/>
        </w:rPr>
      </w:pPr>
      <w:r>
        <w:rPr>
          <w:rFonts w:hint="eastAsia" w:cs="Times New Roman"/>
        </w:rPr>
        <w:t>规划形成“一带双城、四轴六区”的城市空间结构。</w:t>
      </w:r>
    </w:p>
    <w:p>
      <w:pPr>
        <w:pStyle w:val="16"/>
        <w:spacing w:line="360" w:lineRule="auto"/>
        <w:ind w:firstLine="560"/>
        <w:rPr>
          <w:rFonts w:cs="Times New Roman"/>
        </w:rPr>
      </w:pPr>
      <w:r>
        <w:rPr>
          <w:rFonts w:hint="eastAsia" w:cs="Times New Roman"/>
        </w:rPr>
        <w:t>“一带双城”——中央湖廊（中央生态景观带），生态枢纽、绿色开敞；东部城区、西部城区，环湖而立，隔湖相望。</w:t>
      </w:r>
    </w:p>
    <w:p>
      <w:pPr>
        <w:pStyle w:val="16"/>
        <w:spacing w:line="360" w:lineRule="auto"/>
        <w:ind w:firstLine="560"/>
        <w:rPr>
          <w:rFonts w:cs="Times New Roman"/>
        </w:rPr>
      </w:pPr>
      <w:r>
        <w:rPr>
          <w:rFonts w:hint="eastAsia" w:cs="Times New Roman"/>
        </w:rPr>
        <w:t>“四轴六区”——人民路、沱河路、相山路、梧桐路四条城市发展轴；相山、杜集、凤凰山、龙湖、东湖、烈山六大城市片区。轴向带动，有序发展；片区联动，有机生长。</w:t>
      </w:r>
    </w:p>
    <w:p>
      <w:pPr>
        <w:pStyle w:val="5"/>
        <w:spacing w:before="120"/>
      </w:pPr>
      <w:bookmarkStart w:id="22" w:name="_Toc8032477"/>
      <w:r>
        <w:t>1.2.1.</w:t>
      </w:r>
      <w:r>
        <w:rPr>
          <w:rFonts w:hint="eastAsia"/>
        </w:rPr>
        <w:t>9城区（城市开发边界内）用地布局规划</w:t>
      </w:r>
      <w:bookmarkEnd w:id="22"/>
    </w:p>
    <w:p>
      <w:pPr>
        <w:pStyle w:val="16"/>
        <w:spacing w:line="360" w:lineRule="auto"/>
        <w:ind w:firstLine="560"/>
        <w:rPr>
          <w:rFonts w:cs="Times New Roman"/>
        </w:rPr>
      </w:pPr>
      <w:r>
        <w:rPr>
          <w:rFonts w:cs="Times New Roman"/>
        </w:rPr>
        <w:t>规划至2035年，城市开发边界范围总面积为263.53平方公里，其中城市建设用地规模为130平方公里。</w:t>
      </w:r>
    </w:p>
    <w:p>
      <w:pPr>
        <w:widowControl/>
        <w:spacing w:line="360" w:lineRule="auto"/>
        <w:ind w:left="-147" w:firstLine="482"/>
        <w:jc w:val="center"/>
        <w:rPr>
          <w:rFonts w:ascii="宋体" w:hAnsi="宋体" w:cs="Tahoma"/>
          <w:b/>
          <w:color w:val="000000"/>
          <w:sz w:val="24"/>
          <w:szCs w:val="21"/>
        </w:rPr>
      </w:pPr>
      <w:r>
        <w:rPr>
          <w:rFonts w:ascii="宋体" w:hAnsi="宋体" w:cs="Tahoma"/>
          <w:b/>
          <w:color w:val="000000"/>
          <w:sz w:val="24"/>
          <w:szCs w:val="21"/>
        </w:rPr>
        <w:t>表</w:t>
      </w:r>
      <w:r>
        <w:rPr>
          <w:rFonts w:hint="eastAsia" w:ascii="宋体" w:hAnsi="宋体" w:cs="Tahoma"/>
          <w:b/>
          <w:color w:val="000000"/>
          <w:sz w:val="24"/>
          <w:szCs w:val="21"/>
        </w:rPr>
        <w:t>1</w:t>
      </w:r>
      <w:r>
        <w:rPr>
          <w:rFonts w:ascii="宋体" w:hAnsi="宋体" w:cs="Tahoma"/>
          <w:b/>
          <w:color w:val="000000"/>
          <w:sz w:val="24"/>
          <w:szCs w:val="21"/>
        </w:rPr>
        <w:t>-</w:t>
      </w:r>
      <w:r>
        <w:rPr>
          <w:rFonts w:hint="eastAsia" w:ascii="宋体" w:hAnsi="宋体" w:cs="Tahoma"/>
          <w:b/>
          <w:color w:val="000000"/>
          <w:sz w:val="24"/>
          <w:szCs w:val="21"/>
        </w:rPr>
        <w:t>3</w:t>
      </w:r>
      <w:r>
        <w:rPr>
          <w:rFonts w:ascii="宋体" w:hAnsi="宋体" w:cs="Tahoma"/>
          <w:b/>
          <w:color w:val="000000"/>
          <w:sz w:val="24"/>
          <w:szCs w:val="21"/>
        </w:rPr>
        <w:t xml:space="preserve">    </w:t>
      </w:r>
      <w:r>
        <w:rPr>
          <w:rFonts w:hint="eastAsia" w:ascii="宋体" w:hAnsi="宋体" w:cs="Tahoma"/>
          <w:b/>
          <w:color w:val="000000"/>
          <w:sz w:val="24"/>
          <w:szCs w:val="21"/>
        </w:rPr>
        <w:t xml:space="preserve"> 城区（城市开发边界内）</w:t>
      </w:r>
      <w:r>
        <w:rPr>
          <w:rFonts w:ascii="宋体" w:hAnsi="宋体" w:cs="Tahoma"/>
          <w:b/>
          <w:color w:val="000000"/>
          <w:sz w:val="24"/>
          <w:szCs w:val="21"/>
        </w:rPr>
        <w:t>用地平衡表</w:t>
      </w:r>
    </w:p>
    <w:tbl>
      <w:tblPr>
        <w:tblStyle w:val="84"/>
        <w:tblW w:w="7679" w:type="dxa"/>
        <w:jc w:val="center"/>
        <w:tblBorders>
          <w:top w:val="single" w:color="000000" w:sz="18" w:space="0"/>
          <w:left w:val="single" w:color="000000" w:sz="18" w:space="0"/>
          <w:bottom w:val="single" w:color="000000" w:sz="4"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640"/>
        <w:gridCol w:w="680"/>
        <w:gridCol w:w="2248"/>
        <w:gridCol w:w="1276"/>
        <w:gridCol w:w="1417"/>
        <w:gridCol w:w="1418"/>
      </w:tblGrid>
      <w:tr>
        <w:tblPrEx>
          <w:tblBorders>
            <w:top w:val="single" w:color="000000" w:sz="18" w:space="0"/>
            <w:left w:val="single" w:color="000000" w:sz="18" w:space="0"/>
            <w:bottom w:val="single" w:color="000000" w:sz="4"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1320" w:type="dxa"/>
            <w:gridSpan w:val="2"/>
            <w:vAlign w:val="center"/>
          </w:tcPr>
          <w:p>
            <w:pPr>
              <w:pStyle w:val="81"/>
              <w:jc w:val="center"/>
              <w:rPr>
                <w:lang w:eastAsia="en-US"/>
              </w:rPr>
            </w:pPr>
            <w:r>
              <w:rPr>
                <w:lang w:eastAsia="en-US"/>
              </w:rPr>
              <w:t>用地代码</w:t>
            </w:r>
          </w:p>
        </w:tc>
        <w:tc>
          <w:tcPr>
            <w:tcW w:w="2248" w:type="dxa"/>
            <w:vMerge w:val="restart"/>
            <w:vAlign w:val="center"/>
          </w:tcPr>
          <w:p>
            <w:pPr>
              <w:pStyle w:val="81"/>
              <w:jc w:val="center"/>
              <w:rPr>
                <w:lang w:eastAsia="en-US"/>
              </w:rPr>
            </w:pPr>
          </w:p>
          <w:p>
            <w:pPr>
              <w:pStyle w:val="81"/>
              <w:jc w:val="center"/>
              <w:rPr>
                <w:lang w:eastAsia="en-US"/>
              </w:rPr>
            </w:pPr>
            <w:r>
              <w:rPr>
                <w:lang w:eastAsia="en-US"/>
              </w:rPr>
              <w:t>用地名称</w:t>
            </w:r>
          </w:p>
        </w:tc>
        <w:tc>
          <w:tcPr>
            <w:tcW w:w="1276" w:type="dxa"/>
            <w:vMerge w:val="restart"/>
            <w:vAlign w:val="center"/>
          </w:tcPr>
          <w:p>
            <w:pPr>
              <w:pStyle w:val="81"/>
              <w:jc w:val="center"/>
              <w:rPr>
                <w:lang w:eastAsia="en-US"/>
              </w:rPr>
            </w:pPr>
            <w:r>
              <w:rPr>
                <w:lang w:eastAsia="en-US"/>
              </w:rPr>
              <w:t>用地面积</w:t>
            </w:r>
          </w:p>
          <w:p>
            <w:pPr>
              <w:pStyle w:val="81"/>
              <w:jc w:val="center"/>
              <w:rPr>
                <w:lang w:eastAsia="en-US"/>
              </w:rPr>
            </w:pPr>
            <w:r>
              <w:rPr>
                <w:lang w:eastAsia="en-US"/>
              </w:rPr>
              <w:t>(hm²)</w:t>
            </w:r>
          </w:p>
        </w:tc>
        <w:tc>
          <w:tcPr>
            <w:tcW w:w="1417" w:type="dxa"/>
            <w:vMerge w:val="restart"/>
            <w:vAlign w:val="center"/>
          </w:tcPr>
          <w:p>
            <w:pPr>
              <w:pStyle w:val="81"/>
              <w:jc w:val="center"/>
              <w:rPr>
                <w:lang w:eastAsia="en-US"/>
              </w:rPr>
            </w:pPr>
            <w:r>
              <w:rPr>
                <w:lang w:eastAsia="en-US"/>
              </w:rPr>
              <w:t>占城市建设</w:t>
            </w:r>
          </w:p>
          <w:p>
            <w:pPr>
              <w:pStyle w:val="81"/>
              <w:jc w:val="center"/>
              <w:rPr>
                <w:lang w:eastAsia="en-US"/>
              </w:rPr>
            </w:pPr>
            <w:r>
              <w:rPr>
                <w:lang w:eastAsia="en-US"/>
              </w:rPr>
              <w:t>用地比例(%)</w:t>
            </w:r>
          </w:p>
        </w:tc>
        <w:tc>
          <w:tcPr>
            <w:tcW w:w="1418" w:type="dxa"/>
            <w:vMerge w:val="restart"/>
            <w:vAlign w:val="center"/>
          </w:tcPr>
          <w:p>
            <w:pPr>
              <w:pStyle w:val="81"/>
              <w:jc w:val="center"/>
              <w:rPr>
                <w:lang w:eastAsia="en-US"/>
              </w:rPr>
            </w:pPr>
            <w:r>
              <w:rPr>
                <w:lang w:eastAsia="en-US"/>
              </w:rPr>
              <w:t>人均用地面积</w:t>
            </w:r>
          </w:p>
          <w:p>
            <w:pPr>
              <w:pStyle w:val="81"/>
              <w:jc w:val="center"/>
              <w:rPr>
                <w:lang w:eastAsia="en-US"/>
              </w:rPr>
            </w:pPr>
            <w:r>
              <w:rPr>
                <w:lang w:eastAsia="en-US"/>
              </w:rPr>
              <w:t>（m²）</w:t>
            </w:r>
          </w:p>
        </w:tc>
      </w:tr>
      <w:tr>
        <w:tblPrEx>
          <w:tblBorders>
            <w:top w:val="single" w:color="000000" w:sz="18" w:space="0"/>
            <w:left w:val="single" w:color="000000" w:sz="18" w:space="0"/>
            <w:bottom w:val="single" w:color="000000" w:sz="4"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Align w:val="center"/>
          </w:tcPr>
          <w:p>
            <w:pPr>
              <w:pStyle w:val="81"/>
              <w:jc w:val="center"/>
              <w:rPr>
                <w:lang w:eastAsia="en-US"/>
              </w:rPr>
            </w:pPr>
            <w:r>
              <w:rPr>
                <w:lang w:eastAsia="en-US"/>
              </w:rPr>
              <w:t>大类</w:t>
            </w:r>
          </w:p>
        </w:tc>
        <w:tc>
          <w:tcPr>
            <w:tcW w:w="680" w:type="dxa"/>
            <w:vAlign w:val="center"/>
          </w:tcPr>
          <w:p>
            <w:pPr>
              <w:pStyle w:val="81"/>
              <w:jc w:val="center"/>
              <w:rPr>
                <w:lang w:eastAsia="en-US"/>
              </w:rPr>
            </w:pPr>
            <w:r>
              <w:rPr>
                <w:lang w:eastAsia="en-US"/>
              </w:rPr>
              <w:t>中类</w:t>
            </w:r>
          </w:p>
        </w:tc>
        <w:tc>
          <w:tcPr>
            <w:tcW w:w="2248" w:type="dxa"/>
            <w:vMerge w:val="continue"/>
            <w:vAlign w:val="center"/>
          </w:tcPr>
          <w:p>
            <w:pPr>
              <w:pStyle w:val="81"/>
              <w:jc w:val="center"/>
              <w:rPr>
                <w:lang w:eastAsia="en-US"/>
              </w:rPr>
            </w:pPr>
          </w:p>
        </w:tc>
        <w:tc>
          <w:tcPr>
            <w:tcW w:w="1276" w:type="dxa"/>
            <w:vMerge w:val="continue"/>
            <w:vAlign w:val="center"/>
          </w:tcPr>
          <w:p>
            <w:pPr>
              <w:pStyle w:val="81"/>
              <w:jc w:val="center"/>
              <w:rPr>
                <w:lang w:eastAsia="en-US"/>
              </w:rPr>
            </w:pPr>
          </w:p>
        </w:tc>
        <w:tc>
          <w:tcPr>
            <w:tcW w:w="1417" w:type="dxa"/>
            <w:vMerge w:val="continue"/>
            <w:vAlign w:val="center"/>
          </w:tcPr>
          <w:p>
            <w:pPr>
              <w:pStyle w:val="81"/>
              <w:jc w:val="center"/>
              <w:rPr>
                <w:lang w:eastAsia="en-US"/>
              </w:rPr>
            </w:pPr>
          </w:p>
        </w:tc>
        <w:tc>
          <w:tcPr>
            <w:tcW w:w="1418" w:type="dxa"/>
            <w:vMerge w:val="continue"/>
            <w:vAlign w:val="center"/>
          </w:tcPr>
          <w:p>
            <w:pPr>
              <w:pStyle w:val="81"/>
              <w:jc w:val="center"/>
              <w:rPr>
                <w:lang w:eastAsia="en-US"/>
              </w:rPr>
            </w:pPr>
          </w:p>
        </w:tc>
      </w:tr>
      <w:tr>
        <w:tblPrEx>
          <w:tblBorders>
            <w:top w:val="single" w:color="000000" w:sz="18" w:space="0"/>
            <w:left w:val="single" w:color="000000" w:sz="18" w:space="0"/>
            <w:bottom w:val="single" w:color="000000" w:sz="4"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6" w:hRule="exact"/>
          <w:jc w:val="center"/>
        </w:trPr>
        <w:tc>
          <w:tcPr>
            <w:tcW w:w="640" w:type="dxa"/>
            <w:vAlign w:val="center"/>
          </w:tcPr>
          <w:p>
            <w:pPr>
              <w:pStyle w:val="81"/>
              <w:jc w:val="center"/>
              <w:rPr>
                <w:lang w:eastAsia="en-US"/>
              </w:rPr>
            </w:pPr>
            <w:r>
              <w:rPr>
                <w:lang w:eastAsia="en-US"/>
              </w:rPr>
              <w:t>R</w:t>
            </w:r>
          </w:p>
        </w:tc>
        <w:tc>
          <w:tcPr>
            <w:tcW w:w="2928" w:type="dxa"/>
            <w:gridSpan w:val="2"/>
            <w:vAlign w:val="center"/>
          </w:tcPr>
          <w:p>
            <w:pPr>
              <w:pStyle w:val="81"/>
              <w:jc w:val="center"/>
              <w:rPr>
                <w:lang w:eastAsia="en-US"/>
              </w:rPr>
            </w:pPr>
            <w:r>
              <w:rPr>
                <w:lang w:eastAsia="en-US"/>
              </w:rPr>
              <w:t>居住用地</w:t>
            </w:r>
          </w:p>
        </w:tc>
        <w:tc>
          <w:tcPr>
            <w:tcW w:w="1276" w:type="dxa"/>
            <w:vAlign w:val="center"/>
          </w:tcPr>
          <w:p>
            <w:pPr>
              <w:pStyle w:val="81"/>
              <w:jc w:val="center"/>
              <w:rPr>
                <w:lang w:eastAsia="en-US"/>
              </w:rPr>
            </w:pPr>
            <w:r>
              <w:rPr>
                <w:lang w:eastAsia="en-US"/>
              </w:rPr>
              <w:t>5505.99</w:t>
            </w:r>
          </w:p>
        </w:tc>
        <w:tc>
          <w:tcPr>
            <w:tcW w:w="1417" w:type="dxa"/>
            <w:vAlign w:val="center"/>
          </w:tcPr>
          <w:p>
            <w:pPr>
              <w:pStyle w:val="81"/>
              <w:jc w:val="center"/>
              <w:rPr>
                <w:lang w:eastAsia="en-US"/>
              </w:rPr>
            </w:pPr>
            <w:r>
              <w:rPr>
                <w:lang w:eastAsia="en-US"/>
              </w:rPr>
              <w:t>42.35%</w:t>
            </w:r>
          </w:p>
        </w:tc>
        <w:tc>
          <w:tcPr>
            <w:tcW w:w="1418" w:type="dxa"/>
            <w:vAlign w:val="center"/>
          </w:tcPr>
          <w:p>
            <w:pPr>
              <w:pStyle w:val="81"/>
              <w:jc w:val="center"/>
              <w:rPr>
                <w:lang w:eastAsia="en-US"/>
              </w:rPr>
            </w:pPr>
            <w:r>
              <w:rPr>
                <w:lang w:eastAsia="en-US"/>
              </w:rPr>
              <w:t>42.35</w:t>
            </w:r>
          </w:p>
        </w:tc>
      </w:tr>
    </w:tbl>
    <w:tbl>
      <w:tblPr>
        <w:tblStyle w:val="85"/>
        <w:tblW w:w="7679" w:type="dxa"/>
        <w:jc w:val="center"/>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640"/>
        <w:gridCol w:w="680"/>
        <w:gridCol w:w="2248"/>
        <w:gridCol w:w="1276"/>
        <w:gridCol w:w="1417"/>
        <w:gridCol w:w="1418"/>
      </w:tblGrid>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R2</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二类居住用地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5505.99</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42.35%</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42.35</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90" w:hRule="exact"/>
          <w:jc w:val="center"/>
        </w:trPr>
        <w:tc>
          <w:tcPr>
            <w:tcW w:w="640" w:type="dxa"/>
            <w:vMerge w:val="restart"/>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w w:val="99"/>
                <w:sz w:val="18"/>
                <w:lang w:eastAsia="en-US"/>
              </w:rPr>
              <w:t>A</w:t>
            </w:r>
          </w:p>
        </w:tc>
        <w:tc>
          <w:tcPr>
            <w:tcW w:w="2928" w:type="dxa"/>
            <w:gridSpan w:val="2"/>
            <w:vAlign w:val="center"/>
          </w:tcPr>
          <w:p>
            <w:pPr>
              <w:pStyle w:val="81"/>
              <w:jc w:val="center"/>
              <w:rPr>
                <w:rFonts w:ascii="宋体" w:hAnsi="宋体" w:cs="宋体" w:eastAsiaTheme="minorEastAsia"/>
                <w:sz w:val="18"/>
                <w:szCs w:val="18"/>
                <w:lang w:eastAsia="zh-CN"/>
              </w:rPr>
            </w:pPr>
            <w:r>
              <w:rPr>
                <w:rFonts w:ascii="宋体" w:hAnsi="宋体" w:cs="宋体" w:eastAsiaTheme="minorEastAsia"/>
                <w:sz w:val="18"/>
                <w:szCs w:val="18"/>
                <w:lang w:eastAsia="zh-CN"/>
              </w:rPr>
              <w:t>公共管理与公共服务设施用地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1257.37</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9.67%</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9.67</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A1</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行政办公用地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181.13</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1.39%</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1.39</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A2</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文化设施用地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74.75</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0.58%</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0.58</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A3</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教育科研用地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876.88</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6.75%</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6.75</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A4</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体育用地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30.23</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0.23%</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0.23</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A5</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医疗卫生用地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79.90</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0.61%</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0.61</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A6</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社会福利用地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11.86</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0.09%</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0.09</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A9</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宗教用地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2.63</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0.02%</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0.02</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restart"/>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w w:val="99"/>
                <w:sz w:val="18"/>
                <w:lang w:eastAsia="en-US"/>
              </w:rPr>
              <w:t>B</w:t>
            </w:r>
          </w:p>
        </w:tc>
        <w:tc>
          <w:tcPr>
            <w:tcW w:w="2928" w:type="dxa"/>
            <w:gridSpan w:val="2"/>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商业服务业设施用地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1249.43</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9.61%</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9.61</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B1</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商业用地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1112.16</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8.56%</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8.56</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B2</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商务用地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81.28</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0.63%</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0.63</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B3</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娱乐康体用地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48.35</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0.37%</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0.37</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B4</w:t>
            </w:r>
          </w:p>
        </w:tc>
        <w:tc>
          <w:tcPr>
            <w:tcW w:w="2248" w:type="dxa"/>
            <w:vAlign w:val="center"/>
          </w:tcPr>
          <w:p>
            <w:pPr>
              <w:pStyle w:val="81"/>
              <w:jc w:val="center"/>
              <w:rPr>
                <w:rFonts w:ascii="宋体" w:hAnsi="宋体" w:cs="宋体" w:eastAsiaTheme="minorEastAsia"/>
                <w:sz w:val="18"/>
                <w:szCs w:val="18"/>
                <w:lang w:eastAsia="zh-CN"/>
              </w:rPr>
            </w:pPr>
            <w:r>
              <w:rPr>
                <w:rFonts w:ascii="宋体" w:hAnsi="宋体" w:cs="宋体" w:eastAsiaTheme="minorEastAsia"/>
                <w:sz w:val="18"/>
                <w:szCs w:val="18"/>
                <w:lang w:eastAsia="zh-CN"/>
              </w:rPr>
              <w:t>公用设施营业网点用地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6.70</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0.05%</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0.05</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B9</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其他服务设施用地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0.94</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0.01%</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0.01</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restart"/>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w w:val="99"/>
                <w:sz w:val="18"/>
                <w:lang w:eastAsia="en-US"/>
              </w:rPr>
              <w:t>M</w:t>
            </w:r>
          </w:p>
        </w:tc>
        <w:tc>
          <w:tcPr>
            <w:tcW w:w="2928" w:type="dxa"/>
            <w:gridSpan w:val="2"/>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工业用地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1284.84</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9.88%</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9.88</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M1</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一类工业用地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698.93</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5.38%</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5.38</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M2</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二类工业用地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582.93</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4.48%</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4.48</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M3</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三类工业用地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2.97</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0.02%</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0.02</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restart"/>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w w:val="99"/>
                <w:sz w:val="18"/>
                <w:lang w:eastAsia="en-US"/>
              </w:rPr>
              <w:t>W</w:t>
            </w:r>
          </w:p>
        </w:tc>
        <w:tc>
          <w:tcPr>
            <w:tcW w:w="2928" w:type="dxa"/>
            <w:gridSpan w:val="2"/>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物流仓储用地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268.45</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2.07%</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2.07</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W1</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一类物流仓储用地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259.96</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2.00%</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2.00</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W2</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二类物流仓储用地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8.49</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0.07%</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0.07</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restart"/>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w w:val="99"/>
                <w:sz w:val="18"/>
                <w:lang w:eastAsia="en-US"/>
              </w:rPr>
              <w:t>S</w:t>
            </w:r>
          </w:p>
        </w:tc>
        <w:tc>
          <w:tcPr>
            <w:tcW w:w="2928" w:type="dxa"/>
            <w:gridSpan w:val="2"/>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道路与交通设施用地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1271.58</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9.78%</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9.78</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S1</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城市道路用地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1192.51</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9.17%</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9.17</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S2</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城市轨道交通用地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0.89</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0.01%</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0.01</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S3</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交通枢纽用地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62.14</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0.48%</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0.48</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S4</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交通场站用地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10.62</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0.08%</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0.08</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S9</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其他交通设施用地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5.43</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0.04%</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0.04</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restart"/>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w w:val="99"/>
                <w:sz w:val="18"/>
                <w:lang w:eastAsia="en-US"/>
              </w:rPr>
              <w:t>U</w:t>
            </w:r>
          </w:p>
        </w:tc>
        <w:tc>
          <w:tcPr>
            <w:tcW w:w="2928" w:type="dxa"/>
            <w:gridSpan w:val="2"/>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公用设施用地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94.35</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0.73%</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0.73</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U1</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供应设施用地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59.78</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0.46%</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0.46</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U2</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环境设施用地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pacing w:val="-1"/>
                <w:sz w:val="18"/>
                <w:lang w:eastAsia="en-US"/>
              </w:rPr>
              <w:t>27.27</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0.21%</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0.21</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6" w:hRule="exact"/>
          <w:jc w:val="center"/>
        </w:trPr>
        <w:tc>
          <w:tcPr>
            <w:tcW w:w="640" w:type="dxa"/>
            <w:vMerge w:val="continue"/>
            <w:vAlign w:val="center"/>
          </w:tcPr>
          <w:p>
            <w:pPr>
              <w:pStyle w:val="81"/>
              <w:jc w:val="center"/>
              <w:rPr>
                <w:rFonts w:asciiTheme="minorHAnsi" w:hAnsiTheme="minorHAnsi" w:eastAsiaTheme="minorEastAsia" w:cstheme="minorBidi"/>
                <w:lang w:eastAsia="en-US"/>
              </w:rPr>
            </w:pPr>
          </w:p>
        </w:tc>
        <w:tc>
          <w:tcPr>
            <w:tcW w:w="680"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U3</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安全设施用地</w:t>
            </w:r>
          </w:p>
        </w:tc>
        <w:tc>
          <w:tcPr>
            <w:tcW w:w="1276"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7.30</w:t>
            </w:r>
          </w:p>
        </w:tc>
        <w:tc>
          <w:tcPr>
            <w:tcW w:w="1417"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0.06%</w:t>
            </w:r>
          </w:p>
        </w:tc>
        <w:tc>
          <w:tcPr>
            <w:tcW w:w="1418" w:type="dxa"/>
            <w:vAlign w:val="center"/>
          </w:tcPr>
          <w:p>
            <w:pPr>
              <w:pStyle w:val="81"/>
              <w:jc w:val="center"/>
              <w:rPr>
                <w:rFonts w:eastAsia="Times New Roman" w:asciiTheme="minorHAnsi" w:hAnsiTheme="minorHAnsi" w:cstheme="minorBidi"/>
                <w:sz w:val="18"/>
                <w:szCs w:val="18"/>
                <w:lang w:eastAsia="en-US"/>
              </w:rPr>
            </w:pPr>
            <w:r>
              <w:rPr>
                <w:rFonts w:asciiTheme="minorHAnsi" w:hAnsiTheme="minorHAnsi" w:eastAsiaTheme="minorEastAsia" w:cstheme="minorBidi"/>
                <w:sz w:val="18"/>
                <w:lang w:eastAsia="en-US"/>
              </w:rPr>
              <w:t>0.06</w:t>
            </w:r>
          </w:p>
        </w:tc>
      </w:tr>
    </w:tbl>
    <w:tbl>
      <w:tblPr>
        <w:tblStyle w:val="86"/>
        <w:tblW w:w="7679" w:type="dxa"/>
        <w:jc w:val="center"/>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640"/>
        <w:gridCol w:w="680"/>
        <w:gridCol w:w="2248"/>
        <w:gridCol w:w="1276"/>
        <w:gridCol w:w="1417"/>
        <w:gridCol w:w="1418"/>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restart"/>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G</w:t>
            </w:r>
          </w:p>
        </w:tc>
        <w:tc>
          <w:tcPr>
            <w:tcW w:w="2928" w:type="dxa"/>
            <w:gridSpan w:val="2"/>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绿地与广场用地</w:t>
            </w:r>
          </w:p>
        </w:tc>
        <w:tc>
          <w:tcPr>
            <w:tcW w:w="1276"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2067.99</w:t>
            </w:r>
          </w:p>
        </w:tc>
        <w:tc>
          <w:tcPr>
            <w:tcW w:w="1417"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15.91%</w:t>
            </w:r>
          </w:p>
        </w:tc>
        <w:tc>
          <w:tcPr>
            <w:tcW w:w="141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15.91</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宋体" w:hAnsi="宋体" w:cs="宋体" w:eastAsiaTheme="minorEastAsia"/>
                <w:sz w:val="18"/>
                <w:szCs w:val="18"/>
                <w:lang w:eastAsia="en-US"/>
              </w:rPr>
            </w:pPr>
          </w:p>
        </w:tc>
        <w:tc>
          <w:tcPr>
            <w:tcW w:w="680"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G1</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公园绿地</w:t>
            </w:r>
          </w:p>
        </w:tc>
        <w:tc>
          <w:tcPr>
            <w:tcW w:w="1276"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1358.35</w:t>
            </w:r>
          </w:p>
        </w:tc>
        <w:tc>
          <w:tcPr>
            <w:tcW w:w="1417"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10.45%</w:t>
            </w:r>
          </w:p>
        </w:tc>
        <w:tc>
          <w:tcPr>
            <w:tcW w:w="141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10.45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宋体" w:hAnsi="宋体" w:cs="宋体" w:eastAsiaTheme="minorEastAsia"/>
                <w:sz w:val="18"/>
                <w:szCs w:val="18"/>
                <w:lang w:eastAsia="en-US"/>
              </w:rPr>
            </w:pPr>
          </w:p>
        </w:tc>
        <w:tc>
          <w:tcPr>
            <w:tcW w:w="680"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G2</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防护绿地</w:t>
            </w:r>
          </w:p>
        </w:tc>
        <w:tc>
          <w:tcPr>
            <w:tcW w:w="1276"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686.15</w:t>
            </w:r>
          </w:p>
        </w:tc>
        <w:tc>
          <w:tcPr>
            <w:tcW w:w="1417"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5.28%</w:t>
            </w:r>
          </w:p>
        </w:tc>
        <w:tc>
          <w:tcPr>
            <w:tcW w:w="141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5.28</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Merge w:val="continue"/>
            <w:vAlign w:val="center"/>
          </w:tcPr>
          <w:p>
            <w:pPr>
              <w:pStyle w:val="81"/>
              <w:jc w:val="center"/>
              <w:rPr>
                <w:rFonts w:ascii="宋体" w:hAnsi="宋体" w:cs="宋体" w:eastAsiaTheme="minorEastAsia"/>
                <w:sz w:val="18"/>
                <w:szCs w:val="18"/>
                <w:lang w:eastAsia="en-US"/>
              </w:rPr>
            </w:pPr>
          </w:p>
        </w:tc>
        <w:tc>
          <w:tcPr>
            <w:tcW w:w="680"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G3</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广场用地</w:t>
            </w:r>
          </w:p>
        </w:tc>
        <w:tc>
          <w:tcPr>
            <w:tcW w:w="1276"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23.44</w:t>
            </w:r>
          </w:p>
        </w:tc>
        <w:tc>
          <w:tcPr>
            <w:tcW w:w="1417"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0.18%</w:t>
            </w:r>
          </w:p>
        </w:tc>
        <w:tc>
          <w:tcPr>
            <w:tcW w:w="141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0.18</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1320" w:type="dxa"/>
            <w:gridSpan w:val="2"/>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H11</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城市建设用地</w:t>
            </w:r>
          </w:p>
        </w:tc>
        <w:tc>
          <w:tcPr>
            <w:tcW w:w="1276"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13000.00</w:t>
            </w:r>
          </w:p>
        </w:tc>
        <w:tc>
          <w:tcPr>
            <w:tcW w:w="1417"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100.00%</w:t>
            </w:r>
          </w:p>
        </w:tc>
        <w:tc>
          <w:tcPr>
            <w:tcW w:w="141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100.00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640" w:type="dxa"/>
            <w:vAlign w:val="center"/>
          </w:tcPr>
          <w:p>
            <w:pPr>
              <w:pStyle w:val="81"/>
              <w:jc w:val="center"/>
              <w:rPr>
                <w:rFonts w:ascii="宋体" w:hAnsi="宋体" w:cs="宋体" w:eastAsiaTheme="minorEastAsia"/>
                <w:sz w:val="18"/>
                <w:szCs w:val="18"/>
                <w:lang w:eastAsia="en-US"/>
              </w:rPr>
            </w:pPr>
          </w:p>
        </w:tc>
        <w:tc>
          <w:tcPr>
            <w:tcW w:w="680"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E1</w:t>
            </w:r>
          </w:p>
        </w:tc>
        <w:tc>
          <w:tcPr>
            <w:tcW w:w="2248"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水域</w:t>
            </w:r>
          </w:p>
        </w:tc>
        <w:tc>
          <w:tcPr>
            <w:tcW w:w="1276" w:type="dxa"/>
            <w:vAlign w:val="center"/>
          </w:tcPr>
          <w:p>
            <w:pPr>
              <w:pStyle w:val="81"/>
              <w:jc w:val="center"/>
              <w:rPr>
                <w:rFonts w:ascii="宋体" w:hAnsi="宋体" w:cs="宋体" w:eastAsiaTheme="minorEastAsia"/>
                <w:sz w:val="18"/>
                <w:szCs w:val="18"/>
                <w:lang w:eastAsia="en-US"/>
              </w:rPr>
            </w:pPr>
            <w:r>
              <w:rPr>
                <w:rFonts w:ascii="宋体" w:hAnsi="宋体" w:cs="宋体" w:eastAsiaTheme="minorEastAsia"/>
                <w:sz w:val="18"/>
                <w:szCs w:val="18"/>
                <w:lang w:eastAsia="en-US"/>
              </w:rPr>
              <w:t>2373.26</w:t>
            </w:r>
          </w:p>
        </w:tc>
        <w:tc>
          <w:tcPr>
            <w:tcW w:w="1417" w:type="dxa"/>
            <w:vAlign w:val="center"/>
          </w:tcPr>
          <w:p>
            <w:pPr>
              <w:pStyle w:val="81"/>
              <w:jc w:val="center"/>
              <w:rPr>
                <w:rFonts w:ascii="宋体" w:hAnsi="宋体" w:cs="宋体" w:eastAsiaTheme="minorEastAsia"/>
                <w:sz w:val="18"/>
                <w:szCs w:val="18"/>
                <w:lang w:eastAsia="en-US"/>
              </w:rPr>
            </w:pPr>
          </w:p>
        </w:tc>
        <w:tc>
          <w:tcPr>
            <w:tcW w:w="1418" w:type="dxa"/>
            <w:vAlign w:val="center"/>
          </w:tcPr>
          <w:p>
            <w:pPr>
              <w:pStyle w:val="81"/>
              <w:jc w:val="center"/>
              <w:rPr>
                <w:rFonts w:ascii="宋体" w:hAnsi="宋体" w:cs="宋体" w:eastAsiaTheme="minorEastAsia"/>
                <w:sz w:val="18"/>
                <w:szCs w:val="18"/>
                <w:lang w:eastAsia="en-US"/>
              </w:rPr>
            </w:pPr>
          </w:p>
        </w:tc>
      </w:tr>
    </w:tbl>
    <w:p>
      <w:pPr>
        <w:pStyle w:val="72"/>
        <w:rPr>
          <w:rFonts w:eastAsia="黑体"/>
          <w:b/>
          <w:bCs/>
          <w:sz w:val="30"/>
          <w:szCs w:val="20"/>
        </w:rPr>
      </w:pPr>
      <w:r>
        <w:rPr>
          <w:rFonts w:eastAsia="黑体"/>
          <w:b/>
          <w:bCs/>
          <w:sz w:val="30"/>
          <w:szCs w:val="20"/>
        </w:rPr>
        <w:drawing>
          <wp:inline distT="0" distB="0" distL="0" distR="0">
            <wp:extent cx="4281805" cy="6059170"/>
            <wp:effectExtent l="19050" t="0" r="4274" b="0"/>
            <wp:docPr id="48" name="图片 40" descr="F:\淮北市节约用水规划\收集资料\淮北总体规划图纸\03开发边界内\19用地布局规划图201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0" descr="F:\淮北市节约用水规划\收集资料\淮北总体规划图纸\03开发边界内\19用地布局规划图2017.08.jpg"/>
                    <pic:cNvPicPr>
                      <a:picLocks noChangeAspect="1" noChangeArrowheads="1"/>
                    </pic:cNvPicPr>
                  </pic:nvPicPr>
                  <pic:blipFill>
                    <a:blip r:embed="rId25"/>
                    <a:srcRect/>
                    <a:stretch>
                      <a:fillRect/>
                    </a:stretch>
                  </pic:blipFill>
                  <pic:spPr>
                    <a:xfrm>
                      <a:off x="0" y="0"/>
                      <a:ext cx="4287602" cy="6067345"/>
                    </a:xfrm>
                    <a:prstGeom prst="rect">
                      <a:avLst/>
                    </a:prstGeom>
                    <a:noFill/>
                    <a:ln w="9525">
                      <a:noFill/>
                      <a:miter lim="800000"/>
                      <a:headEnd/>
                      <a:tailEnd/>
                    </a:ln>
                  </pic:spPr>
                </pic:pic>
              </a:graphicData>
            </a:graphic>
          </wp:inline>
        </w:drawing>
      </w:r>
    </w:p>
    <w:p>
      <w:pPr>
        <w:pStyle w:val="5"/>
        <w:spacing w:before="120"/>
      </w:pPr>
      <w:bookmarkStart w:id="23" w:name="_Toc8032478"/>
      <w:r>
        <w:t>1.2.1.10 城市发展职能</w:t>
      </w:r>
      <w:bookmarkEnd w:id="23"/>
    </w:p>
    <w:p>
      <w:pPr>
        <w:pStyle w:val="16"/>
        <w:spacing w:line="360" w:lineRule="auto"/>
        <w:ind w:firstLine="560"/>
        <w:rPr>
          <w:rFonts w:cs="Times New Roman"/>
        </w:rPr>
      </w:pPr>
      <w:r>
        <w:rPr>
          <w:rFonts w:cs="Times New Roman"/>
        </w:rPr>
        <w:t>淮北市的城市职能可以概括为“三个基地、一个枢纽”：</w:t>
      </w:r>
    </w:p>
    <w:p>
      <w:pPr>
        <w:pStyle w:val="16"/>
        <w:spacing w:line="360" w:lineRule="auto"/>
        <w:ind w:firstLine="560"/>
        <w:rPr>
          <w:rFonts w:cs="Times New Roman"/>
        </w:rPr>
      </w:pPr>
      <w:r>
        <w:rPr>
          <w:rFonts w:cs="Times New Roman"/>
        </w:rPr>
        <w:t>（1）承接东部产业和资本转移的新型加工制造基地；</w:t>
      </w:r>
    </w:p>
    <w:p>
      <w:pPr>
        <w:pStyle w:val="16"/>
        <w:spacing w:line="360" w:lineRule="auto"/>
        <w:ind w:firstLine="560"/>
        <w:rPr>
          <w:rFonts w:cs="Times New Roman"/>
        </w:rPr>
      </w:pPr>
      <w:r>
        <w:rPr>
          <w:rFonts w:cs="Times New Roman"/>
        </w:rPr>
        <w:t>（2）长三角的优质农产品生产加工供应基地；</w:t>
      </w:r>
    </w:p>
    <w:p>
      <w:pPr>
        <w:pStyle w:val="16"/>
        <w:spacing w:line="360" w:lineRule="auto"/>
        <w:ind w:firstLine="560"/>
        <w:rPr>
          <w:rFonts w:cs="Times New Roman"/>
        </w:rPr>
      </w:pPr>
      <w:r>
        <w:rPr>
          <w:rFonts w:cs="Times New Roman"/>
        </w:rPr>
        <w:t>（3）长三角的旅游休闲度假基地；</w:t>
      </w:r>
    </w:p>
    <w:p>
      <w:pPr>
        <w:pStyle w:val="16"/>
        <w:spacing w:line="360" w:lineRule="auto"/>
        <w:ind w:firstLine="560"/>
        <w:rPr>
          <w:rFonts w:cs="Times New Roman"/>
          <w:b/>
          <w:bCs/>
        </w:rPr>
      </w:pPr>
      <w:r>
        <w:rPr>
          <w:rFonts w:cs="Times New Roman"/>
        </w:rPr>
        <w:t>（4）皖苏浙边界地区重要交通物流枢纽。</w:t>
      </w:r>
    </w:p>
    <w:p>
      <w:pPr>
        <w:pStyle w:val="5"/>
        <w:spacing w:before="120"/>
      </w:pPr>
      <w:bookmarkStart w:id="24" w:name="_Toc8032479"/>
      <w:r>
        <w:t>1.2.1.11 城市发展</w:t>
      </w:r>
      <w:r>
        <w:rPr>
          <w:rFonts w:hint="eastAsia"/>
        </w:rPr>
        <w:t>目标</w:t>
      </w:r>
      <w:bookmarkEnd w:id="24"/>
    </w:p>
    <w:p>
      <w:pPr>
        <w:pStyle w:val="16"/>
        <w:spacing w:line="360" w:lineRule="auto"/>
        <w:ind w:firstLine="560"/>
        <w:rPr>
          <w:rFonts w:cs="Times New Roman"/>
        </w:rPr>
      </w:pPr>
      <w:r>
        <w:rPr>
          <w:rFonts w:cs="Times New Roman"/>
        </w:rPr>
        <w:t>落实中央要求，对接国家发展战略；建设“四个之城”，迈向区域中心城市。</w:t>
      </w:r>
    </w:p>
    <w:p>
      <w:pPr>
        <w:pStyle w:val="16"/>
        <w:spacing w:line="360" w:lineRule="auto"/>
        <w:ind w:firstLine="560"/>
        <w:rPr>
          <w:rFonts w:cs="Times New Roman"/>
        </w:rPr>
      </w:pPr>
      <w:r>
        <w:rPr>
          <w:rFonts w:cs="Times New Roman"/>
        </w:rPr>
        <w:t>实施中国碳谷·绿金淮北战略，打造苏鲁豫皖交汇区域中心城市， 建设更具活力的开放创新之城、更富效能的转型样板之城、更可持续 的绿色低碳之城、更显魅力的山水生态之城。</w:t>
      </w:r>
    </w:p>
    <w:p>
      <w:pPr>
        <w:pStyle w:val="4"/>
      </w:pPr>
      <w:bookmarkStart w:id="25" w:name="_Toc8032480"/>
      <w:r>
        <w:rPr>
          <w:rFonts w:hint="eastAsia"/>
        </w:rPr>
        <w:t>1.2.2</w:t>
      </w:r>
      <w:r>
        <w:t xml:space="preserve"> 淮北市土地利用总体规划</w:t>
      </w:r>
      <w:bookmarkEnd w:id="25"/>
      <w:r>
        <w:t xml:space="preserve"> </w:t>
      </w:r>
    </w:p>
    <w:p>
      <w:pPr>
        <w:pStyle w:val="16"/>
        <w:spacing w:line="360" w:lineRule="auto"/>
        <w:ind w:firstLine="560"/>
        <w:rPr>
          <w:rFonts w:cs="Times New Roman"/>
        </w:rPr>
      </w:pPr>
      <w:r>
        <w:rPr>
          <w:rFonts w:cs="Times New Roman"/>
        </w:rPr>
        <w:t>淮北市中心城区规划控制范围包括相山区、烈山区、杜集区的建成区、濉溪县城关镇区域以及周边因城市发展需要实施控制的地区组成。区域范围东至龙脊 山，西至相山区界，西南至濉溪县城关镇行政边界，南至烈山区宋疃镇行政边界， 北至杜集区矿山集街道、高岳街道行政边界。规划控制范围约为 526.51 平方公里。</w:t>
      </w:r>
    </w:p>
    <w:p>
      <w:pPr>
        <w:pStyle w:val="16"/>
        <w:spacing w:line="360" w:lineRule="auto"/>
        <w:ind w:firstLine="560"/>
        <w:rPr>
          <w:rFonts w:cs="Times New Roman"/>
        </w:rPr>
      </w:pPr>
      <w:r>
        <w:rPr>
          <w:rFonts w:cs="Times New Roman"/>
        </w:rPr>
        <w:t>一、土地生态环境建设与保护 实施生态保护工程：实施自然资源开发、湿地保护与恢复、水土保持、植被恢复、水及土壤质量改良等生态保护工程。划定相山绿化保护区、南湖湿地公园 等一批保护示范区，扩大生态用地保护面积，禁止过度开发，保护湿地生态系统、 动物栖息地和生物多样性。</w:t>
      </w:r>
    </w:p>
    <w:p>
      <w:pPr>
        <w:pStyle w:val="16"/>
        <w:spacing w:line="360" w:lineRule="auto"/>
        <w:ind w:firstLine="560"/>
        <w:rPr>
          <w:rFonts w:cs="Times New Roman"/>
        </w:rPr>
      </w:pPr>
      <w:r>
        <w:rPr>
          <w:rFonts w:cs="Times New Roman"/>
        </w:rPr>
        <w:t>加强生态廊道的保护与建设：建设沿路、沿堤、沿沟、沿渠的景观生态廊道， 防护林带乔灌结合，建立稳定的生态系统，充分发挥其生态服务功能。</w:t>
      </w:r>
    </w:p>
    <w:p>
      <w:pPr>
        <w:pStyle w:val="16"/>
        <w:spacing w:line="360" w:lineRule="auto"/>
        <w:ind w:firstLine="560"/>
        <w:rPr>
          <w:rFonts w:cs="Times New Roman"/>
        </w:rPr>
      </w:pPr>
      <w:r>
        <w:rPr>
          <w:rFonts w:cs="Times New Roman"/>
        </w:rPr>
        <w:t>加强矿山生态环境恢复治理：统筹部署矿山环境恢复治理重点工程，重点推 进段园采煤沉陷区、闸河北部采煤沉陷区、闸河中部采煤沉陷区、闸河南部采煤 沉陷区、刘桥采煤沉陷区、百善采煤沉陷区、临海童采煤沉陷区和任楼采煤沉陷 区等 8 个煤矿沉陷区的矿山环境恢复治理工作。</w:t>
      </w:r>
    </w:p>
    <w:p>
      <w:pPr>
        <w:pStyle w:val="16"/>
        <w:spacing w:line="360" w:lineRule="auto"/>
        <w:ind w:firstLine="560"/>
        <w:rPr>
          <w:rFonts w:cs="Times New Roman"/>
        </w:rPr>
      </w:pPr>
      <w:r>
        <w:rPr>
          <w:rFonts w:cs="Times New Roman"/>
        </w:rPr>
        <w:t>二、优化中心城区用地空间布局</w:t>
      </w:r>
    </w:p>
    <w:p>
      <w:pPr>
        <w:pStyle w:val="16"/>
        <w:spacing w:line="360" w:lineRule="auto"/>
        <w:ind w:firstLine="560"/>
        <w:rPr>
          <w:rFonts w:cs="Times New Roman"/>
        </w:rPr>
      </w:pPr>
      <w:r>
        <w:rPr>
          <w:rFonts w:cs="Times New Roman"/>
        </w:rPr>
        <w:t>（一）建设“三个组团一个绿心”布局结构</w:t>
      </w:r>
    </w:p>
    <w:p>
      <w:pPr>
        <w:pStyle w:val="16"/>
        <w:spacing w:line="360" w:lineRule="auto"/>
        <w:ind w:firstLine="560"/>
        <w:rPr>
          <w:rFonts w:cs="Times New Roman"/>
        </w:rPr>
      </w:pPr>
      <w:r>
        <w:rPr>
          <w:rFonts w:cs="Times New Roman"/>
        </w:rPr>
        <w:t>1．“三个组团”即相山组团、烈山组团、矿山集组团。</w:t>
      </w:r>
    </w:p>
    <w:p>
      <w:pPr>
        <w:pStyle w:val="16"/>
        <w:spacing w:line="360" w:lineRule="auto"/>
        <w:ind w:firstLine="560"/>
        <w:rPr>
          <w:rFonts w:cs="Times New Roman"/>
        </w:rPr>
      </w:pPr>
      <w:r>
        <w:rPr>
          <w:rFonts w:cs="Times New Roman"/>
        </w:rPr>
        <w:t>2．“一个绿心”即中心城区中部采煤沉陷形成的湿地公园。</w:t>
      </w:r>
    </w:p>
    <w:p>
      <w:pPr>
        <w:pStyle w:val="16"/>
        <w:spacing w:line="360" w:lineRule="auto"/>
        <w:ind w:firstLine="560"/>
        <w:rPr>
          <w:rFonts w:cs="Times New Roman"/>
        </w:rPr>
      </w:pPr>
      <w:r>
        <w:rPr>
          <w:rFonts w:cs="Times New Roman"/>
        </w:rPr>
        <w:t xml:space="preserve">（二）构建“东西两个工业区” </w:t>
      </w:r>
    </w:p>
    <w:p>
      <w:pPr>
        <w:pStyle w:val="16"/>
        <w:spacing w:line="360" w:lineRule="auto"/>
        <w:ind w:firstLine="560"/>
        <w:rPr>
          <w:rFonts w:cs="Times New Roman"/>
        </w:rPr>
      </w:pPr>
      <w:r>
        <w:rPr>
          <w:rFonts w:cs="Times New Roman"/>
        </w:rPr>
        <w:t>东部淮北市经济开发区：是中心城区近期工业发展的重点区域，也是淮北市城市经济转型的主要发展平台。规划将淮北市经济开发区建设成为设施配套、环 境优美的集生产、科研、居住为一体的经济开发区。</w:t>
      </w:r>
    </w:p>
    <w:p>
      <w:pPr>
        <w:pStyle w:val="16"/>
        <w:spacing w:line="360" w:lineRule="auto"/>
        <w:ind w:firstLine="560"/>
        <w:rPr>
          <w:rFonts w:cs="Times New Roman"/>
        </w:rPr>
      </w:pPr>
      <w:r>
        <w:t xml:space="preserve">西部凤凰山工业区：依托 </w:t>
      </w:r>
      <w:r>
        <w:rPr>
          <w:rFonts w:eastAsia="Times New Roman" w:cs="Times New Roman"/>
        </w:rPr>
        <w:t>202</w:t>
      </w:r>
      <w:r>
        <w:rPr>
          <w:rFonts w:eastAsia="Times New Roman" w:cs="Times New Roman"/>
          <w:spacing w:val="18"/>
        </w:rPr>
        <w:t xml:space="preserve"> </w:t>
      </w:r>
      <w:r>
        <w:t>省道发展，是中心城区跨过相山向西拓展的主 要区域。重点发展加工工业等劳动密集型产业。</w:t>
      </w:r>
    </w:p>
    <w:p>
      <w:pPr>
        <w:pStyle w:val="16"/>
        <w:spacing w:line="360" w:lineRule="auto"/>
        <w:ind w:firstLine="560"/>
        <w:rPr>
          <w:rFonts w:cs="Times New Roman"/>
        </w:rPr>
      </w:pPr>
      <w:r>
        <w:rPr>
          <w:rFonts w:cs="Times New Roman"/>
        </w:rPr>
        <w:t xml:space="preserve">（三）形成“七横八纵一环”主干道骨架 </w:t>
      </w:r>
    </w:p>
    <w:p>
      <w:pPr>
        <w:pStyle w:val="16"/>
        <w:spacing w:line="360" w:lineRule="auto"/>
        <w:ind w:firstLine="560"/>
        <w:rPr>
          <w:rFonts w:cs="Times New Roman"/>
        </w:rPr>
      </w:pPr>
      <w:r>
        <w:rPr>
          <w:rFonts w:cs="Times New Roman"/>
        </w:rPr>
        <w:t>七横：由北至南依次为淮海路、青年路、东湖路、人民路、南黎路、流河路、乾隆湖路。</w:t>
      </w:r>
    </w:p>
    <w:p>
      <w:pPr>
        <w:pStyle w:val="16"/>
        <w:spacing w:line="360" w:lineRule="auto"/>
        <w:ind w:firstLine="560"/>
        <w:rPr>
          <w:rFonts w:cs="Times New Roman"/>
        </w:rPr>
      </w:pPr>
      <w:r>
        <w:rPr>
          <w:rFonts w:cs="Times New Roman"/>
        </w:rPr>
        <w:t>八纵：由西至东依次为老 202 省道、濉溪路、相阳路、长山路、东山路、南 湖路、龙山路、青年路。</w:t>
      </w:r>
    </w:p>
    <w:p>
      <w:pPr>
        <w:pStyle w:val="16"/>
        <w:spacing w:line="360" w:lineRule="auto"/>
        <w:ind w:firstLine="560"/>
        <w:rPr>
          <w:rFonts w:cs="Times New Roman"/>
        </w:rPr>
      </w:pPr>
      <w:r>
        <w:rPr>
          <w:rFonts w:cs="Times New Roman"/>
        </w:rPr>
        <w:t>一环：城市外环路，由新 202 省道、北外环路、东外环路组成。</w:t>
      </w:r>
    </w:p>
    <w:p>
      <w:pPr>
        <w:pStyle w:val="16"/>
        <w:spacing w:line="360" w:lineRule="auto"/>
        <w:ind w:firstLine="560"/>
        <w:rPr>
          <w:rFonts w:cs="Times New Roman"/>
        </w:rPr>
      </w:pPr>
      <w:r>
        <w:rPr>
          <w:rFonts w:cs="Times New Roman"/>
        </w:rPr>
        <w:t xml:space="preserve">（四）构筑“环、楔、廊、园相结合”的绿地系统 </w:t>
      </w:r>
    </w:p>
    <w:p>
      <w:pPr>
        <w:pStyle w:val="16"/>
        <w:spacing w:line="360" w:lineRule="auto"/>
        <w:ind w:firstLine="560"/>
        <w:rPr>
          <w:rFonts w:cs="Times New Roman"/>
        </w:rPr>
      </w:pPr>
      <w:r>
        <w:rPr>
          <w:rFonts w:cs="Times New Roman"/>
        </w:rPr>
        <w:t>在“双山伴湖”的山水城市的总体框架下，以周边相山、老龙脊山作为体现山水城市特征的竖向景观标志，以中心城区中心沉陷区湖面作为体现山水城市的 水平景观标志，突出山、水、城、林交融一体的城市特色，形成环、楔、廊、园的多种绿地形式，建设淮北市中心城区富有地方特色的城市绿地系统。</w:t>
      </w:r>
    </w:p>
    <w:p>
      <w:pPr>
        <w:pStyle w:val="16"/>
        <w:spacing w:line="360" w:lineRule="auto"/>
        <w:ind w:firstLine="560"/>
        <w:rPr>
          <w:rFonts w:cs="Times New Roman"/>
        </w:rPr>
      </w:pPr>
      <w:r>
        <w:rPr>
          <w:rFonts w:cs="Times New Roman"/>
        </w:rPr>
        <w:t>环：在中心城区三个城市组团外围，以相山、大泉山、二泉山、架子山、花 鼓山、朱山、花山、烈山、卧牛山、青龙山、三五山、四山、北山、丰山为核心， 结合中心城区外围的防护绿地和生态绿地，构筑中心城区的绿环。</w:t>
      </w:r>
    </w:p>
    <w:p>
      <w:pPr>
        <w:pStyle w:val="16"/>
        <w:spacing w:line="360" w:lineRule="auto"/>
        <w:ind w:firstLine="560"/>
        <w:rPr>
          <w:rFonts w:cs="Times New Roman"/>
        </w:rPr>
      </w:pPr>
      <w:r>
        <w:rPr>
          <w:rFonts w:cs="Times New Roman"/>
        </w:rPr>
        <w:t>楔：在各个城市组团之间，通过一定宽度的楔型绿地加以分隔，其中相山和 濉溪主要通过濉河及两侧各 50 米的绿带予以分隔，烈山、矿山集组团从中心城区 东北延伸至西南方向的沉陷区水面，与周围生态绿地加以分隔。</w:t>
      </w:r>
    </w:p>
    <w:p>
      <w:pPr>
        <w:pStyle w:val="16"/>
        <w:spacing w:line="360" w:lineRule="auto"/>
        <w:ind w:firstLine="560"/>
        <w:rPr>
          <w:rFonts w:cs="Times New Roman"/>
        </w:rPr>
      </w:pPr>
      <w:r>
        <w:rPr>
          <w:rFonts w:cs="Times New Roman"/>
        </w:rPr>
        <w:t>廊：指沿城市水系、主要干道布置的绿带，通过一定宽度的设置，既控制道 路的废气和噪声，也为城市创造景观地带，为城市绿地系统的发展起到良好的向 外延续作用。</w:t>
      </w:r>
    </w:p>
    <w:p>
      <w:pPr>
        <w:pStyle w:val="16"/>
        <w:spacing w:line="360" w:lineRule="auto"/>
        <w:ind w:firstLine="560"/>
        <w:rPr>
          <w:rFonts w:cs="Times New Roman"/>
        </w:rPr>
      </w:pPr>
      <w:r>
        <w:rPr>
          <w:rFonts w:cs="Times New Roman"/>
        </w:rPr>
        <w:t>园：建设包括相山公园、东湖湿地公园、中心公园、龙湖公园、烈山湿地公 园、南湖湿地公园在内的多个市级公园。</w:t>
      </w:r>
    </w:p>
    <w:p>
      <w:pPr>
        <w:pStyle w:val="3"/>
        <w:spacing w:before="120" w:after="60" w:line="360" w:lineRule="auto"/>
        <w:ind w:firstLine="602"/>
        <w:rPr>
          <w:rFonts w:ascii="Times New Roman" w:hAnsi="Times New Roman"/>
        </w:rPr>
      </w:pPr>
      <w:bookmarkStart w:id="26" w:name="_Toc8032481"/>
      <w:bookmarkStart w:id="27" w:name="_Toc7799"/>
      <w:r>
        <w:rPr>
          <w:rFonts w:hint="eastAsia" w:ascii="Times New Roman" w:hAnsi="Times New Roman"/>
        </w:rPr>
        <w:t>1.3</w:t>
      </w:r>
      <w:r>
        <w:rPr>
          <w:rFonts w:ascii="Times New Roman" w:hAnsi="Times New Roman"/>
        </w:rPr>
        <w:t>《</w:t>
      </w:r>
      <w:r>
        <w:rPr>
          <w:rFonts w:hint="eastAsia" w:ascii="Times New Roman" w:hAnsi="Times New Roman"/>
        </w:rPr>
        <w:t>淮北市海绵城市专项规划（2016~2030）</w:t>
      </w:r>
      <w:r>
        <w:rPr>
          <w:rFonts w:ascii="Times New Roman" w:hAnsi="Times New Roman"/>
        </w:rPr>
        <w:t>》简介</w:t>
      </w:r>
      <w:bookmarkEnd w:id="26"/>
      <w:bookmarkEnd w:id="27"/>
    </w:p>
    <w:p>
      <w:pPr>
        <w:pStyle w:val="4"/>
      </w:pPr>
      <w:bookmarkStart w:id="28" w:name="_Toc8032482"/>
      <w:bookmarkStart w:id="29" w:name="_Toc26491"/>
      <w:r>
        <w:rPr>
          <w:rFonts w:hint="eastAsia"/>
        </w:rPr>
        <w:t>1</w:t>
      </w:r>
      <w:r>
        <w:t>.</w:t>
      </w:r>
      <w:r>
        <w:rPr>
          <w:rFonts w:hint="eastAsia"/>
        </w:rPr>
        <w:t>3</w:t>
      </w:r>
      <w:r>
        <w:t>.1规划期限</w:t>
      </w:r>
      <w:bookmarkEnd w:id="28"/>
      <w:bookmarkEnd w:id="29"/>
    </w:p>
    <w:p>
      <w:pPr>
        <w:pStyle w:val="16"/>
        <w:spacing w:line="360" w:lineRule="auto"/>
        <w:ind w:firstLine="560"/>
        <w:rPr>
          <w:rFonts w:cs="Times New Roman"/>
        </w:rPr>
      </w:pPr>
      <w:r>
        <w:rPr>
          <w:rFonts w:hint="eastAsia" w:cs="Times New Roman"/>
        </w:rPr>
        <w:t>规划期限为 2016-2030 年；基准年为 2016 年；近期水平年为 2020 年；远期水平年为 2030 年。</w:t>
      </w:r>
    </w:p>
    <w:p>
      <w:pPr>
        <w:pStyle w:val="4"/>
      </w:pPr>
      <w:bookmarkStart w:id="30" w:name="_Toc8032483"/>
      <w:r>
        <w:rPr>
          <w:rFonts w:hint="eastAsia"/>
        </w:rPr>
        <w:t>1.3.2  规划范围</w:t>
      </w:r>
      <w:bookmarkEnd w:id="30"/>
    </w:p>
    <w:p>
      <w:pPr>
        <w:pStyle w:val="16"/>
        <w:spacing w:line="360" w:lineRule="auto"/>
        <w:ind w:firstLine="560"/>
        <w:rPr>
          <w:rFonts w:cs="Times New Roman"/>
        </w:rPr>
      </w:pPr>
      <w:bookmarkStart w:id="31" w:name="_Toc30136"/>
      <w:r>
        <w:rPr>
          <w:rFonts w:hint="eastAsia" w:cs="Times New Roman"/>
        </w:rPr>
        <w:t>本次规划范围包括淮北市城市总体规划确定的城区 96.25km</w:t>
      </w:r>
      <w:r>
        <w:rPr>
          <w:rFonts w:hint="eastAsia" w:cs="Times New Roman"/>
          <w:vertAlign w:val="superscript"/>
        </w:rPr>
        <w:t xml:space="preserve"> 2</w:t>
      </w:r>
      <w:r>
        <w:rPr>
          <w:rFonts w:hint="eastAsia" w:cs="Times New Roman"/>
        </w:rPr>
        <w:t xml:space="preserve"> 、淮北市经济开发区新区 30km</w:t>
      </w:r>
      <w:r>
        <w:rPr>
          <w:rFonts w:hint="eastAsia" w:cs="Times New Roman"/>
          <w:vertAlign w:val="superscript"/>
        </w:rPr>
        <w:t xml:space="preserve"> 2</w:t>
      </w:r>
      <w:r>
        <w:rPr>
          <w:rFonts w:hint="eastAsia" w:cs="Times New Roman"/>
        </w:rPr>
        <w:t xml:space="preserve"> ，高铁新区 30.5km</w:t>
      </w:r>
      <w:r>
        <w:rPr>
          <w:rFonts w:hint="eastAsia" w:cs="Times New Roman"/>
          <w:vertAlign w:val="superscript"/>
        </w:rPr>
        <w:t xml:space="preserve"> 2</w:t>
      </w:r>
      <w:r>
        <w:rPr>
          <w:rFonts w:hint="eastAsia" w:cs="Times New Roman"/>
        </w:rPr>
        <w:t xml:space="preserve"> ，同时考虑中心城区以外与本规划相关联的排水系统自然汇水区域，共计 263.96km</w:t>
      </w:r>
      <w:r>
        <w:rPr>
          <w:rFonts w:hint="eastAsia" w:cs="Times New Roman"/>
          <w:vertAlign w:val="superscript"/>
        </w:rPr>
        <w:t>2</w:t>
      </w:r>
      <w:r>
        <w:rPr>
          <w:rFonts w:hint="eastAsia" w:cs="Times New Roman"/>
        </w:rPr>
        <w:t xml:space="preserve"> 。</w:t>
      </w:r>
    </w:p>
    <w:p>
      <w:pPr>
        <w:pStyle w:val="4"/>
      </w:pPr>
      <w:bookmarkStart w:id="32" w:name="_Toc8032484"/>
      <w:r>
        <w:rPr>
          <w:rFonts w:hint="eastAsia"/>
        </w:rPr>
        <w:t>1.3.2 规划</w:t>
      </w:r>
      <w:r>
        <w:t>目标</w:t>
      </w:r>
      <w:bookmarkEnd w:id="31"/>
      <w:bookmarkEnd w:id="32"/>
    </w:p>
    <w:p>
      <w:pPr>
        <w:pStyle w:val="16"/>
        <w:spacing w:line="360" w:lineRule="auto"/>
        <w:ind w:firstLine="560"/>
        <w:rPr>
          <w:rFonts w:cs="Times New Roman"/>
        </w:rPr>
      </w:pPr>
      <w:bookmarkStart w:id="33" w:name="_Toc8785"/>
      <w:r>
        <w:rPr>
          <w:rFonts w:hint="eastAsia" w:cs="Times New Roman"/>
        </w:rPr>
        <w:t>近期：2016-2020年，重点完成试点区域的海绵城市建设任务，同时在城市其他重点建设项目中要落实海绵城市建设理念，综合采取“渗、滞、蓄、净、用、排”等措施，最大限度地减少城市开发建设对生态环境的影响。</w:t>
      </w:r>
    </w:p>
    <w:p>
      <w:pPr>
        <w:pStyle w:val="16"/>
        <w:spacing w:line="360" w:lineRule="auto"/>
        <w:ind w:firstLine="560"/>
        <w:rPr>
          <w:rFonts w:cs="Times New Roman"/>
        </w:rPr>
      </w:pPr>
      <w:r>
        <w:rPr>
          <w:rFonts w:hint="eastAsia" w:cs="Times New Roman"/>
        </w:rPr>
        <w:t>远期：2021-2030 年，城市建成区 80%区域实现海绵城市建设要求，建成区内水生态、水环境、水资源、水安全问题得到妥善解决。</w:t>
      </w:r>
    </w:p>
    <w:p>
      <w:pPr>
        <w:pStyle w:val="4"/>
      </w:pPr>
      <w:bookmarkStart w:id="34" w:name="_Toc8032485"/>
      <w:r>
        <w:rPr>
          <w:rFonts w:hint="eastAsia"/>
        </w:rPr>
        <w:t>1.3.3 指标</w:t>
      </w:r>
      <w:bookmarkEnd w:id="33"/>
      <w:bookmarkStart w:id="35" w:name="_Toc7432"/>
      <w:r>
        <w:rPr>
          <w:rFonts w:hint="eastAsia"/>
        </w:rPr>
        <w:t>思想</w:t>
      </w:r>
      <w:bookmarkEnd w:id="34"/>
    </w:p>
    <w:p>
      <w:pPr>
        <w:pStyle w:val="16"/>
        <w:spacing w:line="360" w:lineRule="auto"/>
        <w:ind w:firstLine="560"/>
        <w:rPr>
          <w:rFonts w:cs="Times New Roman"/>
        </w:rPr>
      </w:pPr>
      <w:r>
        <w:rPr>
          <w:rFonts w:hint="eastAsia" w:cs="Times New Roman"/>
        </w:rPr>
        <w:t>淮北市海绵城市建设应结合区域本底的实际情况，采取问题与目标双导向建设原则。在城市老区以问题为导向，以径流污染控制为侧重点来确定径流总量控制目标，适度予以源头减排，重点把控末端治理，做好绿色与灰色基础设施的衔接。在城市新区以目标为导向，重点结合地块的源头治理，控制径流总量，统筹水生态、水安全、水环境、水资源的建设要求，在源头实现海绵城市建设目标。打造“水净溪清、蓄雨养源、山水绿轴、生态宛陵”的特色海绵城市建设。</w:t>
      </w:r>
    </w:p>
    <w:p>
      <w:pPr>
        <w:pStyle w:val="4"/>
      </w:pPr>
      <w:bookmarkStart w:id="36" w:name="_Toc8032486"/>
      <w:r>
        <w:rPr>
          <w:rFonts w:hint="eastAsia"/>
        </w:rPr>
        <w:t>1.3.4  海绵城市建设总体目标</w:t>
      </w:r>
      <w:bookmarkEnd w:id="36"/>
    </w:p>
    <w:p>
      <w:pPr>
        <w:pStyle w:val="16"/>
        <w:spacing w:line="360" w:lineRule="auto"/>
        <w:ind w:firstLine="560"/>
        <w:rPr>
          <w:rFonts w:cs="Times New Roman"/>
        </w:rPr>
      </w:pPr>
      <w:r>
        <w:rPr>
          <w:rFonts w:hint="eastAsia" w:cs="Times New Roman"/>
        </w:rPr>
        <w:t>1、年径流总量控制率：淮北市年径流总量控制率为 70%，对应设计降雨量为23.5mm。</w:t>
      </w:r>
    </w:p>
    <w:p>
      <w:pPr>
        <w:pStyle w:val="16"/>
        <w:spacing w:line="360" w:lineRule="auto"/>
        <w:ind w:firstLine="560"/>
        <w:rPr>
          <w:rFonts w:cs="Times New Roman"/>
        </w:rPr>
      </w:pPr>
      <w:r>
        <w:rPr>
          <w:rFonts w:hint="eastAsia" w:cs="Times New Roman"/>
        </w:rPr>
        <w:t>2、径流污染控制：淮北市采用 SS 作为径流污染控制指标，确定淮北市海绵城市雨水系统的年 SS 总量去除率不小于 45%。</w:t>
      </w:r>
    </w:p>
    <w:p>
      <w:pPr>
        <w:pStyle w:val="4"/>
      </w:pPr>
      <w:bookmarkStart w:id="37" w:name="_Toc8032487"/>
      <w:r>
        <w:rPr>
          <w:rFonts w:hint="eastAsia"/>
        </w:rPr>
        <w:t>1.3.5  海绵城市指标体系</w:t>
      </w:r>
      <w:bookmarkEnd w:id="37"/>
    </w:p>
    <w:p>
      <w:pPr>
        <w:widowControl/>
        <w:spacing w:line="360" w:lineRule="auto"/>
        <w:ind w:left="-147" w:firstLine="482"/>
        <w:jc w:val="center"/>
        <w:rPr>
          <w:rFonts w:ascii="宋体" w:hAnsi="宋体" w:cs="Tahoma"/>
          <w:b/>
          <w:color w:val="000000"/>
          <w:sz w:val="24"/>
          <w:szCs w:val="21"/>
        </w:rPr>
      </w:pPr>
      <w:r>
        <w:rPr>
          <w:rFonts w:ascii="宋体" w:hAnsi="宋体" w:cs="Tahoma"/>
          <w:b/>
          <w:color w:val="000000"/>
          <w:sz w:val="24"/>
          <w:szCs w:val="21"/>
        </w:rPr>
        <w:t>表</w:t>
      </w:r>
      <w:r>
        <w:rPr>
          <w:rFonts w:hint="eastAsia" w:ascii="宋体" w:hAnsi="宋体" w:cs="Tahoma"/>
          <w:b/>
          <w:color w:val="000000"/>
          <w:sz w:val="24"/>
          <w:szCs w:val="21"/>
        </w:rPr>
        <w:t>1</w:t>
      </w:r>
      <w:r>
        <w:rPr>
          <w:rFonts w:ascii="宋体" w:hAnsi="宋体" w:cs="Tahoma"/>
          <w:b/>
          <w:color w:val="000000"/>
          <w:sz w:val="24"/>
          <w:szCs w:val="21"/>
        </w:rPr>
        <w:t>-</w:t>
      </w:r>
      <w:r>
        <w:rPr>
          <w:rFonts w:hint="eastAsia" w:ascii="宋体" w:hAnsi="宋体" w:cs="Tahoma"/>
          <w:b/>
          <w:color w:val="000000"/>
          <w:sz w:val="24"/>
          <w:szCs w:val="21"/>
        </w:rPr>
        <w:t xml:space="preserve">4  </w:t>
      </w:r>
      <w:r>
        <w:rPr>
          <w:rFonts w:ascii="宋体" w:hAnsi="宋体" w:cs="Tahoma"/>
          <w:b/>
          <w:color w:val="000000"/>
          <w:sz w:val="24"/>
          <w:szCs w:val="21"/>
        </w:rPr>
        <w:t>海绵城市建设分类指标表</w:t>
      </w:r>
    </w:p>
    <w:p>
      <w:pPr>
        <w:spacing w:line="360" w:lineRule="auto"/>
        <w:ind w:firstLine="482"/>
        <w:jc w:val="center"/>
        <w:rPr>
          <w:b/>
          <w:sz w:val="24"/>
        </w:rPr>
      </w:pPr>
      <w:r>
        <w:rPr>
          <w:b/>
          <w:sz w:val="24"/>
        </w:rPr>
        <w:drawing>
          <wp:inline distT="0" distB="0" distL="0" distR="0">
            <wp:extent cx="6252210" cy="4699635"/>
            <wp:effectExtent l="19050" t="0" r="0" b="0"/>
            <wp:docPr id="5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4"/>
                    <pic:cNvPicPr>
                      <a:picLocks noChangeAspect="1" noChangeArrowheads="1"/>
                    </pic:cNvPicPr>
                  </pic:nvPicPr>
                  <pic:blipFill>
                    <a:blip r:embed="rId26"/>
                    <a:srcRect/>
                    <a:stretch>
                      <a:fillRect/>
                    </a:stretch>
                  </pic:blipFill>
                  <pic:spPr>
                    <a:xfrm>
                      <a:off x="0" y="0"/>
                      <a:ext cx="6252210" cy="4699635"/>
                    </a:xfrm>
                    <a:prstGeom prst="rect">
                      <a:avLst/>
                    </a:prstGeom>
                    <a:noFill/>
                    <a:ln w="9525">
                      <a:noFill/>
                      <a:miter lim="800000"/>
                      <a:headEnd/>
                      <a:tailEnd/>
                    </a:ln>
                  </pic:spPr>
                </pic:pic>
              </a:graphicData>
            </a:graphic>
          </wp:inline>
        </w:drawing>
      </w:r>
    </w:p>
    <w:p>
      <w:pPr>
        <w:spacing w:line="360" w:lineRule="auto"/>
        <w:ind w:firstLine="482"/>
        <w:jc w:val="center"/>
        <w:rPr>
          <w:b/>
          <w:sz w:val="24"/>
        </w:rPr>
      </w:pPr>
    </w:p>
    <w:p>
      <w:pPr>
        <w:spacing w:line="240" w:lineRule="auto"/>
        <w:ind w:firstLine="560"/>
      </w:pPr>
      <w:r>
        <w:drawing>
          <wp:inline distT="0" distB="0" distL="0" distR="0">
            <wp:extent cx="6262370" cy="6528435"/>
            <wp:effectExtent l="19050" t="0" r="5080" b="0"/>
            <wp:docPr id="5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7"/>
                    <pic:cNvPicPr>
                      <a:picLocks noChangeAspect="1" noChangeArrowheads="1"/>
                    </pic:cNvPicPr>
                  </pic:nvPicPr>
                  <pic:blipFill>
                    <a:blip r:embed="rId27"/>
                    <a:srcRect/>
                    <a:stretch>
                      <a:fillRect/>
                    </a:stretch>
                  </pic:blipFill>
                  <pic:spPr>
                    <a:xfrm>
                      <a:off x="0" y="0"/>
                      <a:ext cx="6262370" cy="6528435"/>
                    </a:xfrm>
                    <a:prstGeom prst="rect">
                      <a:avLst/>
                    </a:prstGeom>
                    <a:noFill/>
                    <a:ln w="9525">
                      <a:noFill/>
                      <a:miter lim="800000"/>
                      <a:headEnd/>
                      <a:tailEnd/>
                    </a:ln>
                  </pic:spPr>
                </pic:pic>
              </a:graphicData>
            </a:graphic>
          </wp:inline>
        </w:drawing>
      </w:r>
    </w:p>
    <w:bookmarkEnd w:id="35"/>
    <w:p>
      <w:pPr>
        <w:pStyle w:val="3"/>
        <w:spacing w:before="120" w:after="60" w:line="360" w:lineRule="auto"/>
        <w:ind w:firstLine="602"/>
        <w:rPr>
          <w:rFonts w:ascii="Times New Roman" w:hAnsi="Times New Roman"/>
        </w:rPr>
      </w:pPr>
      <w:bookmarkStart w:id="38" w:name="_Toc8032488"/>
      <w:r>
        <w:rPr>
          <w:rFonts w:hint="eastAsia" w:ascii="Times New Roman" w:hAnsi="Times New Roman"/>
        </w:rPr>
        <w:t>1.4</w:t>
      </w:r>
      <w:r>
        <w:rPr>
          <w:rFonts w:ascii="Times New Roman" w:hAnsi="Times New Roman"/>
        </w:rPr>
        <w:t>《</w:t>
      </w:r>
      <w:r>
        <w:rPr>
          <w:rFonts w:hint="eastAsia" w:ascii="Times New Roman" w:hAnsi="Times New Roman"/>
        </w:rPr>
        <w:t>淮北市城市排水（雨水）防涝综合规划</w:t>
      </w:r>
      <w:r>
        <w:rPr>
          <w:rFonts w:ascii="Times New Roman" w:hAnsi="Times New Roman"/>
        </w:rPr>
        <w:t>》</w:t>
      </w:r>
      <w:r>
        <w:rPr>
          <w:rFonts w:hint="eastAsia" w:ascii="Times New Roman" w:hAnsi="Times New Roman"/>
        </w:rPr>
        <w:t>（2014-2020）</w:t>
      </w:r>
      <w:r>
        <w:rPr>
          <w:rFonts w:ascii="Times New Roman" w:hAnsi="Times New Roman"/>
        </w:rPr>
        <w:t>简介</w:t>
      </w:r>
      <w:bookmarkEnd w:id="38"/>
    </w:p>
    <w:p>
      <w:pPr>
        <w:pStyle w:val="4"/>
      </w:pPr>
      <w:bookmarkStart w:id="39" w:name="_Toc8032489"/>
      <w:r>
        <w:rPr>
          <w:rFonts w:hint="eastAsia"/>
        </w:rPr>
        <w:t xml:space="preserve">1.4.1 </w:t>
      </w:r>
      <w:r>
        <w:t>规划范围</w:t>
      </w:r>
      <w:bookmarkEnd w:id="39"/>
    </w:p>
    <w:p>
      <w:pPr>
        <w:ind w:firstLine="560"/>
        <w:rPr>
          <w:szCs w:val="28"/>
        </w:rPr>
      </w:pPr>
      <w:r>
        <w:rPr>
          <w:szCs w:val="28"/>
        </w:rPr>
        <w:t>规划范围为淮北市城区建设用地范围约 96.25km</w:t>
      </w:r>
      <w:r>
        <w:rPr>
          <w:szCs w:val="28"/>
          <w:vertAlign w:val="superscript"/>
        </w:rPr>
        <w:t>2</w:t>
      </w:r>
      <w:r>
        <w:rPr>
          <w:szCs w:val="28"/>
        </w:rPr>
        <w:t xml:space="preserve"> 及淮北市经济开发区新区二 期建设范围约 30km</w:t>
      </w:r>
      <w:r>
        <w:rPr>
          <w:szCs w:val="28"/>
          <w:vertAlign w:val="superscript"/>
        </w:rPr>
        <w:t>2</w:t>
      </w:r>
      <w:r>
        <w:rPr>
          <w:szCs w:val="28"/>
        </w:rPr>
        <w:t>，共约 126.25km</w:t>
      </w:r>
      <w:r>
        <w:rPr>
          <w:szCs w:val="28"/>
          <w:vertAlign w:val="superscript"/>
        </w:rPr>
        <w:t>2</w:t>
      </w:r>
      <w:r>
        <w:rPr>
          <w:szCs w:val="28"/>
        </w:rPr>
        <w:t>，同时考虑中心城区范围以外与本规划相关 联的排水系统自然汇水区域，规划范围共计为 233.46km</w:t>
      </w:r>
      <w:r>
        <w:rPr>
          <w:szCs w:val="28"/>
          <w:vertAlign w:val="superscript"/>
        </w:rPr>
        <w:t>2</w:t>
      </w:r>
      <w:r>
        <w:rPr>
          <w:szCs w:val="28"/>
        </w:rPr>
        <w:t>。</w:t>
      </w:r>
    </w:p>
    <w:p>
      <w:pPr>
        <w:pStyle w:val="4"/>
        <w:ind w:left="0" w:leftChars="0" w:firstLine="0" w:firstLineChars="0"/>
        <w:rPr>
          <w:szCs w:val="28"/>
        </w:rPr>
      </w:pPr>
      <w:bookmarkStart w:id="40" w:name="_Toc8032490"/>
      <w:r>
        <w:rPr>
          <w:rFonts w:hint="eastAsia"/>
        </w:rPr>
        <w:t xml:space="preserve">1.4.2 </w:t>
      </w:r>
      <w:r>
        <w:t>规划期限</w:t>
      </w:r>
      <w:bookmarkEnd w:id="40"/>
    </w:p>
    <w:p>
      <w:pPr>
        <w:ind w:firstLine="560"/>
        <w:rPr>
          <w:szCs w:val="28"/>
        </w:rPr>
      </w:pPr>
      <w:r>
        <w:rPr>
          <w:szCs w:val="28"/>
        </w:rPr>
        <w:t>规划期限为 2014—2020 年。基准年：2013 年；远期：2020 年。</w:t>
      </w:r>
    </w:p>
    <w:p>
      <w:pPr>
        <w:pStyle w:val="4"/>
      </w:pPr>
      <w:bookmarkStart w:id="41" w:name="_Toc8032491"/>
      <w:r>
        <w:rPr>
          <w:rFonts w:hint="eastAsia"/>
        </w:rPr>
        <w:t>1.4.3</w:t>
      </w:r>
      <w:r>
        <w:t>规划标准</w:t>
      </w:r>
      <w:bookmarkEnd w:id="41"/>
    </w:p>
    <w:p>
      <w:pPr>
        <w:ind w:firstLine="560"/>
        <w:rPr>
          <w:szCs w:val="28"/>
        </w:rPr>
      </w:pPr>
      <w:r>
        <w:rPr>
          <w:szCs w:val="28"/>
        </w:rPr>
        <w:t>（1）重现期：淮北市中心城区雨水设计重现期统一取 P=2 年，局部重要地区 重现期取 P=5 年。</w:t>
      </w:r>
    </w:p>
    <w:p>
      <w:pPr>
        <w:ind w:firstLine="560"/>
        <w:rPr>
          <w:szCs w:val="28"/>
        </w:rPr>
      </w:pPr>
      <w:r>
        <w:rPr>
          <w:szCs w:val="28"/>
        </w:rPr>
        <w:t>（2）城市内涝防治标准</w:t>
      </w:r>
    </w:p>
    <w:p>
      <w:pPr>
        <w:ind w:firstLine="560"/>
        <w:rPr>
          <w:szCs w:val="28"/>
        </w:rPr>
      </w:pPr>
      <w:r>
        <w:rPr>
          <w:szCs w:val="28"/>
        </w:rPr>
        <w:t>淮北市内涝防治标准对应为：能有效应对不低于 30 年一遇的暴雨。治涝干沟（内河）及其排涝泵站设计标准统一定为 30 年一遇。</w:t>
      </w:r>
    </w:p>
    <w:p>
      <w:pPr>
        <w:pStyle w:val="4"/>
      </w:pPr>
      <w:bookmarkStart w:id="42" w:name="_Toc8032492"/>
      <w:r>
        <w:rPr>
          <w:rFonts w:hint="eastAsia"/>
        </w:rPr>
        <w:t>1.4.4</w:t>
      </w:r>
      <w:r>
        <w:t>城市雨水径流控制</w:t>
      </w:r>
      <w:bookmarkEnd w:id="42"/>
      <w:r>
        <w:t xml:space="preserve"> </w:t>
      </w:r>
    </w:p>
    <w:p>
      <w:pPr>
        <w:ind w:firstLine="560"/>
        <w:rPr>
          <w:szCs w:val="28"/>
        </w:rPr>
      </w:pPr>
      <w:r>
        <w:rPr>
          <w:szCs w:val="28"/>
        </w:rPr>
        <w:t>结合淮北市的地形地势等概况，确定淮北市径流量控制可采用下凹式绿地、植草沟、可渗透地面、雨水花园和调蓄池等方式。规划主要采用下凹式绿地和蓄 滞水面来实现对雨水的蓄滞目的。</w:t>
      </w:r>
    </w:p>
    <w:p>
      <w:pPr>
        <w:pStyle w:val="4"/>
      </w:pPr>
      <w:bookmarkStart w:id="43" w:name="_Toc8032493"/>
      <w:r>
        <w:rPr>
          <w:rFonts w:hint="eastAsia"/>
        </w:rPr>
        <w:t>1.4.5</w:t>
      </w:r>
      <w:r>
        <w:t>城市排水（雨水）管网系统规划</w:t>
      </w:r>
      <w:bookmarkEnd w:id="43"/>
      <w:r>
        <w:t xml:space="preserve"> </w:t>
      </w:r>
    </w:p>
    <w:p>
      <w:pPr>
        <w:ind w:firstLine="560"/>
        <w:rPr>
          <w:szCs w:val="28"/>
        </w:rPr>
      </w:pPr>
      <w:r>
        <w:rPr>
          <w:szCs w:val="28"/>
        </w:rPr>
        <w:t>排水体制：采用分流制排水体制，老城区截流式合流制应结合城市雨污分流改造，逐步转化为分流制。</w:t>
      </w:r>
    </w:p>
    <w:p>
      <w:pPr>
        <w:ind w:firstLine="560"/>
        <w:rPr>
          <w:szCs w:val="28"/>
        </w:rPr>
      </w:pPr>
      <w:r>
        <w:rPr>
          <w:szCs w:val="28"/>
        </w:rPr>
        <w:t>排水分区：规划将淮北市划分为 6 个雨水分区，即萧濉新河及洪碱河雨水分 区、老濉河雨水分区、岱河雨水分区、龙河及龙岱河雨水分区、闸河雨水分区</w:t>
      </w:r>
      <w:r>
        <w:rPr>
          <w:rFonts w:hint="eastAsia"/>
          <w:szCs w:val="28"/>
        </w:rPr>
        <w:t>、</w:t>
      </w:r>
      <w:r>
        <w:rPr>
          <w:szCs w:val="28"/>
        </w:rPr>
        <w:t>王引河雨水分区，在 6 大雨水分区的基础上又划分 21 个雨水子分区。</w:t>
      </w:r>
    </w:p>
    <w:p>
      <w:pPr>
        <w:ind w:firstLine="560"/>
        <w:rPr>
          <w:szCs w:val="28"/>
        </w:rPr>
      </w:pPr>
      <w:r>
        <w:rPr>
          <w:szCs w:val="28"/>
        </w:rPr>
        <w:t>排水管渠：结合现状排水管网铺设及超负荷现状情况，规划改造雨水管</w:t>
      </w:r>
      <w:r>
        <w:rPr>
          <w:rFonts w:hint="eastAsia"/>
          <w:szCs w:val="28"/>
        </w:rPr>
        <w:t>道</w:t>
      </w:r>
      <w:r>
        <w:rPr>
          <w:szCs w:val="28"/>
        </w:rPr>
        <w:t>18km；新建雨水管道 430km，其中萧濉新河及洪碱河雨水分区 73.9km、老濉河雨 水分区 38.5km、岱河雨水分区 36.3km、龙河及龙岱河雨水分区 108.4km、闸河雨 水分区 51km、王引河雨水分区 121.9km。</w:t>
      </w:r>
    </w:p>
    <w:p>
      <w:pPr>
        <w:ind w:firstLine="560"/>
        <w:rPr>
          <w:szCs w:val="28"/>
        </w:rPr>
      </w:pPr>
      <w:r>
        <w:rPr>
          <w:szCs w:val="28"/>
        </w:rPr>
        <w:t>下穿立交桥排水泵站改造：规划对东岗楼泵站、相山路泵站、孟山路泵站、 人民路泵站、南黎路（淮纺路）泵站、北外环路泵站、翠峰路泵站、濉溪路泵站、 宿丁路宋疃泵站等 9 座立交泵站进行改造。</w:t>
      </w:r>
    </w:p>
    <w:p>
      <w:pPr>
        <w:pStyle w:val="4"/>
      </w:pPr>
      <w:bookmarkStart w:id="44" w:name="_Toc8032494"/>
      <w:r>
        <w:rPr>
          <w:rFonts w:hint="eastAsia"/>
        </w:rPr>
        <w:t>1.4.6</w:t>
      </w:r>
      <w:r>
        <w:t>城市防涝系统规划</w:t>
      </w:r>
      <w:bookmarkEnd w:id="44"/>
    </w:p>
    <w:p>
      <w:pPr>
        <w:ind w:firstLine="560"/>
        <w:rPr>
          <w:szCs w:val="28"/>
        </w:rPr>
      </w:pPr>
      <w:r>
        <w:rPr>
          <w:szCs w:val="28"/>
        </w:rPr>
        <w:t>本次规划范围内共有约 52 条骨干治涝干沟（内河），经核算 20 条可以满足新的治涝标准考虑维持现状，剩余 32 条需要进行综合治理。</w:t>
      </w:r>
    </w:p>
    <w:p>
      <w:pPr>
        <w:ind w:firstLine="560"/>
        <w:rPr>
          <w:szCs w:val="28"/>
        </w:rPr>
      </w:pPr>
      <w:r>
        <w:rPr>
          <w:szCs w:val="28"/>
        </w:rPr>
        <w:t>淮北市中心城区现有 2 座雨水排涝泵站：丁任沟排涝泵站和龙湖排涝泵站，根据核算其不能满足新的治涝标准要求，需要进行扩建。本次规划新增 14 座雨水 排涝泵站，分别为黄桥泵站、东相阳沟泵站、西山河沟泵站、西山一沟泵站、黄 任沟泵站、任井沟泵站、安民沟泵站、土楼沟泵站、蒋台沟泵站、友谊沟泵站、 宁山沟泵站、刘河沟泵站、濉符沟泵站、新北沱河泵站。</w:t>
      </w:r>
    </w:p>
    <w:p>
      <w:pPr>
        <w:pStyle w:val="3"/>
        <w:spacing w:before="120" w:after="60" w:line="360" w:lineRule="auto"/>
        <w:ind w:firstLine="602"/>
        <w:rPr>
          <w:rFonts w:ascii="Times New Roman" w:hAnsi="Times New Roman"/>
        </w:rPr>
      </w:pPr>
      <w:bookmarkStart w:id="45" w:name="_Toc8032495"/>
      <w:r>
        <w:rPr>
          <w:rFonts w:hint="eastAsia" w:ascii="Times New Roman" w:hAnsi="Times New Roman"/>
        </w:rPr>
        <w:t xml:space="preserve">1.5 </w:t>
      </w:r>
      <w:r>
        <w:rPr>
          <w:rFonts w:ascii="Times New Roman" w:hAnsi="Times New Roman"/>
        </w:rPr>
        <w:t xml:space="preserve"> 《淮北市</w:t>
      </w:r>
      <w:r>
        <w:rPr>
          <w:rFonts w:hint="eastAsia" w:ascii="Times New Roman" w:hAnsi="Times New Roman"/>
        </w:rPr>
        <w:t>城市</w:t>
      </w:r>
      <w:r>
        <w:rPr>
          <w:rFonts w:ascii="Times New Roman" w:hAnsi="Times New Roman"/>
        </w:rPr>
        <w:t>绿地系统</w:t>
      </w:r>
      <w:r>
        <w:rPr>
          <w:rFonts w:hint="eastAsia" w:ascii="Times New Roman" w:hAnsi="Times New Roman"/>
        </w:rPr>
        <w:t>专项</w:t>
      </w:r>
      <w:r>
        <w:rPr>
          <w:rFonts w:ascii="Times New Roman" w:hAnsi="Times New Roman"/>
        </w:rPr>
        <w:t>规划</w:t>
      </w:r>
      <w:r>
        <w:rPr>
          <w:rFonts w:hint="eastAsia" w:ascii="Times New Roman" w:hAnsi="Times New Roman"/>
        </w:rPr>
        <w:t>（修编）2012-2020》</w:t>
      </w:r>
      <w:bookmarkEnd w:id="45"/>
    </w:p>
    <w:p>
      <w:pPr>
        <w:ind w:firstLine="560"/>
        <w:rPr>
          <w:szCs w:val="28"/>
        </w:rPr>
      </w:pPr>
      <w:r>
        <w:rPr>
          <w:szCs w:val="28"/>
        </w:rPr>
        <w:t>2012年 8 月，安徽省城乡规划设计研究院对《淮北市城市绿地系统规划（2012-2020）》进行了修编并通过评审。</w:t>
      </w:r>
    </w:p>
    <w:p>
      <w:pPr>
        <w:pStyle w:val="4"/>
      </w:pPr>
      <w:bookmarkStart w:id="46" w:name="_Toc8032496"/>
      <w:r>
        <w:rPr>
          <w:rFonts w:hint="eastAsia"/>
        </w:rPr>
        <w:t xml:space="preserve">1.5.1 </w:t>
      </w:r>
      <w:r>
        <w:t>规划目标</w:t>
      </w:r>
      <w:bookmarkEnd w:id="46"/>
      <w:r>
        <w:t xml:space="preserve"> </w:t>
      </w:r>
    </w:p>
    <w:p>
      <w:pPr>
        <w:ind w:firstLine="560"/>
        <w:rPr>
          <w:szCs w:val="28"/>
        </w:rPr>
      </w:pPr>
      <w:r>
        <w:rPr>
          <w:szCs w:val="28"/>
        </w:rPr>
        <w:t>以建设皖北具有代表性的低碳型绿色生态城为总目标，逐步完善城市生态基础设施建设，建立良好的城市生态环境和多样的城市绿化景观，把淮北建设成为 “山、水、城”相互交融的具有地方特色的绿色煤城。</w:t>
      </w:r>
    </w:p>
    <w:p>
      <w:pPr>
        <w:ind w:firstLine="560"/>
        <w:rPr>
          <w:szCs w:val="28"/>
        </w:rPr>
      </w:pPr>
      <w:r>
        <w:rPr>
          <w:szCs w:val="28"/>
        </w:rPr>
        <w:t>充分利用淮北市“三山、六湖、九河”资源禀赋，着力做好“山、水、湖、 绿”文章，将淮北打造成为皖北地区的明珠。近期加强城区内已建成道路的林荫 道改造及城区周边绿道示范段的建设，远期建设绿道网络体系，实现“低碳生活、 绿色出行”的皖北绿色城市。融入更多的文化元素，丰富城市文化内涵，提升城 市文化品位。建设“文明淮北”的发展目标。</w:t>
      </w:r>
    </w:p>
    <w:p>
      <w:pPr>
        <w:pStyle w:val="4"/>
      </w:pPr>
      <w:bookmarkStart w:id="47" w:name="_Toc8032497"/>
      <w:r>
        <w:rPr>
          <w:rFonts w:hint="eastAsia"/>
        </w:rPr>
        <w:t xml:space="preserve">1.5.2 </w:t>
      </w:r>
      <w:r>
        <w:t>规划指标</w:t>
      </w:r>
      <w:bookmarkEnd w:id="47"/>
    </w:p>
    <w:p>
      <w:pPr>
        <w:ind w:firstLine="560"/>
        <w:rPr>
          <w:szCs w:val="28"/>
        </w:rPr>
      </w:pPr>
      <w:r>
        <w:rPr>
          <w:szCs w:val="28"/>
        </w:rPr>
        <w:t>至 2015 年，城市绿地建设三项主要指标，即建成区绿地率、人均公园绿地面 积、绿化覆盖率分别为：43.5％、15.1 平方米/人、45.3％。</w:t>
      </w:r>
    </w:p>
    <w:p>
      <w:pPr>
        <w:ind w:firstLine="560"/>
        <w:rPr>
          <w:szCs w:val="28"/>
        </w:rPr>
      </w:pPr>
      <w:r>
        <w:rPr>
          <w:szCs w:val="28"/>
        </w:rPr>
        <w:t>至 2020 年，城市绿地建设三项主要指标，即建成区绿地率、人均公园绿地面 积、绿化覆盖率分别为：45.7％、16.8 平方米/人、48.2％。</w:t>
      </w:r>
    </w:p>
    <w:p>
      <w:pPr>
        <w:widowControl/>
        <w:spacing w:line="360" w:lineRule="auto"/>
        <w:ind w:left="-147" w:firstLine="482"/>
        <w:jc w:val="center"/>
        <w:rPr>
          <w:rFonts w:ascii="宋体" w:hAnsi="宋体" w:cs="Tahoma"/>
          <w:b/>
          <w:color w:val="000000"/>
          <w:sz w:val="24"/>
          <w:szCs w:val="21"/>
        </w:rPr>
      </w:pPr>
      <w:r>
        <w:rPr>
          <w:rFonts w:ascii="宋体" w:hAnsi="宋体" w:cs="Tahoma"/>
          <w:b/>
          <w:color w:val="000000"/>
          <w:sz w:val="24"/>
          <w:szCs w:val="21"/>
        </w:rPr>
        <w:t>表</w:t>
      </w:r>
      <w:r>
        <w:rPr>
          <w:rFonts w:hint="eastAsia" w:ascii="宋体" w:hAnsi="宋体" w:cs="Tahoma"/>
          <w:b/>
          <w:color w:val="000000"/>
          <w:sz w:val="24"/>
          <w:szCs w:val="21"/>
        </w:rPr>
        <w:t>2</w:t>
      </w:r>
      <w:r>
        <w:rPr>
          <w:rFonts w:ascii="宋体" w:hAnsi="宋体" w:cs="Tahoma"/>
          <w:b/>
          <w:color w:val="000000"/>
          <w:sz w:val="24"/>
          <w:szCs w:val="21"/>
        </w:rPr>
        <w:t>-</w:t>
      </w:r>
      <w:r>
        <w:rPr>
          <w:rFonts w:hint="eastAsia" w:ascii="宋体" w:hAnsi="宋体" w:cs="Tahoma"/>
          <w:b/>
          <w:color w:val="000000"/>
          <w:sz w:val="24"/>
          <w:szCs w:val="21"/>
        </w:rPr>
        <w:t>5    居住区绿地率规划控制指标</w:t>
      </w:r>
    </w:p>
    <w:tbl>
      <w:tblPr>
        <w:tblStyle w:val="39"/>
        <w:tblW w:w="9072"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2627"/>
        <w:gridCol w:w="6445"/>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4" w:hRule="atLeast"/>
          <w:jc w:val="center"/>
        </w:trPr>
        <w:tc>
          <w:tcPr>
            <w:tcW w:w="2627" w:type="dxa"/>
            <w:vMerge w:val="restart"/>
            <w:shd w:val="clear" w:color="auto" w:fill="CCCCCC"/>
            <w:vAlign w:val="center"/>
          </w:tcPr>
          <w:p>
            <w:pPr>
              <w:pStyle w:val="72"/>
            </w:pPr>
            <w:r>
              <w:rPr>
                <w:rFonts w:hint="eastAsia"/>
              </w:rPr>
              <w:t>城市用地类型</w:t>
            </w:r>
          </w:p>
        </w:tc>
        <w:tc>
          <w:tcPr>
            <w:tcW w:w="6445" w:type="dxa"/>
            <w:shd w:val="clear" w:color="auto" w:fill="CCCCCC"/>
            <w:vAlign w:val="center"/>
          </w:tcPr>
          <w:p>
            <w:pPr>
              <w:pStyle w:val="72"/>
            </w:pPr>
            <w:r>
              <w:rPr>
                <w:rFonts w:hint="eastAsia"/>
              </w:rPr>
              <w:t>绿地率指标要求</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4" w:hRule="atLeast"/>
          <w:jc w:val="center"/>
        </w:trPr>
        <w:tc>
          <w:tcPr>
            <w:tcW w:w="2627" w:type="dxa"/>
            <w:vMerge w:val="continue"/>
            <w:shd w:val="clear" w:color="auto" w:fill="CCCCCC"/>
            <w:vAlign w:val="center"/>
          </w:tcPr>
          <w:p>
            <w:pPr>
              <w:pStyle w:val="72"/>
            </w:pPr>
          </w:p>
        </w:tc>
        <w:tc>
          <w:tcPr>
            <w:tcW w:w="6445" w:type="dxa"/>
            <w:shd w:val="clear" w:color="auto" w:fill="CCCCCC"/>
            <w:vAlign w:val="center"/>
          </w:tcPr>
          <w:p>
            <w:pPr>
              <w:pStyle w:val="72"/>
            </w:pPr>
            <w:r>
              <w:rPr>
                <w:rFonts w:hint="eastAsia"/>
              </w:rPr>
              <w:t>城市一般地区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2627" w:type="dxa"/>
          </w:tcPr>
          <w:p>
            <w:pPr>
              <w:pStyle w:val="72"/>
            </w:pPr>
            <w:r>
              <w:rPr>
                <w:rFonts w:hint="eastAsia"/>
              </w:rPr>
              <w:t>一类居住用地</w:t>
            </w:r>
          </w:p>
        </w:tc>
        <w:tc>
          <w:tcPr>
            <w:tcW w:w="6445" w:type="dxa"/>
            <w:vAlign w:val="center"/>
          </w:tcPr>
          <w:p>
            <w:pPr>
              <w:pStyle w:val="72"/>
              <w:rPr>
                <w:rFonts w:ascii="宋体" w:hAnsi="宋体"/>
              </w:rPr>
            </w:pPr>
            <w:r>
              <w:rPr>
                <w:rFonts w:ascii="宋体" w:hAnsi="宋体"/>
              </w:rPr>
              <w:t>≥</w:t>
            </w:r>
            <w:r>
              <w:t>40％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2627" w:type="dxa"/>
          </w:tcPr>
          <w:p>
            <w:pPr>
              <w:pStyle w:val="72"/>
            </w:pPr>
            <w:r>
              <w:rPr>
                <w:rFonts w:hint="eastAsia"/>
              </w:rPr>
              <w:t>二类居住用地</w:t>
            </w:r>
          </w:p>
        </w:tc>
        <w:tc>
          <w:tcPr>
            <w:tcW w:w="6445" w:type="dxa"/>
            <w:vAlign w:val="center"/>
          </w:tcPr>
          <w:p>
            <w:pPr>
              <w:pStyle w:val="72"/>
              <w:rPr>
                <w:rFonts w:ascii="宋体" w:hAnsi="宋体"/>
              </w:rPr>
            </w:pPr>
            <w:r>
              <w:rPr>
                <w:rFonts w:ascii="宋体" w:hAnsi="宋体"/>
              </w:rPr>
              <w:t>≥</w:t>
            </w:r>
            <w:r>
              <w:t>35％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2627" w:type="dxa"/>
          </w:tcPr>
          <w:p>
            <w:pPr>
              <w:pStyle w:val="72"/>
            </w:pPr>
            <w:r>
              <w:rPr>
                <w:rFonts w:hint="eastAsia"/>
              </w:rPr>
              <w:t>旧城居住改造用地</w:t>
            </w:r>
          </w:p>
        </w:tc>
        <w:tc>
          <w:tcPr>
            <w:tcW w:w="6445" w:type="dxa"/>
            <w:vAlign w:val="center"/>
          </w:tcPr>
          <w:p>
            <w:pPr>
              <w:pStyle w:val="72"/>
              <w:rPr>
                <w:rFonts w:ascii="宋体" w:hAnsi="宋体"/>
              </w:rPr>
            </w:pPr>
            <w:r>
              <w:rPr>
                <w:rFonts w:ascii="宋体" w:hAnsi="宋体"/>
              </w:rPr>
              <w:t>≥3</w:t>
            </w:r>
            <w:r>
              <w:t>0％</w:t>
            </w:r>
          </w:p>
        </w:tc>
      </w:tr>
    </w:tbl>
    <w:p>
      <w:pPr>
        <w:widowControl/>
        <w:spacing w:line="360" w:lineRule="auto"/>
        <w:ind w:left="-147" w:firstLine="482"/>
        <w:jc w:val="center"/>
        <w:rPr>
          <w:rFonts w:ascii="宋体" w:hAnsi="宋体" w:cs="Tahoma"/>
          <w:b/>
          <w:color w:val="000000"/>
          <w:sz w:val="24"/>
          <w:szCs w:val="21"/>
        </w:rPr>
      </w:pPr>
    </w:p>
    <w:p>
      <w:pPr>
        <w:widowControl/>
        <w:spacing w:line="360" w:lineRule="auto"/>
        <w:ind w:left="-147" w:firstLine="482"/>
        <w:jc w:val="center"/>
        <w:rPr>
          <w:rFonts w:ascii="宋体" w:hAnsi="宋体" w:cs="Tahoma"/>
          <w:b/>
          <w:color w:val="000000"/>
          <w:sz w:val="24"/>
          <w:szCs w:val="21"/>
        </w:rPr>
      </w:pPr>
      <w:r>
        <w:rPr>
          <w:rFonts w:hint="eastAsia" w:ascii="宋体" w:hAnsi="宋体" w:cs="Tahoma"/>
          <w:b/>
          <w:color w:val="000000"/>
          <w:sz w:val="24"/>
          <w:szCs w:val="21"/>
        </w:rPr>
        <w:t xml:space="preserve">  </w:t>
      </w:r>
      <w:r>
        <w:rPr>
          <w:rFonts w:ascii="宋体" w:hAnsi="宋体" w:cs="Tahoma"/>
          <w:b/>
          <w:color w:val="000000"/>
          <w:sz w:val="24"/>
          <w:szCs w:val="21"/>
        </w:rPr>
        <w:t>表</w:t>
      </w:r>
      <w:r>
        <w:rPr>
          <w:rFonts w:hint="eastAsia" w:ascii="宋体" w:hAnsi="宋体" w:cs="Tahoma"/>
          <w:b/>
          <w:color w:val="000000"/>
          <w:sz w:val="24"/>
          <w:szCs w:val="21"/>
        </w:rPr>
        <w:t>2</w:t>
      </w:r>
      <w:r>
        <w:rPr>
          <w:rFonts w:ascii="宋体" w:hAnsi="宋体" w:cs="Tahoma"/>
          <w:b/>
          <w:color w:val="000000"/>
          <w:sz w:val="24"/>
          <w:szCs w:val="21"/>
        </w:rPr>
        <w:t>-</w:t>
      </w:r>
      <w:r>
        <w:rPr>
          <w:rFonts w:hint="eastAsia" w:ascii="宋体" w:hAnsi="宋体" w:cs="Tahoma"/>
          <w:b/>
          <w:color w:val="000000"/>
          <w:sz w:val="24"/>
          <w:szCs w:val="21"/>
        </w:rPr>
        <w:t>6  单位附属绿地规划指标一览表</w:t>
      </w:r>
    </w:p>
    <w:tbl>
      <w:tblPr>
        <w:tblStyle w:val="39"/>
        <w:tblW w:w="9273"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620"/>
        <w:gridCol w:w="1605"/>
        <w:gridCol w:w="2646"/>
        <w:gridCol w:w="1764"/>
        <w:gridCol w:w="1638"/>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789" w:hRule="atLeast"/>
          <w:jc w:val="center"/>
        </w:trPr>
        <w:tc>
          <w:tcPr>
            <w:tcW w:w="1620" w:type="dxa"/>
            <w:shd w:val="clear" w:color="auto" w:fill="CCCCCC"/>
            <w:vAlign w:val="center"/>
          </w:tcPr>
          <w:p>
            <w:pPr>
              <w:pStyle w:val="72"/>
            </w:pPr>
            <w:r>
              <w:rPr>
                <w:rFonts w:hint="eastAsia"/>
              </w:rPr>
              <w:t>附属绿地</w:t>
            </w:r>
          </w:p>
          <w:p>
            <w:pPr>
              <w:pStyle w:val="72"/>
            </w:pPr>
            <w:r>
              <w:rPr>
                <w:rFonts w:hint="eastAsia"/>
              </w:rPr>
              <w:t>类型</w:t>
            </w:r>
          </w:p>
        </w:tc>
        <w:tc>
          <w:tcPr>
            <w:tcW w:w="4251" w:type="dxa"/>
            <w:gridSpan w:val="2"/>
            <w:shd w:val="clear" w:color="auto" w:fill="CCCCCC"/>
            <w:vAlign w:val="center"/>
          </w:tcPr>
          <w:p>
            <w:pPr>
              <w:pStyle w:val="72"/>
            </w:pPr>
            <w:r>
              <w:rPr>
                <w:rFonts w:hint="eastAsia"/>
              </w:rPr>
              <w:t>城市用地类型</w:t>
            </w:r>
          </w:p>
        </w:tc>
        <w:tc>
          <w:tcPr>
            <w:tcW w:w="1764" w:type="dxa"/>
            <w:shd w:val="clear" w:color="auto" w:fill="CCCCCC"/>
            <w:vAlign w:val="center"/>
          </w:tcPr>
          <w:p>
            <w:pPr>
              <w:pStyle w:val="72"/>
            </w:pPr>
            <w:r>
              <w:rPr>
                <w:rFonts w:hint="eastAsia"/>
              </w:rPr>
              <w:t>用地面积</w:t>
            </w:r>
          </w:p>
          <w:p>
            <w:pPr>
              <w:pStyle w:val="72"/>
            </w:pPr>
            <w:r>
              <w:rPr>
                <w:rFonts w:hint="eastAsia"/>
              </w:rPr>
              <w:t>（公顷）</w:t>
            </w:r>
          </w:p>
        </w:tc>
        <w:tc>
          <w:tcPr>
            <w:tcW w:w="1638" w:type="dxa"/>
            <w:shd w:val="clear" w:color="auto" w:fill="CCCCCC"/>
            <w:vAlign w:val="center"/>
          </w:tcPr>
          <w:p>
            <w:pPr>
              <w:pStyle w:val="72"/>
            </w:pPr>
            <w:r>
              <w:rPr>
                <w:rFonts w:hint="eastAsia"/>
              </w:rPr>
              <w:t>绿地率</w:t>
            </w:r>
          </w:p>
          <w:p>
            <w:pPr>
              <w:pStyle w:val="72"/>
            </w:pPr>
            <w:r>
              <w:rPr>
                <w:rFonts w:hint="eastAsia"/>
              </w:rPr>
              <w:t>（%）</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00" w:hRule="atLeast"/>
          <w:jc w:val="center"/>
        </w:trPr>
        <w:tc>
          <w:tcPr>
            <w:tcW w:w="1620" w:type="dxa"/>
            <w:shd w:val="clear" w:color="auto" w:fill="CCCCCC"/>
            <w:vAlign w:val="center"/>
          </w:tcPr>
          <w:p>
            <w:pPr>
              <w:pStyle w:val="72"/>
            </w:pPr>
            <w:r>
              <w:rPr>
                <w:rFonts w:hint="eastAsia"/>
              </w:rPr>
              <w:t>c</w:t>
            </w:r>
          </w:p>
        </w:tc>
        <w:tc>
          <w:tcPr>
            <w:tcW w:w="1605" w:type="dxa"/>
            <w:shd w:val="clear" w:color="auto" w:fill="CCCCCC"/>
            <w:vAlign w:val="center"/>
          </w:tcPr>
          <w:p>
            <w:pPr>
              <w:pStyle w:val="72"/>
            </w:pPr>
            <w:r>
              <w:rPr>
                <w:rFonts w:hint="eastAsia"/>
              </w:rPr>
              <w:t>代号</w:t>
            </w:r>
          </w:p>
        </w:tc>
        <w:tc>
          <w:tcPr>
            <w:tcW w:w="2646" w:type="dxa"/>
            <w:shd w:val="clear" w:color="auto" w:fill="CCCCCC"/>
            <w:vAlign w:val="center"/>
          </w:tcPr>
          <w:p>
            <w:pPr>
              <w:pStyle w:val="72"/>
            </w:pPr>
            <w:r>
              <w:rPr>
                <w:rFonts w:hint="eastAsia"/>
              </w:rPr>
              <w:t>类型</w:t>
            </w:r>
          </w:p>
        </w:tc>
        <w:tc>
          <w:tcPr>
            <w:tcW w:w="1764" w:type="dxa"/>
            <w:shd w:val="clear" w:color="auto" w:fill="CCCCCC"/>
            <w:vAlign w:val="center"/>
          </w:tcPr>
          <w:p>
            <w:pPr>
              <w:pStyle w:val="72"/>
            </w:pPr>
          </w:p>
        </w:tc>
        <w:tc>
          <w:tcPr>
            <w:tcW w:w="1638" w:type="dxa"/>
            <w:shd w:val="clear" w:color="auto" w:fill="CCCCCC"/>
            <w:vAlign w:val="center"/>
          </w:tcPr>
          <w:p>
            <w:pPr>
              <w:pStyle w:val="72"/>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00" w:hRule="atLeast"/>
          <w:jc w:val="center"/>
        </w:trPr>
        <w:tc>
          <w:tcPr>
            <w:tcW w:w="1620" w:type="dxa"/>
            <w:vMerge w:val="restart"/>
            <w:vAlign w:val="center"/>
          </w:tcPr>
          <w:p>
            <w:pPr>
              <w:pStyle w:val="72"/>
            </w:pPr>
            <w:r>
              <w:rPr>
                <w:rFonts w:hint="eastAsia"/>
              </w:rPr>
              <w:t>公共设施绿地</w:t>
            </w:r>
          </w:p>
        </w:tc>
        <w:tc>
          <w:tcPr>
            <w:tcW w:w="1605" w:type="dxa"/>
            <w:vAlign w:val="center"/>
          </w:tcPr>
          <w:p>
            <w:pPr>
              <w:pStyle w:val="72"/>
            </w:pPr>
            <w:r>
              <w:t>C1</w:t>
            </w:r>
          </w:p>
        </w:tc>
        <w:tc>
          <w:tcPr>
            <w:tcW w:w="2646" w:type="dxa"/>
            <w:vAlign w:val="center"/>
          </w:tcPr>
          <w:p>
            <w:pPr>
              <w:pStyle w:val="72"/>
            </w:pPr>
            <w:r>
              <w:rPr>
                <w:rFonts w:hint="eastAsia"/>
              </w:rPr>
              <w:t>行政办公用地</w:t>
            </w:r>
          </w:p>
        </w:tc>
        <w:tc>
          <w:tcPr>
            <w:tcW w:w="1764" w:type="dxa"/>
            <w:vAlign w:val="center"/>
          </w:tcPr>
          <w:p>
            <w:pPr>
              <w:pStyle w:val="72"/>
            </w:pPr>
            <w:r>
              <w:t>75．2</w:t>
            </w:r>
          </w:p>
        </w:tc>
        <w:tc>
          <w:tcPr>
            <w:tcW w:w="1638" w:type="dxa"/>
            <w:vAlign w:val="center"/>
          </w:tcPr>
          <w:p>
            <w:pPr>
              <w:pStyle w:val="72"/>
              <w:rPr>
                <w:rFonts w:eastAsia="楷体_GB2312"/>
                <w:spacing w:val="-20"/>
              </w:rPr>
            </w:pPr>
            <w:r>
              <w:t>≥35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00" w:hRule="atLeast"/>
          <w:jc w:val="center"/>
        </w:trPr>
        <w:tc>
          <w:tcPr>
            <w:tcW w:w="1620" w:type="dxa"/>
            <w:vMerge w:val="continue"/>
            <w:vAlign w:val="center"/>
          </w:tcPr>
          <w:p>
            <w:pPr>
              <w:pStyle w:val="72"/>
            </w:pPr>
          </w:p>
        </w:tc>
        <w:tc>
          <w:tcPr>
            <w:tcW w:w="1605" w:type="dxa"/>
            <w:vAlign w:val="center"/>
          </w:tcPr>
          <w:p>
            <w:pPr>
              <w:pStyle w:val="72"/>
            </w:pPr>
            <w:r>
              <w:t>C2</w:t>
            </w:r>
          </w:p>
        </w:tc>
        <w:tc>
          <w:tcPr>
            <w:tcW w:w="2646" w:type="dxa"/>
            <w:vAlign w:val="center"/>
          </w:tcPr>
          <w:p>
            <w:pPr>
              <w:pStyle w:val="72"/>
            </w:pPr>
            <w:r>
              <w:rPr>
                <w:rFonts w:hint="eastAsia"/>
              </w:rPr>
              <w:t>商业金融业用地</w:t>
            </w:r>
          </w:p>
        </w:tc>
        <w:tc>
          <w:tcPr>
            <w:tcW w:w="1764" w:type="dxa"/>
            <w:vAlign w:val="center"/>
          </w:tcPr>
          <w:p>
            <w:pPr>
              <w:pStyle w:val="72"/>
            </w:pPr>
            <w:r>
              <w:t>1008.6</w:t>
            </w:r>
          </w:p>
        </w:tc>
        <w:tc>
          <w:tcPr>
            <w:tcW w:w="1638" w:type="dxa"/>
            <w:vAlign w:val="center"/>
          </w:tcPr>
          <w:p>
            <w:pPr>
              <w:pStyle w:val="72"/>
            </w:pPr>
            <w:r>
              <w:t>≥25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00" w:hRule="atLeast"/>
          <w:jc w:val="center"/>
        </w:trPr>
        <w:tc>
          <w:tcPr>
            <w:tcW w:w="1620" w:type="dxa"/>
            <w:vMerge w:val="continue"/>
            <w:vAlign w:val="center"/>
          </w:tcPr>
          <w:p>
            <w:pPr>
              <w:pStyle w:val="72"/>
            </w:pPr>
          </w:p>
        </w:tc>
        <w:tc>
          <w:tcPr>
            <w:tcW w:w="1605" w:type="dxa"/>
            <w:vAlign w:val="center"/>
          </w:tcPr>
          <w:p>
            <w:pPr>
              <w:pStyle w:val="72"/>
            </w:pPr>
            <w:r>
              <w:t>C3</w:t>
            </w:r>
          </w:p>
        </w:tc>
        <w:tc>
          <w:tcPr>
            <w:tcW w:w="2646" w:type="dxa"/>
            <w:vAlign w:val="center"/>
          </w:tcPr>
          <w:p>
            <w:pPr>
              <w:pStyle w:val="72"/>
            </w:pPr>
            <w:r>
              <w:rPr>
                <w:rFonts w:hint="eastAsia"/>
              </w:rPr>
              <w:t>文化娱乐用地</w:t>
            </w:r>
          </w:p>
        </w:tc>
        <w:tc>
          <w:tcPr>
            <w:tcW w:w="1764" w:type="dxa"/>
            <w:vAlign w:val="center"/>
          </w:tcPr>
          <w:p>
            <w:pPr>
              <w:pStyle w:val="72"/>
            </w:pPr>
            <w:r>
              <w:t>73.3</w:t>
            </w:r>
          </w:p>
        </w:tc>
        <w:tc>
          <w:tcPr>
            <w:tcW w:w="1638" w:type="dxa"/>
            <w:vMerge w:val="restart"/>
            <w:vAlign w:val="center"/>
          </w:tcPr>
          <w:p>
            <w:pPr>
              <w:pStyle w:val="72"/>
            </w:pPr>
            <w:r>
              <w:t>≥30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00" w:hRule="atLeast"/>
          <w:jc w:val="center"/>
        </w:trPr>
        <w:tc>
          <w:tcPr>
            <w:tcW w:w="1620" w:type="dxa"/>
            <w:vMerge w:val="continue"/>
            <w:vAlign w:val="center"/>
          </w:tcPr>
          <w:p>
            <w:pPr>
              <w:pStyle w:val="72"/>
            </w:pPr>
          </w:p>
        </w:tc>
        <w:tc>
          <w:tcPr>
            <w:tcW w:w="1605" w:type="dxa"/>
            <w:vAlign w:val="center"/>
          </w:tcPr>
          <w:p>
            <w:pPr>
              <w:pStyle w:val="72"/>
            </w:pPr>
            <w:r>
              <w:t>C4</w:t>
            </w:r>
          </w:p>
        </w:tc>
        <w:tc>
          <w:tcPr>
            <w:tcW w:w="2646" w:type="dxa"/>
            <w:vAlign w:val="center"/>
          </w:tcPr>
          <w:p>
            <w:pPr>
              <w:pStyle w:val="72"/>
            </w:pPr>
            <w:r>
              <w:rPr>
                <w:rFonts w:hint="eastAsia"/>
              </w:rPr>
              <w:t>体育用地</w:t>
            </w:r>
          </w:p>
        </w:tc>
        <w:tc>
          <w:tcPr>
            <w:tcW w:w="1764" w:type="dxa"/>
            <w:vAlign w:val="center"/>
          </w:tcPr>
          <w:p>
            <w:pPr>
              <w:pStyle w:val="72"/>
            </w:pPr>
            <w:r>
              <w:t>218.1</w:t>
            </w:r>
          </w:p>
        </w:tc>
        <w:tc>
          <w:tcPr>
            <w:tcW w:w="1638" w:type="dxa"/>
            <w:vMerge w:val="continue"/>
            <w:vAlign w:val="center"/>
          </w:tcPr>
          <w:p>
            <w:pPr>
              <w:pStyle w:val="72"/>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00" w:hRule="atLeast"/>
          <w:jc w:val="center"/>
        </w:trPr>
        <w:tc>
          <w:tcPr>
            <w:tcW w:w="1620" w:type="dxa"/>
            <w:vMerge w:val="continue"/>
            <w:vAlign w:val="center"/>
          </w:tcPr>
          <w:p>
            <w:pPr>
              <w:pStyle w:val="72"/>
            </w:pPr>
          </w:p>
        </w:tc>
        <w:tc>
          <w:tcPr>
            <w:tcW w:w="1605" w:type="dxa"/>
            <w:vAlign w:val="center"/>
          </w:tcPr>
          <w:p>
            <w:pPr>
              <w:pStyle w:val="72"/>
            </w:pPr>
            <w:r>
              <w:t>C5</w:t>
            </w:r>
          </w:p>
        </w:tc>
        <w:tc>
          <w:tcPr>
            <w:tcW w:w="2646" w:type="dxa"/>
            <w:vAlign w:val="center"/>
          </w:tcPr>
          <w:p>
            <w:pPr>
              <w:pStyle w:val="72"/>
            </w:pPr>
            <w:r>
              <w:rPr>
                <w:rFonts w:hint="eastAsia"/>
              </w:rPr>
              <w:t>医疗卫生用地</w:t>
            </w:r>
          </w:p>
        </w:tc>
        <w:tc>
          <w:tcPr>
            <w:tcW w:w="1764" w:type="dxa"/>
            <w:vAlign w:val="center"/>
          </w:tcPr>
          <w:p>
            <w:pPr>
              <w:pStyle w:val="72"/>
            </w:pPr>
            <w:r>
              <w:t>39.5</w:t>
            </w:r>
          </w:p>
        </w:tc>
        <w:tc>
          <w:tcPr>
            <w:tcW w:w="1638" w:type="dxa"/>
            <w:vMerge w:val="continue"/>
            <w:vAlign w:val="center"/>
          </w:tcPr>
          <w:p>
            <w:pPr>
              <w:pStyle w:val="72"/>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00" w:hRule="atLeast"/>
          <w:jc w:val="center"/>
        </w:trPr>
        <w:tc>
          <w:tcPr>
            <w:tcW w:w="1620" w:type="dxa"/>
            <w:vMerge w:val="continue"/>
            <w:vAlign w:val="center"/>
          </w:tcPr>
          <w:p>
            <w:pPr>
              <w:pStyle w:val="72"/>
            </w:pPr>
          </w:p>
        </w:tc>
        <w:tc>
          <w:tcPr>
            <w:tcW w:w="1605" w:type="dxa"/>
            <w:vAlign w:val="center"/>
          </w:tcPr>
          <w:p>
            <w:pPr>
              <w:pStyle w:val="72"/>
            </w:pPr>
            <w:r>
              <w:t>C6</w:t>
            </w:r>
          </w:p>
        </w:tc>
        <w:tc>
          <w:tcPr>
            <w:tcW w:w="2646" w:type="dxa"/>
            <w:vAlign w:val="center"/>
          </w:tcPr>
          <w:p>
            <w:pPr>
              <w:pStyle w:val="72"/>
            </w:pPr>
            <w:r>
              <w:rPr>
                <w:rFonts w:hint="eastAsia"/>
              </w:rPr>
              <w:t>教育科研用地</w:t>
            </w:r>
          </w:p>
        </w:tc>
        <w:tc>
          <w:tcPr>
            <w:tcW w:w="1764" w:type="dxa"/>
            <w:vAlign w:val="center"/>
          </w:tcPr>
          <w:p>
            <w:pPr>
              <w:pStyle w:val="72"/>
            </w:pPr>
            <w:r>
              <w:t>210.2</w:t>
            </w:r>
          </w:p>
        </w:tc>
        <w:tc>
          <w:tcPr>
            <w:tcW w:w="1638" w:type="dxa"/>
            <w:vMerge w:val="continue"/>
            <w:vAlign w:val="center"/>
          </w:tcPr>
          <w:p>
            <w:pPr>
              <w:pStyle w:val="72"/>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00" w:hRule="atLeast"/>
          <w:jc w:val="center"/>
        </w:trPr>
        <w:tc>
          <w:tcPr>
            <w:tcW w:w="1620" w:type="dxa"/>
            <w:vAlign w:val="center"/>
          </w:tcPr>
          <w:p>
            <w:pPr>
              <w:pStyle w:val="72"/>
            </w:pPr>
            <w:r>
              <w:rPr>
                <w:rFonts w:hint="eastAsia"/>
              </w:rPr>
              <w:t>工业绿地</w:t>
            </w:r>
          </w:p>
        </w:tc>
        <w:tc>
          <w:tcPr>
            <w:tcW w:w="1605" w:type="dxa"/>
            <w:vAlign w:val="center"/>
          </w:tcPr>
          <w:p>
            <w:pPr>
              <w:pStyle w:val="72"/>
            </w:pPr>
            <w:r>
              <w:t>M</w:t>
            </w:r>
          </w:p>
        </w:tc>
        <w:tc>
          <w:tcPr>
            <w:tcW w:w="2646" w:type="dxa"/>
            <w:vAlign w:val="center"/>
          </w:tcPr>
          <w:p>
            <w:pPr>
              <w:pStyle w:val="72"/>
            </w:pPr>
            <w:r>
              <w:rPr>
                <w:rFonts w:hint="eastAsia"/>
              </w:rPr>
              <w:t>工业用地</w:t>
            </w:r>
          </w:p>
        </w:tc>
        <w:tc>
          <w:tcPr>
            <w:tcW w:w="1764" w:type="dxa"/>
            <w:vAlign w:val="center"/>
          </w:tcPr>
          <w:p>
            <w:pPr>
              <w:pStyle w:val="72"/>
            </w:pPr>
            <w:r>
              <w:t>2175.06</w:t>
            </w:r>
          </w:p>
        </w:tc>
        <w:tc>
          <w:tcPr>
            <w:tcW w:w="1638" w:type="dxa"/>
            <w:vAlign w:val="center"/>
          </w:tcPr>
          <w:p>
            <w:pPr>
              <w:pStyle w:val="72"/>
            </w:pPr>
            <w:r>
              <w:t>≥10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00" w:hRule="atLeast"/>
          <w:jc w:val="center"/>
        </w:trPr>
        <w:tc>
          <w:tcPr>
            <w:tcW w:w="1620" w:type="dxa"/>
            <w:vAlign w:val="center"/>
          </w:tcPr>
          <w:p>
            <w:pPr>
              <w:pStyle w:val="72"/>
            </w:pPr>
            <w:r>
              <w:rPr>
                <w:rFonts w:hint="eastAsia"/>
              </w:rPr>
              <w:t>仓储绿地</w:t>
            </w:r>
          </w:p>
        </w:tc>
        <w:tc>
          <w:tcPr>
            <w:tcW w:w="1605" w:type="dxa"/>
            <w:vAlign w:val="center"/>
          </w:tcPr>
          <w:p>
            <w:pPr>
              <w:pStyle w:val="72"/>
            </w:pPr>
            <w:r>
              <w:t>W</w:t>
            </w:r>
          </w:p>
        </w:tc>
        <w:tc>
          <w:tcPr>
            <w:tcW w:w="2646" w:type="dxa"/>
            <w:vAlign w:val="center"/>
          </w:tcPr>
          <w:p>
            <w:pPr>
              <w:pStyle w:val="72"/>
            </w:pPr>
            <w:r>
              <w:rPr>
                <w:rFonts w:hint="eastAsia"/>
              </w:rPr>
              <w:t>仓储用地</w:t>
            </w:r>
          </w:p>
        </w:tc>
        <w:tc>
          <w:tcPr>
            <w:tcW w:w="1764" w:type="dxa"/>
            <w:vAlign w:val="center"/>
          </w:tcPr>
          <w:p>
            <w:pPr>
              <w:pStyle w:val="72"/>
            </w:pPr>
            <w:r>
              <w:t>176.62</w:t>
            </w:r>
          </w:p>
        </w:tc>
        <w:tc>
          <w:tcPr>
            <w:tcW w:w="1638" w:type="dxa"/>
            <w:vAlign w:val="center"/>
          </w:tcPr>
          <w:p>
            <w:pPr>
              <w:pStyle w:val="72"/>
            </w:pPr>
            <w:r>
              <w:t>≥20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00" w:hRule="atLeast"/>
          <w:jc w:val="center"/>
        </w:trPr>
        <w:tc>
          <w:tcPr>
            <w:tcW w:w="1620" w:type="dxa"/>
            <w:vAlign w:val="center"/>
          </w:tcPr>
          <w:p>
            <w:pPr>
              <w:pStyle w:val="72"/>
            </w:pPr>
            <w:r>
              <w:rPr>
                <w:rFonts w:hint="eastAsia"/>
              </w:rPr>
              <w:t>对外交通绿地</w:t>
            </w:r>
          </w:p>
        </w:tc>
        <w:tc>
          <w:tcPr>
            <w:tcW w:w="1605" w:type="dxa"/>
            <w:vAlign w:val="center"/>
          </w:tcPr>
          <w:p>
            <w:pPr>
              <w:pStyle w:val="72"/>
            </w:pPr>
            <w:r>
              <w:t>T</w:t>
            </w:r>
          </w:p>
        </w:tc>
        <w:tc>
          <w:tcPr>
            <w:tcW w:w="2646" w:type="dxa"/>
            <w:vAlign w:val="center"/>
          </w:tcPr>
          <w:p>
            <w:pPr>
              <w:pStyle w:val="72"/>
            </w:pPr>
            <w:r>
              <w:rPr>
                <w:rFonts w:hint="eastAsia"/>
              </w:rPr>
              <w:t>对外交通用地</w:t>
            </w:r>
          </w:p>
        </w:tc>
        <w:tc>
          <w:tcPr>
            <w:tcW w:w="1764" w:type="dxa"/>
            <w:vAlign w:val="center"/>
          </w:tcPr>
          <w:p>
            <w:pPr>
              <w:pStyle w:val="72"/>
            </w:pPr>
            <w:r>
              <w:t>349.61</w:t>
            </w:r>
          </w:p>
        </w:tc>
        <w:tc>
          <w:tcPr>
            <w:tcW w:w="1638" w:type="dxa"/>
            <w:vAlign w:val="center"/>
          </w:tcPr>
          <w:p>
            <w:pPr>
              <w:pStyle w:val="72"/>
            </w:pPr>
            <w:r>
              <w:t>≥25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1378" w:hRule="atLeast"/>
          <w:jc w:val="center"/>
        </w:trPr>
        <w:tc>
          <w:tcPr>
            <w:tcW w:w="1620" w:type="dxa"/>
            <w:vMerge w:val="restart"/>
            <w:vAlign w:val="center"/>
          </w:tcPr>
          <w:p>
            <w:pPr>
              <w:pStyle w:val="72"/>
            </w:pPr>
            <w:r>
              <w:rPr>
                <w:rFonts w:hint="eastAsia"/>
              </w:rPr>
              <w:t>广场绿地</w:t>
            </w:r>
          </w:p>
        </w:tc>
        <w:tc>
          <w:tcPr>
            <w:tcW w:w="1605" w:type="dxa"/>
            <w:vAlign w:val="center"/>
          </w:tcPr>
          <w:p>
            <w:pPr>
              <w:pStyle w:val="72"/>
            </w:pPr>
            <w:r>
              <w:t>S1</w:t>
            </w:r>
          </w:p>
        </w:tc>
        <w:tc>
          <w:tcPr>
            <w:tcW w:w="2646" w:type="dxa"/>
            <w:vAlign w:val="center"/>
          </w:tcPr>
          <w:p>
            <w:pPr>
              <w:pStyle w:val="72"/>
            </w:pPr>
            <w:r>
              <w:rPr>
                <w:rFonts w:hint="eastAsia"/>
              </w:rPr>
              <w:t>道路用地</w:t>
            </w:r>
          </w:p>
        </w:tc>
        <w:tc>
          <w:tcPr>
            <w:tcW w:w="1764" w:type="dxa"/>
            <w:vMerge w:val="restart"/>
            <w:vAlign w:val="center"/>
          </w:tcPr>
          <w:p>
            <w:pPr>
              <w:pStyle w:val="72"/>
            </w:pPr>
            <w:r>
              <w:t>1483.8</w:t>
            </w:r>
          </w:p>
        </w:tc>
        <w:tc>
          <w:tcPr>
            <w:tcW w:w="1638" w:type="dxa"/>
            <w:vAlign w:val="center"/>
          </w:tcPr>
          <w:p>
            <w:pPr>
              <w:pStyle w:val="72"/>
            </w:pPr>
            <w:r>
              <w:rPr>
                <w:rFonts w:hint="eastAsia"/>
              </w:rPr>
              <w:t>按道路绿地章节要求执行</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66" w:hRule="atLeast"/>
          <w:jc w:val="center"/>
        </w:trPr>
        <w:tc>
          <w:tcPr>
            <w:tcW w:w="1620" w:type="dxa"/>
            <w:vMerge w:val="continue"/>
            <w:vAlign w:val="center"/>
          </w:tcPr>
          <w:p>
            <w:pPr>
              <w:pStyle w:val="72"/>
            </w:pPr>
          </w:p>
        </w:tc>
        <w:tc>
          <w:tcPr>
            <w:tcW w:w="1605" w:type="dxa"/>
            <w:vAlign w:val="center"/>
          </w:tcPr>
          <w:p>
            <w:pPr>
              <w:pStyle w:val="72"/>
            </w:pPr>
            <w:r>
              <w:t>S2</w:t>
            </w:r>
          </w:p>
        </w:tc>
        <w:tc>
          <w:tcPr>
            <w:tcW w:w="2646" w:type="dxa"/>
            <w:vAlign w:val="center"/>
          </w:tcPr>
          <w:p>
            <w:pPr>
              <w:pStyle w:val="72"/>
            </w:pPr>
            <w:r>
              <w:rPr>
                <w:rFonts w:hint="eastAsia"/>
              </w:rPr>
              <w:t>广场用地</w:t>
            </w:r>
          </w:p>
        </w:tc>
        <w:tc>
          <w:tcPr>
            <w:tcW w:w="1764" w:type="dxa"/>
            <w:vMerge w:val="continue"/>
            <w:vAlign w:val="center"/>
          </w:tcPr>
          <w:p>
            <w:pPr>
              <w:pStyle w:val="72"/>
            </w:pPr>
          </w:p>
        </w:tc>
        <w:tc>
          <w:tcPr>
            <w:tcW w:w="1638" w:type="dxa"/>
            <w:vAlign w:val="center"/>
          </w:tcPr>
          <w:p>
            <w:pPr>
              <w:pStyle w:val="72"/>
            </w:pPr>
            <w:r>
              <w:rPr>
                <w:rFonts w:hint="eastAsia"/>
              </w:rPr>
              <w:t>≥65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66" w:hRule="atLeast"/>
          <w:jc w:val="center"/>
        </w:trPr>
        <w:tc>
          <w:tcPr>
            <w:tcW w:w="1620" w:type="dxa"/>
            <w:vMerge w:val="continue"/>
            <w:vAlign w:val="center"/>
          </w:tcPr>
          <w:p>
            <w:pPr>
              <w:pStyle w:val="72"/>
            </w:pPr>
          </w:p>
        </w:tc>
        <w:tc>
          <w:tcPr>
            <w:tcW w:w="1605" w:type="dxa"/>
            <w:vAlign w:val="center"/>
          </w:tcPr>
          <w:p>
            <w:pPr>
              <w:pStyle w:val="72"/>
            </w:pPr>
            <w:r>
              <w:t>S3</w:t>
            </w:r>
          </w:p>
        </w:tc>
        <w:tc>
          <w:tcPr>
            <w:tcW w:w="2646" w:type="dxa"/>
            <w:vAlign w:val="center"/>
          </w:tcPr>
          <w:p>
            <w:pPr>
              <w:pStyle w:val="72"/>
            </w:pPr>
            <w:r>
              <w:rPr>
                <w:rFonts w:hint="eastAsia"/>
              </w:rPr>
              <w:t>社会停车场</w:t>
            </w:r>
          </w:p>
        </w:tc>
        <w:tc>
          <w:tcPr>
            <w:tcW w:w="1764" w:type="dxa"/>
            <w:vMerge w:val="continue"/>
            <w:vAlign w:val="center"/>
          </w:tcPr>
          <w:p>
            <w:pPr>
              <w:pStyle w:val="72"/>
            </w:pPr>
          </w:p>
        </w:tc>
        <w:tc>
          <w:tcPr>
            <w:tcW w:w="1638" w:type="dxa"/>
            <w:vAlign w:val="center"/>
          </w:tcPr>
          <w:p>
            <w:pPr>
              <w:pStyle w:val="72"/>
            </w:pPr>
            <w:r>
              <w:rPr>
                <w:rFonts w:hint="eastAsia"/>
              </w:rPr>
              <w:t>≥20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10" w:hRule="atLeast"/>
          <w:jc w:val="center"/>
        </w:trPr>
        <w:tc>
          <w:tcPr>
            <w:tcW w:w="1620" w:type="dxa"/>
            <w:vAlign w:val="center"/>
          </w:tcPr>
          <w:p>
            <w:pPr>
              <w:pStyle w:val="72"/>
            </w:pPr>
            <w:r>
              <w:rPr>
                <w:rFonts w:hint="eastAsia"/>
              </w:rPr>
              <w:t>市政设施绿地</w:t>
            </w:r>
          </w:p>
        </w:tc>
        <w:tc>
          <w:tcPr>
            <w:tcW w:w="1605" w:type="dxa"/>
            <w:vAlign w:val="center"/>
          </w:tcPr>
          <w:p>
            <w:pPr>
              <w:pStyle w:val="72"/>
            </w:pPr>
            <w:r>
              <w:t>U</w:t>
            </w:r>
          </w:p>
        </w:tc>
        <w:tc>
          <w:tcPr>
            <w:tcW w:w="2646" w:type="dxa"/>
            <w:vAlign w:val="center"/>
          </w:tcPr>
          <w:p>
            <w:pPr>
              <w:pStyle w:val="72"/>
            </w:pPr>
            <w:r>
              <w:rPr>
                <w:rFonts w:hint="eastAsia"/>
              </w:rPr>
              <w:t>市政公用设施用地</w:t>
            </w:r>
          </w:p>
        </w:tc>
        <w:tc>
          <w:tcPr>
            <w:tcW w:w="1764" w:type="dxa"/>
            <w:vAlign w:val="center"/>
          </w:tcPr>
          <w:p>
            <w:pPr>
              <w:pStyle w:val="72"/>
            </w:pPr>
            <w:r>
              <w:t>146.14</w:t>
            </w:r>
          </w:p>
        </w:tc>
        <w:tc>
          <w:tcPr>
            <w:tcW w:w="1638" w:type="dxa"/>
            <w:vAlign w:val="center"/>
          </w:tcPr>
          <w:p>
            <w:pPr>
              <w:pStyle w:val="72"/>
            </w:pPr>
            <w:r>
              <w:rPr>
                <w:rFonts w:hint="eastAsia"/>
              </w:rPr>
              <w:t xml:space="preserve"> ≥20</w:t>
            </w:r>
          </w:p>
        </w:tc>
      </w:tr>
    </w:tbl>
    <w:p>
      <w:pPr>
        <w:spacing w:before="120" w:beforeLines="50" w:after="120" w:afterLines="50"/>
        <w:ind w:firstLine="562"/>
        <w:jc w:val="center"/>
        <w:rPr>
          <w:rFonts w:ascii="宋体" w:hAnsi="宋体"/>
          <w:b/>
          <w:color w:val="000000"/>
          <w:szCs w:val="21"/>
        </w:rPr>
      </w:pPr>
    </w:p>
    <w:p>
      <w:pPr>
        <w:pStyle w:val="4"/>
      </w:pPr>
      <w:bookmarkStart w:id="48" w:name="_Toc8032498"/>
      <w:r>
        <w:rPr>
          <w:rFonts w:hint="eastAsia"/>
        </w:rPr>
        <w:t xml:space="preserve">1.5.3 </w:t>
      </w:r>
      <w:r>
        <w:t>市域绿地系统结构</w:t>
      </w:r>
      <w:bookmarkEnd w:id="48"/>
      <w:r>
        <w:t xml:space="preserve"> </w:t>
      </w:r>
    </w:p>
    <w:p>
      <w:pPr>
        <w:ind w:firstLine="560"/>
        <w:rPr>
          <w:szCs w:val="28"/>
        </w:rPr>
      </w:pPr>
      <w:r>
        <w:rPr>
          <w:szCs w:val="28"/>
        </w:rPr>
        <w:t>规划淮北市市域绿地系统为“一心、二带、多廊道”打造的层次丰富的市域绿地系统结构。</w:t>
      </w:r>
    </w:p>
    <w:p>
      <w:pPr>
        <w:ind w:firstLine="560"/>
        <w:rPr>
          <w:szCs w:val="28"/>
        </w:rPr>
      </w:pPr>
      <w:r>
        <w:rPr>
          <w:szCs w:val="28"/>
        </w:rPr>
        <w:t xml:space="preserve"> “一心”：包括城市中心生态敏感区域及生态控制区绿地、生态恢复区绿地、部分生态协调区绿地、城镇建设区的重要景观绿地等。 </w:t>
      </w:r>
    </w:p>
    <w:p>
      <w:pPr>
        <w:ind w:firstLine="560"/>
        <w:rPr>
          <w:szCs w:val="28"/>
        </w:rPr>
      </w:pPr>
      <w:r>
        <w:rPr>
          <w:szCs w:val="28"/>
        </w:rPr>
        <w:t>“二带”：淮北市的北部相山和东南部的龙脊山的山体走势造就了淮北市市域绿地系统中北、东两方向的天然山体绿化带，成为淮北市区最重要的一项生态 支撑要素。</w:t>
      </w:r>
      <w:bookmarkStart w:id="49" w:name="1.4.2淮北市排水专项规划（污水章节）"/>
      <w:bookmarkEnd w:id="49"/>
      <w:bookmarkStart w:id="50" w:name="_bookmark12"/>
      <w:bookmarkEnd w:id="50"/>
    </w:p>
    <w:p>
      <w:pPr>
        <w:ind w:firstLine="560"/>
        <w:rPr>
          <w:szCs w:val="28"/>
        </w:rPr>
      </w:pPr>
      <w:r>
        <w:rPr>
          <w:szCs w:val="28"/>
        </w:rPr>
        <w:t xml:space="preserve"> “多廊道”：指市域范围内规划的高速公路，如合徐高速公路、连霍高速公 路等；公路，如 202 省道、101 省道等；其他主干公路、铁路的防护绿带、重点河 道，如闸河、龙岱河、新濉河等；一般河道景观绿带，如市域内一些城镇之间的 河流分支地段周边的景观绿地、防护绿地；1000kv 线路、500kv 线路、220kv 线路 防护绿带所构成的绿色廊道。</w:t>
      </w:r>
    </w:p>
    <w:p>
      <w:pPr>
        <w:pStyle w:val="4"/>
      </w:pPr>
      <w:bookmarkStart w:id="51" w:name="_Toc8032499"/>
      <w:r>
        <w:rPr>
          <w:rFonts w:hint="eastAsia"/>
        </w:rPr>
        <w:t xml:space="preserve">1.5.4 </w:t>
      </w:r>
      <w:r>
        <w:t>市域绿地系统布局</w:t>
      </w:r>
      <w:bookmarkEnd w:id="51"/>
    </w:p>
    <w:p>
      <w:pPr>
        <w:ind w:firstLine="560"/>
        <w:rPr>
          <w:szCs w:val="28"/>
        </w:rPr>
      </w:pPr>
      <w:r>
        <w:rPr>
          <w:szCs w:val="28"/>
        </w:rPr>
        <w:t xml:space="preserve"> 生态斑块：由主城区内大面积的湿地公园、山体公园及城市各种绿地构成的绿较为集中的生态敏感区域。 </w:t>
      </w:r>
    </w:p>
    <w:p>
      <w:pPr>
        <w:ind w:firstLine="560"/>
        <w:rPr>
          <w:szCs w:val="28"/>
        </w:rPr>
      </w:pPr>
      <w:r>
        <w:rPr>
          <w:szCs w:val="28"/>
        </w:rPr>
        <w:t xml:space="preserve">生态廊道：沿市域内重要河流（如老濉河、濉溪县区域河流两岸绿地）、水源地、铁路、高速公路、高压线等线型人工生态要素建立生态走廊。 </w:t>
      </w:r>
    </w:p>
    <w:p>
      <w:pPr>
        <w:ind w:firstLine="560"/>
        <w:rPr>
          <w:szCs w:val="28"/>
        </w:rPr>
      </w:pPr>
      <w:r>
        <w:rPr>
          <w:szCs w:val="28"/>
        </w:rPr>
        <w:t>生态基质：农业生产绿地主要有农田林网、经济林、果园、苗圃、花圃、生态农业观光园等，如黄里风景区果园林地。</w:t>
      </w:r>
    </w:p>
    <w:p>
      <w:pPr>
        <w:pStyle w:val="3"/>
        <w:spacing w:before="120" w:after="60" w:line="360" w:lineRule="auto"/>
        <w:ind w:firstLine="602"/>
        <w:rPr>
          <w:rFonts w:ascii="Times New Roman" w:hAnsi="Times New Roman"/>
        </w:rPr>
      </w:pPr>
      <w:bookmarkStart w:id="52" w:name="_Toc8032500"/>
      <w:r>
        <w:rPr>
          <w:rFonts w:hint="eastAsia" w:ascii="Times New Roman" w:hAnsi="Times New Roman"/>
        </w:rPr>
        <w:t xml:space="preserve">1.6 </w:t>
      </w:r>
      <w:r>
        <w:rPr>
          <w:rFonts w:ascii="Times New Roman" w:hAnsi="Times New Roman"/>
        </w:rPr>
        <w:t xml:space="preserve"> 《淮北市</w:t>
      </w:r>
      <w:r>
        <w:rPr>
          <w:rFonts w:hint="eastAsia" w:ascii="Times New Roman" w:hAnsi="Times New Roman"/>
        </w:rPr>
        <w:t>水资源综合规划2004-2020》</w:t>
      </w:r>
      <w:bookmarkEnd w:id="52"/>
    </w:p>
    <w:p>
      <w:pPr>
        <w:pStyle w:val="4"/>
      </w:pPr>
      <w:bookmarkStart w:id="53" w:name="_Toc8032501"/>
      <w:r>
        <w:t>1.6.1</w:t>
      </w:r>
      <w:r>
        <w:rPr>
          <w:rFonts w:hint="eastAsia"/>
        </w:rPr>
        <w:t>水资源现状</w:t>
      </w:r>
      <w:bookmarkEnd w:id="53"/>
    </w:p>
    <w:p>
      <w:pPr>
        <w:ind w:firstLine="560"/>
        <w:rPr>
          <w:szCs w:val="28"/>
        </w:rPr>
      </w:pPr>
      <w:bookmarkStart w:id="54" w:name="_Toc156399652"/>
      <w:bookmarkStart w:id="55" w:name="_Toc178305325"/>
      <w:r>
        <w:rPr>
          <w:szCs w:val="28"/>
        </w:rPr>
        <w:t>1.地表水资源量</w:t>
      </w:r>
      <w:bookmarkEnd w:id="54"/>
      <w:bookmarkEnd w:id="55"/>
    </w:p>
    <w:p>
      <w:pPr>
        <w:ind w:firstLine="560"/>
      </w:pPr>
      <w:r>
        <w:t>淮北市多年平均降水量为844.3mm；降水量地区分布上差异不是很明显，但也存在着区域腹部雨量较小，向东北、东南方向增加的趋势，且向东北的增加梯度比向东南的要大；降水年际变化较大，最大年降水是最小年降水量的2.5倍，降水量年内分配极不均匀，汛期（6～9月）降水占年降水的65.6%。</w:t>
      </w:r>
    </w:p>
    <w:p>
      <w:pPr>
        <w:ind w:firstLine="560"/>
      </w:pPr>
      <w:r>
        <w:t>淮北市多年平均蒸发量为997.5mm；最大年蒸发量为最小年的1.85倍，多年平均月最大蒸发量出现在6月份、约占年蒸发量的15.4%，汛期（6～9月）蒸发量占年蒸发量的48.7%，连续最大四个月蒸发量在5～8月份约占全年蒸发量的51.1%，蒸发量的年际、年内变幅比降水量要小；多年平均干旱指数为1.3，地区气候偏干旱。</w:t>
      </w:r>
    </w:p>
    <w:p>
      <w:pPr>
        <w:ind w:firstLine="560"/>
      </w:pPr>
      <w:r>
        <w:t>淮北市地表水资源的地区分布、年内分配基本与地区降水一致，但同时受下垫面地貌特性及土地属性不同的影响略有不同，地表水资源量地区分布差异比降水明显大些；地表径流的年内分配比降水的年内分配更不均匀。地表水资源量</w:t>
      </w:r>
      <w:r>
        <w:rPr>
          <w:rFonts w:hint="eastAsia"/>
        </w:rPr>
        <w:t>评价成果</w:t>
      </w:r>
      <w:r>
        <w:t>见表2-</w:t>
      </w:r>
      <w:r>
        <w:rPr>
          <w:rFonts w:hint="eastAsia"/>
        </w:rPr>
        <w:t>7</w:t>
      </w:r>
      <w:r>
        <w:t>。</w:t>
      </w:r>
    </w:p>
    <w:p>
      <w:pPr>
        <w:widowControl/>
        <w:spacing w:line="360" w:lineRule="auto"/>
        <w:ind w:left="-147" w:firstLine="482"/>
        <w:jc w:val="center"/>
        <w:rPr>
          <w:rFonts w:ascii="宋体" w:hAnsi="宋体" w:cs="Tahoma"/>
          <w:b/>
          <w:color w:val="000000"/>
          <w:sz w:val="24"/>
          <w:szCs w:val="21"/>
        </w:rPr>
      </w:pPr>
      <w:r>
        <w:rPr>
          <w:rFonts w:ascii="宋体" w:hAnsi="宋体" w:cs="Tahoma"/>
          <w:b/>
          <w:color w:val="000000"/>
          <w:sz w:val="24"/>
          <w:szCs w:val="21"/>
        </w:rPr>
        <w:t>表2-</w:t>
      </w:r>
      <w:r>
        <w:rPr>
          <w:rFonts w:hint="eastAsia" w:ascii="宋体" w:hAnsi="宋体" w:cs="Tahoma"/>
          <w:b/>
          <w:color w:val="000000"/>
          <w:sz w:val="24"/>
          <w:szCs w:val="21"/>
        </w:rPr>
        <w:t>7</w:t>
      </w:r>
      <w:r>
        <w:rPr>
          <w:rFonts w:ascii="宋体" w:hAnsi="宋体" w:cs="Tahoma"/>
          <w:b/>
          <w:color w:val="000000"/>
          <w:sz w:val="24"/>
          <w:szCs w:val="21"/>
        </w:rPr>
        <w:t xml:space="preserve">  淮北市地表水资源量评价成果表  单位：亿m</w:t>
      </w:r>
      <w:r>
        <w:rPr>
          <w:rFonts w:ascii="宋体" w:hAnsi="宋体" w:cs="Tahoma"/>
          <w:b/>
          <w:color w:val="000000"/>
          <w:sz w:val="24"/>
          <w:szCs w:val="21"/>
          <w:vertAlign w:val="superscript"/>
        </w:rPr>
        <w:t>3</w:t>
      </w:r>
    </w:p>
    <w:tbl>
      <w:tblPr>
        <w:tblStyle w:val="39"/>
        <w:tblW w:w="8918"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486"/>
        <w:gridCol w:w="1486"/>
        <w:gridCol w:w="1487"/>
        <w:gridCol w:w="1486"/>
        <w:gridCol w:w="1486"/>
        <w:gridCol w:w="1487"/>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486" w:type="dxa"/>
            <w:vAlign w:val="center"/>
          </w:tcPr>
          <w:p>
            <w:pPr>
              <w:pStyle w:val="72"/>
            </w:pPr>
            <w:r>
              <w:t>分区</w:t>
            </w:r>
          </w:p>
        </w:tc>
        <w:tc>
          <w:tcPr>
            <w:tcW w:w="1486" w:type="dxa"/>
            <w:noWrap/>
            <w:vAlign w:val="center"/>
          </w:tcPr>
          <w:p>
            <w:pPr>
              <w:pStyle w:val="72"/>
            </w:pPr>
            <w:r>
              <w:rPr>
                <w:rFonts w:hint="eastAsia"/>
              </w:rPr>
              <w:t>多年平均</w:t>
            </w:r>
          </w:p>
        </w:tc>
        <w:tc>
          <w:tcPr>
            <w:tcW w:w="1487" w:type="dxa"/>
            <w:noWrap/>
            <w:vAlign w:val="center"/>
          </w:tcPr>
          <w:p>
            <w:pPr>
              <w:pStyle w:val="72"/>
            </w:pPr>
            <w:r>
              <w:t>20%</w:t>
            </w:r>
          </w:p>
        </w:tc>
        <w:tc>
          <w:tcPr>
            <w:tcW w:w="1486" w:type="dxa"/>
            <w:noWrap/>
            <w:vAlign w:val="center"/>
          </w:tcPr>
          <w:p>
            <w:pPr>
              <w:pStyle w:val="72"/>
            </w:pPr>
            <w:r>
              <w:t>50%</w:t>
            </w:r>
          </w:p>
        </w:tc>
        <w:tc>
          <w:tcPr>
            <w:tcW w:w="1486" w:type="dxa"/>
            <w:noWrap/>
            <w:vAlign w:val="center"/>
          </w:tcPr>
          <w:p>
            <w:pPr>
              <w:pStyle w:val="72"/>
            </w:pPr>
            <w:r>
              <w:t>75%</w:t>
            </w:r>
          </w:p>
        </w:tc>
        <w:tc>
          <w:tcPr>
            <w:tcW w:w="1487" w:type="dxa"/>
            <w:noWrap/>
            <w:vAlign w:val="center"/>
          </w:tcPr>
          <w:p>
            <w:pPr>
              <w:pStyle w:val="72"/>
            </w:pPr>
            <w:r>
              <w:t>95%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486" w:type="dxa"/>
            <w:vAlign w:val="center"/>
          </w:tcPr>
          <w:p>
            <w:pPr>
              <w:pStyle w:val="72"/>
            </w:pPr>
            <w:r>
              <w:t>北区</w:t>
            </w:r>
          </w:p>
        </w:tc>
        <w:tc>
          <w:tcPr>
            <w:tcW w:w="1486" w:type="dxa"/>
            <w:noWrap/>
            <w:vAlign w:val="center"/>
          </w:tcPr>
          <w:p>
            <w:pPr>
              <w:pStyle w:val="72"/>
            </w:pPr>
            <w:r>
              <w:t>0.994</w:t>
            </w:r>
          </w:p>
        </w:tc>
        <w:tc>
          <w:tcPr>
            <w:tcW w:w="1487" w:type="dxa"/>
            <w:noWrap/>
            <w:vAlign w:val="center"/>
          </w:tcPr>
          <w:p>
            <w:pPr>
              <w:pStyle w:val="72"/>
            </w:pPr>
            <w:r>
              <w:t>1.426</w:t>
            </w:r>
          </w:p>
        </w:tc>
        <w:tc>
          <w:tcPr>
            <w:tcW w:w="1486" w:type="dxa"/>
            <w:noWrap/>
            <w:vAlign w:val="center"/>
          </w:tcPr>
          <w:p>
            <w:pPr>
              <w:pStyle w:val="72"/>
            </w:pPr>
            <w:r>
              <w:t>0.885</w:t>
            </w:r>
          </w:p>
        </w:tc>
        <w:tc>
          <w:tcPr>
            <w:tcW w:w="1486" w:type="dxa"/>
            <w:noWrap/>
            <w:vAlign w:val="center"/>
          </w:tcPr>
          <w:p>
            <w:pPr>
              <w:pStyle w:val="72"/>
            </w:pPr>
            <w:r>
              <w:t>0.562</w:t>
            </w:r>
          </w:p>
        </w:tc>
        <w:tc>
          <w:tcPr>
            <w:tcW w:w="1487" w:type="dxa"/>
            <w:noWrap/>
            <w:vAlign w:val="center"/>
          </w:tcPr>
          <w:p>
            <w:pPr>
              <w:pStyle w:val="72"/>
            </w:pPr>
            <w:r>
              <w:t>0.264</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486" w:type="dxa"/>
            <w:vAlign w:val="center"/>
          </w:tcPr>
          <w:p>
            <w:pPr>
              <w:pStyle w:val="72"/>
            </w:pPr>
            <w:r>
              <w:t>中区</w:t>
            </w:r>
          </w:p>
        </w:tc>
        <w:tc>
          <w:tcPr>
            <w:tcW w:w="1486" w:type="dxa"/>
            <w:noWrap/>
            <w:vAlign w:val="center"/>
          </w:tcPr>
          <w:p>
            <w:pPr>
              <w:pStyle w:val="72"/>
            </w:pPr>
            <w:r>
              <w:t>0.735</w:t>
            </w:r>
          </w:p>
        </w:tc>
        <w:tc>
          <w:tcPr>
            <w:tcW w:w="1487" w:type="dxa"/>
            <w:noWrap/>
            <w:vAlign w:val="center"/>
          </w:tcPr>
          <w:p>
            <w:pPr>
              <w:pStyle w:val="72"/>
            </w:pPr>
            <w:r>
              <w:t>1.055</w:t>
            </w:r>
          </w:p>
        </w:tc>
        <w:tc>
          <w:tcPr>
            <w:tcW w:w="1486" w:type="dxa"/>
            <w:noWrap/>
            <w:vAlign w:val="center"/>
          </w:tcPr>
          <w:p>
            <w:pPr>
              <w:pStyle w:val="72"/>
            </w:pPr>
            <w:r>
              <w:t>0.654</w:t>
            </w:r>
          </w:p>
        </w:tc>
        <w:tc>
          <w:tcPr>
            <w:tcW w:w="1486" w:type="dxa"/>
            <w:noWrap/>
            <w:vAlign w:val="center"/>
          </w:tcPr>
          <w:p>
            <w:pPr>
              <w:pStyle w:val="72"/>
            </w:pPr>
            <w:r>
              <w:t>0.415</w:t>
            </w:r>
          </w:p>
        </w:tc>
        <w:tc>
          <w:tcPr>
            <w:tcW w:w="1487" w:type="dxa"/>
            <w:noWrap/>
            <w:vAlign w:val="center"/>
          </w:tcPr>
          <w:p>
            <w:pPr>
              <w:pStyle w:val="72"/>
            </w:pPr>
            <w:r>
              <w:t>0.195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486" w:type="dxa"/>
            <w:vAlign w:val="center"/>
          </w:tcPr>
          <w:p>
            <w:pPr>
              <w:pStyle w:val="72"/>
            </w:pPr>
            <w:r>
              <w:t>南区</w:t>
            </w:r>
          </w:p>
        </w:tc>
        <w:tc>
          <w:tcPr>
            <w:tcW w:w="1486" w:type="dxa"/>
            <w:noWrap/>
            <w:vAlign w:val="center"/>
          </w:tcPr>
          <w:p>
            <w:pPr>
              <w:pStyle w:val="72"/>
            </w:pPr>
            <w:r>
              <w:t>2.222</w:t>
            </w:r>
          </w:p>
        </w:tc>
        <w:tc>
          <w:tcPr>
            <w:tcW w:w="1487" w:type="dxa"/>
            <w:noWrap/>
            <w:vAlign w:val="center"/>
          </w:tcPr>
          <w:p>
            <w:pPr>
              <w:pStyle w:val="72"/>
            </w:pPr>
            <w:r>
              <w:t>3.193</w:t>
            </w:r>
          </w:p>
        </w:tc>
        <w:tc>
          <w:tcPr>
            <w:tcW w:w="1486" w:type="dxa"/>
            <w:noWrap/>
            <w:vAlign w:val="center"/>
          </w:tcPr>
          <w:p>
            <w:pPr>
              <w:pStyle w:val="72"/>
            </w:pPr>
            <w:r>
              <w:t>1.978</w:t>
            </w:r>
          </w:p>
        </w:tc>
        <w:tc>
          <w:tcPr>
            <w:tcW w:w="1486" w:type="dxa"/>
            <w:noWrap/>
            <w:vAlign w:val="center"/>
          </w:tcPr>
          <w:p>
            <w:pPr>
              <w:pStyle w:val="72"/>
            </w:pPr>
            <w:r>
              <w:t>1.252</w:t>
            </w:r>
          </w:p>
        </w:tc>
        <w:tc>
          <w:tcPr>
            <w:tcW w:w="1487" w:type="dxa"/>
            <w:noWrap/>
            <w:vAlign w:val="center"/>
          </w:tcPr>
          <w:p>
            <w:pPr>
              <w:pStyle w:val="72"/>
            </w:pPr>
            <w:r>
              <w:t>0.585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61" w:hRule="atLeast"/>
          <w:jc w:val="center"/>
        </w:trPr>
        <w:tc>
          <w:tcPr>
            <w:tcW w:w="1486" w:type="dxa"/>
            <w:vAlign w:val="center"/>
          </w:tcPr>
          <w:p>
            <w:pPr>
              <w:pStyle w:val="72"/>
            </w:pPr>
            <w:r>
              <w:t>全市</w:t>
            </w:r>
          </w:p>
        </w:tc>
        <w:tc>
          <w:tcPr>
            <w:tcW w:w="1486" w:type="dxa"/>
            <w:noWrap/>
            <w:vAlign w:val="center"/>
          </w:tcPr>
          <w:p>
            <w:pPr>
              <w:pStyle w:val="72"/>
            </w:pPr>
            <w:r>
              <w:t>3.951</w:t>
            </w:r>
          </w:p>
        </w:tc>
        <w:tc>
          <w:tcPr>
            <w:tcW w:w="1487" w:type="dxa"/>
            <w:noWrap/>
            <w:vAlign w:val="center"/>
          </w:tcPr>
          <w:p>
            <w:pPr>
              <w:pStyle w:val="72"/>
            </w:pPr>
            <w:r>
              <w:t>5.665</w:t>
            </w:r>
          </w:p>
        </w:tc>
        <w:tc>
          <w:tcPr>
            <w:tcW w:w="1486" w:type="dxa"/>
            <w:noWrap/>
            <w:vAlign w:val="center"/>
          </w:tcPr>
          <w:p>
            <w:pPr>
              <w:pStyle w:val="72"/>
            </w:pPr>
            <w:r>
              <w:t>3.505</w:t>
            </w:r>
          </w:p>
        </w:tc>
        <w:tc>
          <w:tcPr>
            <w:tcW w:w="1486" w:type="dxa"/>
            <w:noWrap/>
            <w:vAlign w:val="center"/>
          </w:tcPr>
          <w:p>
            <w:pPr>
              <w:pStyle w:val="72"/>
            </w:pPr>
            <w:r>
              <w:t>2.215</w:t>
            </w:r>
          </w:p>
        </w:tc>
        <w:tc>
          <w:tcPr>
            <w:tcW w:w="1487" w:type="dxa"/>
            <w:noWrap/>
            <w:vAlign w:val="center"/>
          </w:tcPr>
          <w:p>
            <w:pPr>
              <w:pStyle w:val="72"/>
            </w:pPr>
            <w:r>
              <w:t>1.041</w:t>
            </w:r>
          </w:p>
        </w:tc>
      </w:tr>
    </w:tbl>
    <w:p>
      <w:pPr>
        <w:ind w:firstLine="560"/>
        <w:rPr>
          <w:szCs w:val="28"/>
        </w:rPr>
      </w:pPr>
      <w:bookmarkStart w:id="56" w:name="_Toc156399653"/>
      <w:bookmarkStart w:id="57" w:name="_Toc178305326"/>
      <w:r>
        <w:rPr>
          <w:szCs w:val="28"/>
        </w:rPr>
        <w:t>2.地下水资源量</w:t>
      </w:r>
      <w:bookmarkEnd w:id="56"/>
      <w:bookmarkEnd w:id="57"/>
    </w:p>
    <w:p>
      <w:pPr>
        <w:ind w:firstLine="560"/>
      </w:pPr>
      <w:r>
        <w:t>淮北市地下水资源量包括：浅层地下水和岩溶地下水。浅层地下水在平原地区广泛分布，而岩溶地下水只在北部山区存在。</w:t>
      </w:r>
    </w:p>
    <w:p>
      <w:pPr>
        <w:ind w:firstLine="560"/>
      </w:pPr>
      <w:r>
        <w:t>淮北市多年平均地下水资源模数为18.8万m</w:t>
      </w:r>
      <w:r>
        <w:rPr>
          <w:vertAlign w:val="superscript"/>
        </w:rPr>
        <w:t>3</w:t>
      </w:r>
      <w:r>
        <w:t>/km</w:t>
      </w:r>
      <w:r>
        <w:rPr>
          <w:vertAlign w:val="superscript"/>
        </w:rPr>
        <w:t>2</w:t>
      </w:r>
      <w:r>
        <w:t>。山丘区平均地下水资源模数为16.4万m</w:t>
      </w:r>
      <w:r>
        <w:rPr>
          <w:vertAlign w:val="superscript"/>
        </w:rPr>
        <w:t>3</w:t>
      </w:r>
      <w:r>
        <w:t>/km</w:t>
      </w:r>
      <w:r>
        <w:rPr>
          <w:vertAlign w:val="superscript"/>
        </w:rPr>
        <w:t>2</w:t>
      </w:r>
      <w:r>
        <w:t>、平原区平均地下水资源模数为21.87万m</w:t>
      </w:r>
      <w:r>
        <w:rPr>
          <w:vertAlign w:val="superscript"/>
        </w:rPr>
        <w:t>3</w:t>
      </w:r>
      <w:r>
        <w:t>/km</w:t>
      </w:r>
      <w:r>
        <w:rPr>
          <w:vertAlign w:val="superscript"/>
        </w:rPr>
        <w:t>2</w:t>
      </w:r>
      <w:r>
        <w:t>。年内地下水资源量中，大气降水天然补给地下水量，在平原区占90%以上，山丘区</w:t>
      </w:r>
      <w:r>
        <w:rPr>
          <w:rFonts w:hint="eastAsia"/>
        </w:rPr>
        <w:t>接近</w:t>
      </w:r>
      <w:r>
        <w:t>100%。</w:t>
      </w:r>
      <w:r>
        <w:rPr>
          <w:rFonts w:hint="eastAsia"/>
        </w:rPr>
        <w:t>地下水资源量评价成果见表2-7。</w:t>
      </w:r>
    </w:p>
    <w:p>
      <w:pPr>
        <w:pStyle w:val="93"/>
        <w:spacing w:before="120" w:beforeLines="50" w:line="300" w:lineRule="auto"/>
        <w:rPr>
          <w:rFonts w:ascii="宋体" w:hAnsi="宋体" w:cs="Tahoma"/>
          <w:b/>
          <w:bCs w:val="0"/>
          <w:color w:val="000000"/>
          <w:spacing w:val="0"/>
          <w:kern w:val="0"/>
          <w:szCs w:val="21"/>
        </w:rPr>
      </w:pPr>
      <w:r>
        <w:rPr>
          <w:rFonts w:ascii="宋体" w:hAnsi="宋体" w:cs="Tahoma"/>
          <w:b/>
          <w:bCs w:val="0"/>
          <w:color w:val="000000"/>
          <w:spacing w:val="0"/>
          <w:kern w:val="0"/>
          <w:szCs w:val="21"/>
        </w:rPr>
        <w:t>表2-</w:t>
      </w:r>
      <w:r>
        <w:rPr>
          <w:rFonts w:hint="eastAsia" w:ascii="宋体" w:hAnsi="宋体" w:cs="Tahoma"/>
          <w:b/>
          <w:bCs w:val="0"/>
          <w:color w:val="000000"/>
          <w:spacing w:val="0"/>
          <w:kern w:val="0"/>
          <w:szCs w:val="21"/>
        </w:rPr>
        <w:t>8</w:t>
      </w:r>
      <w:r>
        <w:rPr>
          <w:rFonts w:ascii="宋体" w:hAnsi="宋体" w:cs="Tahoma"/>
          <w:b/>
          <w:bCs w:val="0"/>
          <w:color w:val="000000"/>
          <w:spacing w:val="0"/>
          <w:kern w:val="0"/>
          <w:szCs w:val="21"/>
        </w:rPr>
        <w:t xml:space="preserve">  淮北市地下水</w:t>
      </w:r>
      <w:r>
        <w:rPr>
          <w:rFonts w:hint="eastAsia" w:ascii="宋体" w:hAnsi="宋体" w:cs="Tahoma"/>
          <w:b/>
          <w:bCs w:val="0"/>
          <w:color w:val="000000"/>
          <w:spacing w:val="0"/>
          <w:kern w:val="0"/>
          <w:szCs w:val="21"/>
        </w:rPr>
        <w:t>资源</w:t>
      </w:r>
      <w:r>
        <w:rPr>
          <w:rFonts w:ascii="宋体" w:hAnsi="宋体" w:cs="Tahoma"/>
          <w:b/>
          <w:bCs w:val="0"/>
          <w:color w:val="000000"/>
          <w:spacing w:val="0"/>
          <w:kern w:val="0"/>
          <w:szCs w:val="21"/>
        </w:rPr>
        <w:t>量评价成果表  单位：亿m</w:t>
      </w:r>
      <w:r>
        <w:rPr>
          <w:rFonts w:ascii="宋体" w:hAnsi="宋体" w:cs="Tahoma"/>
          <w:b/>
          <w:bCs w:val="0"/>
          <w:color w:val="000000"/>
          <w:spacing w:val="0"/>
          <w:kern w:val="0"/>
          <w:szCs w:val="21"/>
          <w:vertAlign w:val="superscript"/>
        </w:rPr>
        <w:t>3</w:t>
      </w:r>
    </w:p>
    <w:tbl>
      <w:tblPr>
        <w:tblStyle w:val="39"/>
        <w:tblW w:w="8960"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498"/>
        <w:gridCol w:w="1316"/>
        <w:gridCol w:w="1429"/>
        <w:gridCol w:w="1429"/>
        <w:gridCol w:w="1429"/>
        <w:gridCol w:w="1429"/>
        <w:gridCol w:w="1430"/>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57" w:hRule="atLeast"/>
          <w:jc w:val="center"/>
        </w:trPr>
        <w:tc>
          <w:tcPr>
            <w:tcW w:w="1814" w:type="dxa"/>
            <w:gridSpan w:val="2"/>
            <w:vAlign w:val="center"/>
          </w:tcPr>
          <w:p>
            <w:pPr>
              <w:spacing w:line="240" w:lineRule="auto"/>
              <w:ind w:firstLine="0" w:firstLineChars="0"/>
              <w:jc w:val="center"/>
              <w:rPr>
                <w:sz w:val="21"/>
                <w:szCs w:val="21"/>
              </w:rPr>
            </w:pPr>
            <w:r>
              <w:rPr>
                <w:sz w:val="21"/>
                <w:szCs w:val="21"/>
              </w:rPr>
              <w:t>分区</w:t>
            </w:r>
          </w:p>
        </w:tc>
        <w:tc>
          <w:tcPr>
            <w:tcW w:w="1429" w:type="dxa"/>
            <w:noWrap/>
            <w:vAlign w:val="center"/>
          </w:tcPr>
          <w:p>
            <w:pPr>
              <w:spacing w:line="240" w:lineRule="auto"/>
              <w:ind w:firstLine="0" w:firstLineChars="0"/>
              <w:jc w:val="center"/>
              <w:rPr>
                <w:sz w:val="21"/>
                <w:szCs w:val="21"/>
              </w:rPr>
            </w:pPr>
            <w:r>
              <w:rPr>
                <w:sz w:val="21"/>
                <w:szCs w:val="21"/>
              </w:rPr>
              <w:t>多年平均</w:t>
            </w:r>
          </w:p>
        </w:tc>
        <w:tc>
          <w:tcPr>
            <w:tcW w:w="1429" w:type="dxa"/>
            <w:noWrap/>
            <w:vAlign w:val="center"/>
          </w:tcPr>
          <w:p>
            <w:pPr>
              <w:spacing w:line="240" w:lineRule="auto"/>
              <w:ind w:firstLine="0" w:firstLineChars="0"/>
              <w:jc w:val="center"/>
              <w:rPr>
                <w:sz w:val="21"/>
                <w:szCs w:val="21"/>
              </w:rPr>
            </w:pPr>
            <w:r>
              <w:rPr>
                <w:sz w:val="21"/>
                <w:szCs w:val="21"/>
              </w:rPr>
              <w:t>20%</w:t>
            </w:r>
          </w:p>
        </w:tc>
        <w:tc>
          <w:tcPr>
            <w:tcW w:w="1429" w:type="dxa"/>
            <w:noWrap/>
            <w:vAlign w:val="center"/>
          </w:tcPr>
          <w:p>
            <w:pPr>
              <w:spacing w:line="240" w:lineRule="auto"/>
              <w:ind w:firstLine="0" w:firstLineChars="0"/>
              <w:jc w:val="center"/>
              <w:rPr>
                <w:sz w:val="21"/>
                <w:szCs w:val="21"/>
              </w:rPr>
            </w:pPr>
            <w:r>
              <w:rPr>
                <w:sz w:val="21"/>
                <w:szCs w:val="21"/>
              </w:rPr>
              <w:t>50%</w:t>
            </w:r>
          </w:p>
        </w:tc>
        <w:tc>
          <w:tcPr>
            <w:tcW w:w="1429" w:type="dxa"/>
            <w:noWrap/>
            <w:vAlign w:val="center"/>
          </w:tcPr>
          <w:p>
            <w:pPr>
              <w:spacing w:line="240" w:lineRule="auto"/>
              <w:ind w:firstLine="0" w:firstLineChars="0"/>
              <w:jc w:val="center"/>
              <w:rPr>
                <w:sz w:val="21"/>
                <w:szCs w:val="21"/>
              </w:rPr>
            </w:pPr>
            <w:r>
              <w:rPr>
                <w:sz w:val="21"/>
                <w:szCs w:val="21"/>
              </w:rPr>
              <w:t>75%</w:t>
            </w:r>
          </w:p>
        </w:tc>
        <w:tc>
          <w:tcPr>
            <w:tcW w:w="1430" w:type="dxa"/>
            <w:noWrap/>
            <w:vAlign w:val="center"/>
          </w:tcPr>
          <w:p>
            <w:pPr>
              <w:spacing w:line="240" w:lineRule="auto"/>
              <w:ind w:firstLine="0" w:firstLineChars="0"/>
              <w:jc w:val="center"/>
              <w:rPr>
                <w:sz w:val="21"/>
                <w:szCs w:val="21"/>
              </w:rPr>
            </w:pPr>
            <w:r>
              <w:rPr>
                <w:sz w:val="21"/>
                <w:szCs w:val="21"/>
              </w:rPr>
              <w:t>95%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57" w:hRule="atLeast"/>
          <w:jc w:val="center"/>
        </w:trPr>
        <w:tc>
          <w:tcPr>
            <w:tcW w:w="498" w:type="dxa"/>
            <w:vMerge w:val="restart"/>
            <w:vAlign w:val="center"/>
          </w:tcPr>
          <w:p>
            <w:pPr>
              <w:spacing w:line="240" w:lineRule="auto"/>
              <w:ind w:firstLine="0" w:firstLineChars="0"/>
              <w:jc w:val="center"/>
              <w:rPr>
                <w:sz w:val="21"/>
                <w:szCs w:val="21"/>
              </w:rPr>
            </w:pPr>
            <w:r>
              <w:rPr>
                <w:sz w:val="21"/>
                <w:szCs w:val="21"/>
              </w:rPr>
              <w:t>浅层地下水</w:t>
            </w:r>
          </w:p>
        </w:tc>
        <w:tc>
          <w:tcPr>
            <w:tcW w:w="1316" w:type="dxa"/>
            <w:vAlign w:val="center"/>
          </w:tcPr>
          <w:p>
            <w:pPr>
              <w:spacing w:line="240" w:lineRule="auto"/>
              <w:ind w:firstLine="0" w:firstLineChars="0"/>
              <w:jc w:val="center"/>
              <w:rPr>
                <w:sz w:val="21"/>
                <w:szCs w:val="21"/>
              </w:rPr>
            </w:pPr>
            <w:r>
              <w:rPr>
                <w:sz w:val="21"/>
                <w:szCs w:val="21"/>
              </w:rPr>
              <w:t>北区</w:t>
            </w:r>
          </w:p>
        </w:tc>
        <w:tc>
          <w:tcPr>
            <w:tcW w:w="1429" w:type="dxa"/>
            <w:noWrap/>
            <w:vAlign w:val="center"/>
          </w:tcPr>
          <w:p>
            <w:pPr>
              <w:widowControl/>
              <w:spacing w:line="240" w:lineRule="auto"/>
              <w:ind w:firstLine="0" w:firstLineChars="0"/>
              <w:jc w:val="center"/>
              <w:rPr>
                <w:sz w:val="21"/>
                <w:szCs w:val="21"/>
              </w:rPr>
            </w:pPr>
            <w:r>
              <w:rPr>
                <w:sz w:val="21"/>
                <w:szCs w:val="21"/>
              </w:rPr>
              <w:t>0.662</w:t>
            </w:r>
          </w:p>
        </w:tc>
        <w:tc>
          <w:tcPr>
            <w:tcW w:w="1429" w:type="dxa"/>
            <w:noWrap/>
            <w:vAlign w:val="center"/>
          </w:tcPr>
          <w:p>
            <w:pPr>
              <w:widowControl/>
              <w:spacing w:line="240" w:lineRule="auto"/>
              <w:ind w:firstLine="0" w:firstLineChars="0"/>
              <w:jc w:val="center"/>
              <w:rPr>
                <w:sz w:val="21"/>
                <w:szCs w:val="21"/>
              </w:rPr>
            </w:pPr>
            <w:r>
              <w:rPr>
                <w:sz w:val="21"/>
                <w:szCs w:val="21"/>
              </w:rPr>
              <w:t>0.787</w:t>
            </w:r>
          </w:p>
        </w:tc>
        <w:tc>
          <w:tcPr>
            <w:tcW w:w="1429" w:type="dxa"/>
            <w:noWrap/>
            <w:vAlign w:val="center"/>
          </w:tcPr>
          <w:p>
            <w:pPr>
              <w:widowControl/>
              <w:spacing w:line="240" w:lineRule="auto"/>
              <w:ind w:firstLine="0" w:firstLineChars="0"/>
              <w:jc w:val="center"/>
              <w:rPr>
                <w:sz w:val="21"/>
                <w:szCs w:val="21"/>
              </w:rPr>
            </w:pPr>
            <w:r>
              <w:rPr>
                <w:sz w:val="21"/>
                <w:szCs w:val="21"/>
              </w:rPr>
              <w:t>0.658</w:t>
            </w:r>
          </w:p>
        </w:tc>
        <w:tc>
          <w:tcPr>
            <w:tcW w:w="1429" w:type="dxa"/>
            <w:noWrap/>
            <w:vAlign w:val="center"/>
          </w:tcPr>
          <w:p>
            <w:pPr>
              <w:widowControl/>
              <w:spacing w:line="240" w:lineRule="auto"/>
              <w:ind w:firstLine="0" w:firstLineChars="0"/>
              <w:jc w:val="center"/>
              <w:rPr>
                <w:sz w:val="21"/>
                <w:szCs w:val="21"/>
              </w:rPr>
            </w:pPr>
            <w:r>
              <w:rPr>
                <w:sz w:val="21"/>
                <w:szCs w:val="21"/>
              </w:rPr>
              <w:t>0.559</w:t>
            </w:r>
          </w:p>
        </w:tc>
        <w:tc>
          <w:tcPr>
            <w:tcW w:w="1430" w:type="dxa"/>
            <w:noWrap/>
            <w:vAlign w:val="center"/>
          </w:tcPr>
          <w:p>
            <w:pPr>
              <w:widowControl/>
              <w:spacing w:line="240" w:lineRule="auto"/>
              <w:ind w:firstLine="0" w:firstLineChars="0"/>
              <w:jc w:val="center"/>
              <w:rPr>
                <w:sz w:val="21"/>
                <w:szCs w:val="21"/>
              </w:rPr>
            </w:pPr>
            <w:r>
              <w:rPr>
                <w:sz w:val="21"/>
                <w:szCs w:val="21"/>
              </w:rPr>
              <w:t>0.424</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57" w:hRule="atLeast"/>
          <w:jc w:val="center"/>
        </w:trPr>
        <w:tc>
          <w:tcPr>
            <w:tcW w:w="498" w:type="dxa"/>
            <w:vMerge w:val="continue"/>
            <w:vAlign w:val="center"/>
          </w:tcPr>
          <w:p>
            <w:pPr>
              <w:spacing w:line="240" w:lineRule="auto"/>
              <w:ind w:firstLine="0" w:firstLineChars="0"/>
              <w:jc w:val="center"/>
              <w:rPr>
                <w:sz w:val="21"/>
                <w:szCs w:val="21"/>
              </w:rPr>
            </w:pPr>
          </w:p>
        </w:tc>
        <w:tc>
          <w:tcPr>
            <w:tcW w:w="1316" w:type="dxa"/>
            <w:vAlign w:val="center"/>
          </w:tcPr>
          <w:p>
            <w:pPr>
              <w:spacing w:line="240" w:lineRule="auto"/>
              <w:ind w:firstLine="0" w:firstLineChars="0"/>
              <w:jc w:val="center"/>
              <w:rPr>
                <w:sz w:val="21"/>
                <w:szCs w:val="21"/>
              </w:rPr>
            </w:pPr>
            <w:r>
              <w:rPr>
                <w:sz w:val="21"/>
                <w:szCs w:val="21"/>
              </w:rPr>
              <w:t>中区</w:t>
            </w:r>
          </w:p>
        </w:tc>
        <w:tc>
          <w:tcPr>
            <w:tcW w:w="1429" w:type="dxa"/>
            <w:noWrap/>
            <w:vAlign w:val="center"/>
          </w:tcPr>
          <w:p>
            <w:pPr>
              <w:widowControl/>
              <w:spacing w:line="240" w:lineRule="auto"/>
              <w:ind w:firstLine="0" w:firstLineChars="0"/>
              <w:jc w:val="center"/>
              <w:rPr>
                <w:sz w:val="21"/>
                <w:szCs w:val="21"/>
              </w:rPr>
            </w:pPr>
            <w:r>
              <w:rPr>
                <w:sz w:val="21"/>
                <w:szCs w:val="21"/>
              </w:rPr>
              <w:t>0.829</w:t>
            </w:r>
          </w:p>
        </w:tc>
        <w:tc>
          <w:tcPr>
            <w:tcW w:w="1429" w:type="dxa"/>
            <w:noWrap/>
            <w:vAlign w:val="center"/>
          </w:tcPr>
          <w:p>
            <w:pPr>
              <w:widowControl/>
              <w:spacing w:line="240" w:lineRule="auto"/>
              <w:ind w:firstLine="0" w:firstLineChars="0"/>
              <w:jc w:val="center"/>
              <w:rPr>
                <w:sz w:val="21"/>
                <w:szCs w:val="21"/>
              </w:rPr>
            </w:pPr>
            <w:r>
              <w:rPr>
                <w:sz w:val="21"/>
                <w:szCs w:val="21"/>
              </w:rPr>
              <w:t>0.988</w:t>
            </w:r>
          </w:p>
        </w:tc>
        <w:tc>
          <w:tcPr>
            <w:tcW w:w="1429" w:type="dxa"/>
            <w:noWrap/>
            <w:vAlign w:val="center"/>
          </w:tcPr>
          <w:p>
            <w:pPr>
              <w:widowControl/>
              <w:spacing w:line="240" w:lineRule="auto"/>
              <w:ind w:firstLine="0" w:firstLineChars="0"/>
              <w:jc w:val="center"/>
              <w:rPr>
                <w:sz w:val="21"/>
                <w:szCs w:val="21"/>
              </w:rPr>
            </w:pPr>
            <w:r>
              <w:rPr>
                <w:sz w:val="21"/>
                <w:szCs w:val="21"/>
              </w:rPr>
              <w:t>0.824</w:t>
            </w:r>
          </w:p>
        </w:tc>
        <w:tc>
          <w:tcPr>
            <w:tcW w:w="1429" w:type="dxa"/>
            <w:noWrap/>
            <w:vAlign w:val="center"/>
          </w:tcPr>
          <w:p>
            <w:pPr>
              <w:widowControl/>
              <w:spacing w:line="240" w:lineRule="auto"/>
              <w:ind w:firstLine="0" w:firstLineChars="0"/>
              <w:jc w:val="center"/>
              <w:rPr>
                <w:sz w:val="21"/>
                <w:szCs w:val="21"/>
              </w:rPr>
            </w:pPr>
            <w:r>
              <w:rPr>
                <w:sz w:val="21"/>
                <w:szCs w:val="21"/>
              </w:rPr>
              <w:t>0.698</w:t>
            </w:r>
          </w:p>
        </w:tc>
        <w:tc>
          <w:tcPr>
            <w:tcW w:w="1430" w:type="dxa"/>
            <w:noWrap/>
            <w:vAlign w:val="center"/>
          </w:tcPr>
          <w:p>
            <w:pPr>
              <w:widowControl/>
              <w:spacing w:line="240" w:lineRule="auto"/>
              <w:ind w:firstLine="0" w:firstLineChars="0"/>
              <w:jc w:val="center"/>
              <w:rPr>
                <w:sz w:val="21"/>
                <w:szCs w:val="21"/>
              </w:rPr>
            </w:pPr>
            <w:r>
              <w:rPr>
                <w:sz w:val="21"/>
                <w:szCs w:val="21"/>
              </w:rPr>
              <w:t>0.526</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57" w:hRule="atLeast"/>
          <w:jc w:val="center"/>
        </w:trPr>
        <w:tc>
          <w:tcPr>
            <w:tcW w:w="498" w:type="dxa"/>
            <w:vMerge w:val="continue"/>
            <w:vAlign w:val="center"/>
          </w:tcPr>
          <w:p>
            <w:pPr>
              <w:spacing w:line="240" w:lineRule="auto"/>
              <w:ind w:firstLine="0" w:firstLineChars="0"/>
              <w:jc w:val="center"/>
              <w:rPr>
                <w:sz w:val="21"/>
                <w:szCs w:val="21"/>
              </w:rPr>
            </w:pPr>
          </w:p>
        </w:tc>
        <w:tc>
          <w:tcPr>
            <w:tcW w:w="1316" w:type="dxa"/>
            <w:vAlign w:val="center"/>
          </w:tcPr>
          <w:p>
            <w:pPr>
              <w:spacing w:line="240" w:lineRule="auto"/>
              <w:ind w:firstLine="0" w:firstLineChars="0"/>
              <w:jc w:val="center"/>
              <w:rPr>
                <w:sz w:val="21"/>
                <w:szCs w:val="21"/>
              </w:rPr>
            </w:pPr>
            <w:r>
              <w:rPr>
                <w:sz w:val="21"/>
                <w:szCs w:val="21"/>
              </w:rPr>
              <w:t>南区</w:t>
            </w:r>
          </w:p>
        </w:tc>
        <w:tc>
          <w:tcPr>
            <w:tcW w:w="1429" w:type="dxa"/>
            <w:noWrap/>
            <w:vAlign w:val="center"/>
          </w:tcPr>
          <w:p>
            <w:pPr>
              <w:widowControl/>
              <w:spacing w:line="240" w:lineRule="auto"/>
              <w:ind w:firstLine="0" w:firstLineChars="0"/>
              <w:jc w:val="center"/>
              <w:rPr>
                <w:sz w:val="21"/>
                <w:szCs w:val="21"/>
              </w:rPr>
            </w:pPr>
            <w:r>
              <w:rPr>
                <w:sz w:val="21"/>
                <w:szCs w:val="21"/>
              </w:rPr>
              <w:t>2.645</w:t>
            </w:r>
          </w:p>
        </w:tc>
        <w:tc>
          <w:tcPr>
            <w:tcW w:w="1429" w:type="dxa"/>
            <w:noWrap/>
            <w:vAlign w:val="center"/>
          </w:tcPr>
          <w:p>
            <w:pPr>
              <w:widowControl/>
              <w:spacing w:line="240" w:lineRule="auto"/>
              <w:ind w:firstLine="0" w:firstLineChars="0"/>
              <w:jc w:val="center"/>
              <w:rPr>
                <w:sz w:val="21"/>
                <w:szCs w:val="21"/>
              </w:rPr>
            </w:pPr>
            <w:r>
              <w:rPr>
                <w:sz w:val="21"/>
                <w:szCs w:val="21"/>
              </w:rPr>
              <w:t>3.156</w:t>
            </w:r>
          </w:p>
        </w:tc>
        <w:tc>
          <w:tcPr>
            <w:tcW w:w="1429" w:type="dxa"/>
            <w:noWrap/>
            <w:vAlign w:val="center"/>
          </w:tcPr>
          <w:p>
            <w:pPr>
              <w:widowControl/>
              <w:spacing w:line="240" w:lineRule="auto"/>
              <w:ind w:firstLine="0" w:firstLineChars="0"/>
              <w:jc w:val="center"/>
              <w:rPr>
                <w:sz w:val="21"/>
                <w:szCs w:val="21"/>
              </w:rPr>
            </w:pPr>
            <w:r>
              <w:rPr>
                <w:sz w:val="21"/>
                <w:szCs w:val="21"/>
              </w:rPr>
              <w:t>2.628</w:t>
            </w:r>
          </w:p>
        </w:tc>
        <w:tc>
          <w:tcPr>
            <w:tcW w:w="1429" w:type="dxa"/>
            <w:noWrap/>
            <w:vAlign w:val="center"/>
          </w:tcPr>
          <w:p>
            <w:pPr>
              <w:widowControl/>
              <w:spacing w:line="240" w:lineRule="auto"/>
              <w:ind w:firstLine="0" w:firstLineChars="0"/>
              <w:jc w:val="center"/>
              <w:rPr>
                <w:sz w:val="21"/>
                <w:szCs w:val="21"/>
              </w:rPr>
            </w:pPr>
            <w:r>
              <w:rPr>
                <w:sz w:val="21"/>
                <w:szCs w:val="21"/>
              </w:rPr>
              <w:t>2.226</w:t>
            </w:r>
          </w:p>
        </w:tc>
        <w:tc>
          <w:tcPr>
            <w:tcW w:w="1430" w:type="dxa"/>
            <w:noWrap/>
            <w:vAlign w:val="center"/>
          </w:tcPr>
          <w:p>
            <w:pPr>
              <w:widowControl/>
              <w:spacing w:line="240" w:lineRule="auto"/>
              <w:ind w:firstLine="0" w:firstLineChars="0"/>
              <w:jc w:val="center"/>
              <w:rPr>
                <w:sz w:val="21"/>
                <w:szCs w:val="21"/>
              </w:rPr>
            </w:pPr>
            <w:r>
              <w:rPr>
                <w:sz w:val="21"/>
                <w:szCs w:val="21"/>
              </w:rPr>
              <w:t>1.675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57" w:hRule="atLeast"/>
          <w:jc w:val="center"/>
        </w:trPr>
        <w:tc>
          <w:tcPr>
            <w:tcW w:w="498" w:type="dxa"/>
            <w:vMerge w:val="continue"/>
            <w:vAlign w:val="center"/>
          </w:tcPr>
          <w:p>
            <w:pPr>
              <w:spacing w:line="240" w:lineRule="auto"/>
              <w:ind w:firstLine="0" w:firstLineChars="0"/>
              <w:jc w:val="center"/>
              <w:rPr>
                <w:sz w:val="21"/>
                <w:szCs w:val="21"/>
              </w:rPr>
            </w:pPr>
          </w:p>
        </w:tc>
        <w:tc>
          <w:tcPr>
            <w:tcW w:w="1316" w:type="dxa"/>
            <w:vAlign w:val="center"/>
          </w:tcPr>
          <w:p>
            <w:pPr>
              <w:spacing w:line="240" w:lineRule="auto"/>
              <w:ind w:firstLine="0" w:firstLineChars="0"/>
              <w:jc w:val="center"/>
              <w:rPr>
                <w:sz w:val="21"/>
                <w:szCs w:val="21"/>
              </w:rPr>
            </w:pPr>
            <w:r>
              <w:rPr>
                <w:sz w:val="21"/>
                <w:szCs w:val="21"/>
              </w:rPr>
              <w:t>全市</w:t>
            </w:r>
          </w:p>
        </w:tc>
        <w:tc>
          <w:tcPr>
            <w:tcW w:w="1429" w:type="dxa"/>
            <w:noWrap/>
            <w:vAlign w:val="center"/>
          </w:tcPr>
          <w:p>
            <w:pPr>
              <w:widowControl/>
              <w:spacing w:line="240" w:lineRule="auto"/>
              <w:ind w:firstLine="0" w:firstLineChars="0"/>
              <w:jc w:val="center"/>
              <w:rPr>
                <w:sz w:val="21"/>
                <w:szCs w:val="21"/>
              </w:rPr>
            </w:pPr>
            <w:r>
              <w:rPr>
                <w:sz w:val="21"/>
                <w:szCs w:val="21"/>
              </w:rPr>
              <w:t>4.136</w:t>
            </w:r>
          </w:p>
        </w:tc>
        <w:tc>
          <w:tcPr>
            <w:tcW w:w="1429" w:type="dxa"/>
            <w:noWrap/>
            <w:vAlign w:val="center"/>
          </w:tcPr>
          <w:p>
            <w:pPr>
              <w:widowControl/>
              <w:spacing w:line="240" w:lineRule="auto"/>
              <w:ind w:firstLine="0" w:firstLineChars="0"/>
              <w:jc w:val="center"/>
              <w:rPr>
                <w:sz w:val="21"/>
                <w:szCs w:val="21"/>
              </w:rPr>
            </w:pPr>
            <w:r>
              <w:rPr>
                <w:sz w:val="21"/>
                <w:szCs w:val="21"/>
              </w:rPr>
              <w:t>4.932</w:t>
            </w:r>
          </w:p>
        </w:tc>
        <w:tc>
          <w:tcPr>
            <w:tcW w:w="1429" w:type="dxa"/>
            <w:noWrap/>
            <w:vAlign w:val="center"/>
          </w:tcPr>
          <w:p>
            <w:pPr>
              <w:widowControl/>
              <w:spacing w:line="240" w:lineRule="auto"/>
              <w:ind w:firstLine="0" w:firstLineChars="0"/>
              <w:jc w:val="center"/>
              <w:rPr>
                <w:sz w:val="21"/>
                <w:szCs w:val="21"/>
              </w:rPr>
            </w:pPr>
            <w:r>
              <w:rPr>
                <w:sz w:val="21"/>
                <w:szCs w:val="21"/>
              </w:rPr>
              <w:t>4.109</w:t>
            </w:r>
          </w:p>
        </w:tc>
        <w:tc>
          <w:tcPr>
            <w:tcW w:w="1429" w:type="dxa"/>
            <w:noWrap/>
            <w:vAlign w:val="center"/>
          </w:tcPr>
          <w:p>
            <w:pPr>
              <w:widowControl/>
              <w:spacing w:line="240" w:lineRule="auto"/>
              <w:ind w:firstLine="0" w:firstLineChars="0"/>
              <w:jc w:val="center"/>
              <w:rPr>
                <w:sz w:val="21"/>
                <w:szCs w:val="21"/>
              </w:rPr>
            </w:pPr>
            <w:r>
              <w:rPr>
                <w:sz w:val="21"/>
                <w:szCs w:val="21"/>
              </w:rPr>
              <w:t>3.483</w:t>
            </w:r>
          </w:p>
        </w:tc>
        <w:tc>
          <w:tcPr>
            <w:tcW w:w="1430" w:type="dxa"/>
            <w:noWrap/>
            <w:vAlign w:val="center"/>
          </w:tcPr>
          <w:p>
            <w:pPr>
              <w:widowControl/>
              <w:spacing w:line="240" w:lineRule="auto"/>
              <w:ind w:firstLine="0" w:firstLineChars="0"/>
              <w:jc w:val="center"/>
              <w:rPr>
                <w:sz w:val="21"/>
                <w:szCs w:val="21"/>
              </w:rPr>
            </w:pPr>
            <w:r>
              <w:rPr>
                <w:sz w:val="21"/>
                <w:szCs w:val="21"/>
              </w:rPr>
              <w:t>2.625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57" w:hRule="atLeast"/>
          <w:jc w:val="center"/>
        </w:trPr>
        <w:tc>
          <w:tcPr>
            <w:tcW w:w="498" w:type="dxa"/>
            <w:vMerge w:val="restart"/>
            <w:vAlign w:val="center"/>
          </w:tcPr>
          <w:p>
            <w:pPr>
              <w:spacing w:line="240" w:lineRule="auto"/>
              <w:ind w:firstLine="0" w:firstLineChars="0"/>
              <w:jc w:val="center"/>
              <w:rPr>
                <w:sz w:val="21"/>
                <w:szCs w:val="21"/>
              </w:rPr>
            </w:pPr>
            <w:r>
              <w:rPr>
                <w:sz w:val="21"/>
                <w:szCs w:val="21"/>
              </w:rPr>
              <w:t>岩溶地下水</w:t>
            </w:r>
          </w:p>
        </w:tc>
        <w:tc>
          <w:tcPr>
            <w:tcW w:w="1316" w:type="dxa"/>
            <w:vAlign w:val="center"/>
          </w:tcPr>
          <w:p>
            <w:pPr>
              <w:spacing w:line="240" w:lineRule="auto"/>
              <w:ind w:firstLine="0" w:firstLineChars="0"/>
              <w:jc w:val="center"/>
              <w:rPr>
                <w:sz w:val="21"/>
                <w:szCs w:val="21"/>
              </w:rPr>
            </w:pPr>
            <w:r>
              <w:rPr>
                <w:sz w:val="21"/>
                <w:szCs w:val="21"/>
              </w:rPr>
              <w:t>北区</w:t>
            </w:r>
          </w:p>
        </w:tc>
        <w:tc>
          <w:tcPr>
            <w:tcW w:w="1429" w:type="dxa"/>
            <w:noWrap/>
            <w:vAlign w:val="center"/>
          </w:tcPr>
          <w:p>
            <w:pPr>
              <w:widowControl/>
              <w:spacing w:line="240" w:lineRule="auto"/>
              <w:ind w:firstLine="0" w:firstLineChars="0"/>
              <w:jc w:val="center"/>
              <w:rPr>
                <w:sz w:val="21"/>
                <w:szCs w:val="21"/>
              </w:rPr>
            </w:pPr>
            <w:r>
              <w:rPr>
                <w:sz w:val="21"/>
                <w:szCs w:val="21"/>
              </w:rPr>
              <w:t>0.895</w:t>
            </w:r>
          </w:p>
        </w:tc>
        <w:tc>
          <w:tcPr>
            <w:tcW w:w="1429" w:type="dxa"/>
            <w:noWrap/>
            <w:vAlign w:val="center"/>
          </w:tcPr>
          <w:p>
            <w:pPr>
              <w:widowControl/>
              <w:spacing w:line="240" w:lineRule="auto"/>
              <w:ind w:firstLine="0" w:firstLineChars="0"/>
              <w:jc w:val="center"/>
              <w:rPr>
                <w:sz w:val="21"/>
                <w:szCs w:val="21"/>
              </w:rPr>
            </w:pPr>
            <w:r>
              <w:rPr>
                <w:sz w:val="21"/>
                <w:szCs w:val="21"/>
              </w:rPr>
              <w:t>1.091</w:t>
            </w:r>
          </w:p>
        </w:tc>
        <w:tc>
          <w:tcPr>
            <w:tcW w:w="1429" w:type="dxa"/>
            <w:noWrap/>
            <w:vAlign w:val="center"/>
          </w:tcPr>
          <w:p>
            <w:pPr>
              <w:widowControl/>
              <w:spacing w:line="240" w:lineRule="auto"/>
              <w:ind w:firstLine="0" w:firstLineChars="0"/>
              <w:jc w:val="center"/>
              <w:rPr>
                <w:sz w:val="21"/>
                <w:szCs w:val="21"/>
              </w:rPr>
            </w:pPr>
            <w:r>
              <w:rPr>
                <w:sz w:val="21"/>
                <w:szCs w:val="21"/>
              </w:rPr>
              <w:t>0.884</w:t>
            </w:r>
          </w:p>
        </w:tc>
        <w:tc>
          <w:tcPr>
            <w:tcW w:w="1429" w:type="dxa"/>
            <w:noWrap/>
            <w:vAlign w:val="center"/>
          </w:tcPr>
          <w:p>
            <w:pPr>
              <w:widowControl/>
              <w:spacing w:line="240" w:lineRule="auto"/>
              <w:ind w:firstLine="0" w:firstLineChars="0"/>
              <w:jc w:val="center"/>
              <w:rPr>
                <w:sz w:val="21"/>
                <w:szCs w:val="21"/>
              </w:rPr>
            </w:pPr>
            <w:r>
              <w:rPr>
                <w:sz w:val="21"/>
                <w:szCs w:val="21"/>
              </w:rPr>
              <w:t>0.730</w:t>
            </w:r>
          </w:p>
        </w:tc>
        <w:tc>
          <w:tcPr>
            <w:tcW w:w="1430" w:type="dxa"/>
            <w:noWrap/>
            <w:vAlign w:val="center"/>
          </w:tcPr>
          <w:p>
            <w:pPr>
              <w:widowControl/>
              <w:spacing w:line="240" w:lineRule="auto"/>
              <w:ind w:firstLine="0" w:firstLineChars="0"/>
              <w:jc w:val="center"/>
              <w:rPr>
                <w:sz w:val="21"/>
                <w:szCs w:val="21"/>
              </w:rPr>
            </w:pPr>
            <w:r>
              <w:rPr>
                <w:sz w:val="21"/>
                <w:szCs w:val="21"/>
              </w:rPr>
              <w:t>0.527</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57" w:hRule="atLeast"/>
          <w:jc w:val="center"/>
        </w:trPr>
        <w:tc>
          <w:tcPr>
            <w:tcW w:w="498" w:type="dxa"/>
            <w:vMerge w:val="continue"/>
            <w:vAlign w:val="center"/>
          </w:tcPr>
          <w:p>
            <w:pPr>
              <w:spacing w:line="240" w:lineRule="auto"/>
              <w:ind w:firstLine="0" w:firstLineChars="0"/>
              <w:jc w:val="center"/>
              <w:rPr>
                <w:sz w:val="21"/>
                <w:szCs w:val="21"/>
              </w:rPr>
            </w:pPr>
          </w:p>
        </w:tc>
        <w:tc>
          <w:tcPr>
            <w:tcW w:w="1316" w:type="dxa"/>
            <w:vAlign w:val="center"/>
          </w:tcPr>
          <w:p>
            <w:pPr>
              <w:spacing w:line="240" w:lineRule="auto"/>
              <w:ind w:firstLine="0" w:firstLineChars="0"/>
              <w:jc w:val="center"/>
              <w:rPr>
                <w:sz w:val="21"/>
                <w:szCs w:val="21"/>
              </w:rPr>
            </w:pPr>
            <w:r>
              <w:rPr>
                <w:sz w:val="21"/>
                <w:szCs w:val="21"/>
              </w:rPr>
              <w:t>中区</w:t>
            </w:r>
          </w:p>
        </w:tc>
        <w:tc>
          <w:tcPr>
            <w:tcW w:w="1429" w:type="dxa"/>
            <w:noWrap/>
            <w:vAlign w:val="center"/>
          </w:tcPr>
          <w:p>
            <w:pPr>
              <w:widowControl/>
              <w:spacing w:line="240" w:lineRule="auto"/>
              <w:ind w:firstLine="0" w:firstLineChars="0"/>
              <w:jc w:val="center"/>
              <w:rPr>
                <w:sz w:val="21"/>
                <w:szCs w:val="21"/>
              </w:rPr>
            </w:pPr>
            <w:r>
              <w:rPr>
                <w:sz w:val="21"/>
                <w:szCs w:val="21"/>
              </w:rPr>
              <w:t>0.102</w:t>
            </w:r>
          </w:p>
        </w:tc>
        <w:tc>
          <w:tcPr>
            <w:tcW w:w="1429" w:type="dxa"/>
            <w:noWrap/>
            <w:vAlign w:val="center"/>
          </w:tcPr>
          <w:p>
            <w:pPr>
              <w:widowControl/>
              <w:spacing w:line="240" w:lineRule="auto"/>
              <w:ind w:firstLine="0" w:firstLineChars="0"/>
              <w:jc w:val="center"/>
              <w:rPr>
                <w:sz w:val="21"/>
                <w:szCs w:val="21"/>
              </w:rPr>
            </w:pPr>
            <w:r>
              <w:rPr>
                <w:sz w:val="21"/>
                <w:szCs w:val="21"/>
              </w:rPr>
              <w:t>0.126</w:t>
            </w:r>
          </w:p>
        </w:tc>
        <w:tc>
          <w:tcPr>
            <w:tcW w:w="1429" w:type="dxa"/>
            <w:noWrap/>
            <w:vAlign w:val="center"/>
          </w:tcPr>
          <w:p>
            <w:pPr>
              <w:widowControl/>
              <w:spacing w:line="240" w:lineRule="auto"/>
              <w:ind w:firstLine="0" w:firstLineChars="0"/>
              <w:jc w:val="center"/>
              <w:rPr>
                <w:sz w:val="21"/>
                <w:szCs w:val="21"/>
              </w:rPr>
            </w:pPr>
            <w:r>
              <w:rPr>
                <w:sz w:val="21"/>
                <w:szCs w:val="21"/>
              </w:rPr>
              <w:t>0.101</w:t>
            </w:r>
          </w:p>
        </w:tc>
        <w:tc>
          <w:tcPr>
            <w:tcW w:w="1429" w:type="dxa"/>
            <w:noWrap/>
            <w:vAlign w:val="center"/>
          </w:tcPr>
          <w:p>
            <w:pPr>
              <w:widowControl/>
              <w:spacing w:line="240" w:lineRule="auto"/>
              <w:ind w:firstLine="0" w:firstLineChars="0"/>
              <w:jc w:val="center"/>
              <w:rPr>
                <w:sz w:val="21"/>
                <w:szCs w:val="21"/>
              </w:rPr>
            </w:pPr>
            <w:r>
              <w:rPr>
                <w:sz w:val="21"/>
                <w:szCs w:val="21"/>
              </w:rPr>
              <w:t>0.082</w:t>
            </w:r>
          </w:p>
        </w:tc>
        <w:tc>
          <w:tcPr>
            <w:tcW w:w="1430" w:type="dxa"/>
            <w:noWrap/>
            <w:vAlign w:val="center"/>
          </w:tcPr>
          <w:p>
            <w:pPr>
              <w:widowControl/>
              <w:spacing w:line="240" w:lineRule="auto"/>
              <w:ind w:firstLine="0" w:firstLineChars="0"/>
              <w:jc w:val="center"/>
              <w:rPr>
                <w:sz w:val="21"/>
                <w:szCs w:val="21"/>
              </w:rPr>
            </w:pPr>
            <w:r>
              <w:rPr>
                <w:sz w:val="21"/>
                <w:szCs w:val="21"/>
              </w:rPr>
              <w:t>0.056</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57" w:hRule="atLeast"/>
          <w:jc w:val="center"/>
        </w:trPr>
        <w:tc>
          <w:tcPr>
            <w:tcW w:w="498" w:type="dxa"/>
            <w:vMerge w:val="continue"/>
            <w:vAlign w:val="center"/>
          </w:tcPr>
          <w:p>
            <w:pPr>
              <w:spacing w:line="240" w:lineRule="auto"/>
              <w:ind w:firstLine="0" w:firstLineChars="0"/>
              <w:jc w:val="center"/>
              <w:rPr>
                <w:sz w:val="21"/>
                <w:szCs w:val="21"/>
              </w:rPr>
            </w:pPr>
          </w:p>
        </w:tc>
        <w:tc>
          <w:tcPr>
            <w:tcW w:w="1316" w:type="dxa"/>
            <w:vAlign w:val="center"/>
          </w:tcPr>
          <w:p>
            <w:pPr>
              <w:spacing w:line="240" w:lineRule="auto"/>
              <w:ind w:firstLine="0" w:firstLineChars="0"/>
              <w:jc w:val="center"/>
              <w:rPr>
                <w:sz w:val="21"/>
                <w:szCs w:val="21"/>
              </w:rPr>
            </w:pPr>
            <w:r>
              <w:rPr>
                <w:sz w:val="21"/>
                <w:szCs w:val="21"/>
              </w:rPr>
              <w:t>南区</w:t>
            </w:r>
          </w:p>
        </w:tc>
        <w:tc>
          <w:tcPr>
            <w:tcW w:w="1429" w:type="dxa"/>
            <w:noWrap/>
            <w:vAlign w:val="center"/>
          </w:tcPr>
          <w:p>
            <w:pPr>
              <w:widowControl/>
              <w:spacing w:line="240" w:lineRule="auto"/>
              <w:ind w:firstLine="0" w:firstLineChars="0"/>
              <w:jc w:val="center"/>
              <w:rPr>
                <w:sz w:val="21"/>
                <w:szCs w:val="21"/>
              </w:rPr>
            </w:pPr>
            <w:r>
              <w:rPr>
                <w:sz w:val="21"/>
                <w:szCs w:val="21"/>
              </w:rPr>
              <w:t>0.047</w:t>
            </w:r>
          </w:p>
        </w:tc>
        <w:tc>
          <w:tcPr>
            <w:tcW w:w="1429" w:type="dxa"/>
            <w:noWrap/>
            <w:vAlign w:val="center"/>
          </w:tcPr>
          <w:p>
            <w:pPr>
              <w:widowControl/>
              <w:spacing w:line="240" w:lineRule="auto"/>
              <w:ind w:firstLine="0" w:firstLineChars="0"/>
              <w:jc w:val="center"/>
              <w:rPr>
                <w:sz w:val="21"/>
                <w:szCs w:val="21"/>
              </w:rPr>
            </w:pPr>
            <w:r>
              <w:rPr>
                <w:sz w:val="21"/>
                <w:szCs w:val="21"/>
              </w:rPr>
              <w:t>0.053</w:t>
            </w:r>
          </w:p>
        </w:tc>
        <w:tc>
          <w:tcPr>
            <w:tcW w:w="1429" w:type="dxa"/>
            <w:noWrap/>
            <w:vAlign w:val="center"/>
          </w:tcPr>
          <w:p>
            <w:pPr>
              <w:widowControl/>
              <w:spacing w:line="240" w:lineRule="auto"/>
              <w:ind w:firstLine="0" w:firstLineChars="0"/>
              <w:jc w:val="center"/>
              <w:rPr>
                <w:sz w:val="21"/>
                <w:szCs w:val="21"/>
              </w:rPr>
            </w:pPr>
            <w:r>
              <w:rPr>
                <w:sz w:val="21"/>
                <w:szCs w:val="21"/>
              </w:rPr>
              <w:t>0.047</w:t>
            </w:r>
          </w:p>
        </w:tc>
        <w:tc>
          <w:tcPr>
            <w:tcW w:w="1429" w:type="dxa"/>
            <w:noWrap/>
            <w:vAlign w:val="center"/>
          </w:tcPr>
          <w:p>
            <w:pPr>
              <w:widowControl/>
              <w:spacing w:line="240" w:lineRule="auto"/>
              <w:ind w:firstLine="0" w:firstLineChars="0"/>
              <w:jc w:val="center"/>
              <w:rPr>
                <w:sz w:val="21"/>
                <w:szCs w:val="21"/>
              </w:rPr>
            </w:pPr>
            <w:r>
              <w:rPr>
                <w:sz w:val="21"/>
                <w:szCs w:val="21"/>
              </w:rPr>
              <w:t>0.042</w:t>
            </w:r>
          </w:p>
        </w:tc>
        <w:tc>
          <w:tcPr>
            <w:tcW w:w="1430" w:type="dxa"/>
            <w:noWrap/>
            <w:vAlign w:val="center"/>
          </w:tcPr>
          <w:p>
            <w:pPr>
              <w:widowControl/>
              <w:spacing w:line="240" w:lineRule="auto"/>
              <w:ind w:firstLine="0" w:firstLineChars="0"/>
              <w:jc w:val="center"/>
              <w:rPr>
                <w:sz w:val="21"/>
                <w:szCs w:val="21"/>
              </w:rPr>
            </w:pPr>
            <w:r>
              <w:rPr>
                <w:sz w:val="21"/>
                <w:szCs w:val="21"/>
              </w:rPr>
              <w:t>0.036</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57" w:hRule="atLeast"/>
          <w:jc w:val="center"/>
        </w:trPr>
        <w:tc>
          <w:tcPr>
            <w:tcW w:w="498" w:type="dxa"/>
            <w:vMerge w:val="continue"/>
            <w:vAlign w:val="center"/>
          </w:tcPr>
          <w:p>
            <w:pPr>
              <w:spacing w:line="240" w:lineRule="auto"/>
              <w:ind w:firstLine="0" w:firstLineChars="0"/>
              <w:jc w:val="center"/>
              <w:rPr>
                <w:sz w:val="21"/>
                <w:szCs w:val="21"/>
              </w:rPr>
            </w:pPr>
          </w:p>
        </w:tc>
        <w:tc>
          <w:tcPr>
            <w:tcW w:w="1316" w:type="dxa"/>
            <w:vAlign w:val="center"/>
          </w:tcPr>
          <w:p>
            <w:pPr>
              <w:spacing w:line="240" w:lineRule="auto"/>
              <w:ind w:firstLine="0" w:firstLineChars="0"/>
              <w:jc w:val="center"/>
              <w:rPr>
                <w:sz w:val="21"/>
                <w:szCs w:val="21"/>
              </w:rPr>
            </w:pPr>
            <w:r>
              <w:rPr>
                <w:sz w:val="21"/>
                <w:szCs w:val="21"/>
              </w:rPr>
              <w:t>全市</w:t>
            </w:r>
          </w:p>
        </w:tc>
        <w:tc>
          <w:tcPr>
            <w:tcW w:w="1429" w:type="dxa"/>
            <w:noWrap/>
            <w:vAlign w:val="center"/>
          </w:tcPr>
          <w:p>
            <w:pPr>
              <w:widowControl/>
              <w:spacing w:line="240" w:lineRule="auto"/>
              <w:ind w:firstLine="0" w:firstLineChars="0"/>
              <w:jc w:val="center"/>
              <w:rPr>
                <w:sz w:val="21"/>
                <w:szCs w:val="21"/>
              </w:rPr>
            </w:pPr>
            <w:r>
              <w:rPr>
                <w:sz w:val="21"/>
                <w:szCs w:val="21"/>
              </w:rPr>
              <w:t>1.044</w:t>
            </w:r>
          </w:p>
        </w:tc>
        <w:tc>
          <w:tcPr>
            <w:tcW w:w="1429" w:type="dxa"/>
            <w:noWrap/>
            <w:vAlign w:val="center"/>
          </w:tcPr>
          <w:p>
            <w:pPr>
              <w:widowControl/>
              <w:spacing w:line="240" w:lineRule="auto"/>
              <w:ind w:firstLine="0" w:firstLineChars="0"/>
              <w:jc w:val="center"/>
              <w:rPr>
                <w:sz w:val="21"/>
                <w:szCs w:val="21"/>
              </w:rPr>
            </w:pPr>
            <w:r>
              <w:rPr>
                <w:sz w:val="21"/>
                <w:szCs w:val="21"/>
              </w:rPr>
              <w:t>1.270</w:t>
            </w:r>
          </w:p>
        </w:tc>
        <w:tc>
          <w:tcPr>
            <w:tcW w:w="1429" w:type="dxa"/>
            <w:noWrap/>
            <w:vAlign w:val="center"/>
          </w:tcPr>
          <w:p>
            <w:pPr>
              <w:widowControl/>
              <w:spacing w:line="240" w:lineRule="auto"/>
              <w:ind w:firstLine="0" w:firstLineChars="0"/>
              <w:jc w:val="center"/>
              <w:rPr>
                <w:sz w:val="21"/>
                <w:szCs w:val="21"/>
              </w:rPr>
            </w:pPr>
            <w:r>
              <w:rPr>
                <w:sz w:val="21"/>
                <w:szCs w:val="21"/>
              </w:rPr>
              <w:t>1.032</w:t>
            </w:r>
          </w:p>
        </w:tc>
        <w:tc>
          <w:tcPr>
            <w:tcW w:w="1429" w:type="dxa"/>
            <w:noWrap/>
            <w:vAlign w:val="center"/>
          </w:tcPr>
          <w:p>
            <w:pPr>
              <w:widowControl/>
              <w:spacing w:line="240" w:lineRule="auto"/>
              <w:ind w:firstLine="0" w:firstLineChars="0"/>
              <w:jc w:val="center"/>
              <w:rPr>
                <w:sz w:val="21"/>
                <w:szCs w:val="21"/>
              </w:rPr>
            </w:pPr>
            <w:r>
              <w:rPr>
                <w:sz w:val="21"/>
                <w:szCs w:val="21"/>
              </w:rPr>
              <w:t>0.854</w:t>
            </w:r>
          </w:p>
        </w:tc>
        <w:tc>
          <w:tcPr>
            <w:tcW w:w="1430" w:type="dxa"/>
            <w:noWrap/>
            <w:vAlign w:val="center"/>
          </w:tcPr>
          <w:p>
            <w:pPr>
              <w:widowControl/>
              <w:spacing w:line="240" w:lineRule="auto"/>
              <w:ind w:firstLine="0" w:firstLineChars="0"/>
              <w:jc w:val="center"/>
              <w:rPr>
                <w:sz w:val="21"/>
                <w:szCs w:val="21"/>
              </w:rPr>
            </w:pPr>
            <w:r>
              <w:rPr>
                <w:sz w:val="21"/>
                <w:szCs w:val="21"/>
              </w:rPr>
              <w:t>0.619</w:t>
            </w:r>
          </w:p>
        </w:tc>
      </w:tr>
    </w:tbl>
    <w:p>
      <w:pPr>
        <w:ind w:firstLine="560"/>
        <w:rPr>
          <w:szCs w:val="28"/>
        </w:rPr>
      </w:pPr>
      <w:bookmarkStart w:id="58" w:name="_Toc156399654"/>
      <w:bookmarkStart w:id="59" w:name="_Toc178305327"/>
      <w:r>
        <w:rPr>
          <w:szCs w:val="28"/>
        </w:rPr>
        <w:t>3.水资源总量</w:t>
      </w:r>
      <w:bookmarkEnd w:id="58"/>
      <w:bookmarkEnd w:id="59"/>
    </w:p>
    <w:p>
      <w:pPr>
        <w:ind w:firstLine="560"/>
      </w:pPr>
      <w:r>
        <w:rPr>
          <w:rFonts w:hint="eastAsia"/>
        </w:rPr>
        <w:t>由以上地表水和地下水资源量汇总，得到</w:t>
      </w:r>
      <w:r>
        <w:t>淮北市水资源总量见表2-</w:t>
      </w:r>
      <w:r>
        <w:rPr>
          <w:rFonts w:hint="eastAsia"/>
        </w:rPr>
        <w:t>8</w:t>
      </w:r>
      <w:r>
        <w:t>。</w:t>
      </w:r>
    </w:p>
    <w:p>
      <w:pPr>
        <w:pStyle w:val="93"/>
        <w:spacing w:before="120" w:beforeLines="50" w:line="300" w:lineRule="auto"/>
        <w:rPr>
          <w:rFonts w:ascii="宋体" w:hAnsi="宋体" w:cs="Tahoma"/>
          <w:b/>
          <w:bCs w:val="0"/>
          <w:color w:val="000000"/>
          <w:spacing w:val="0"/>
          <w:kern w:val="0"/>
          <w:szCs w:val="21"/>
        </w:rPr>
      </w:pPr>
      <w:r>
        <w:rPr>
          <w:rFonts w:ascii="宋体" w:hAnsi="宋体" w:cs="Tahoma"/>
          <w:b/>
          <w:bCs w:val="0"/>
          <w:color w:val="000000"/>
          <w:spacing w:val="0"/>
          <w:kern w:val="0"/>
          <w:szCs w:val="21"/>
        </w:rPr>
        <w:t>表2-</w:t>
      </w:r>
      <w:r>
        <w:rPr>
          <w:rFonts w:hint="eastAsia" w:ascii="宋体" w:hAnsi="宋体" w:cs="Tahoma"/>
          <w:b/>
          <w:bCs w:val="0"/>
          <w:color w:val="000000"/>
          <w:spacing w:val="0"/>
          <w:kern w:val="0"/>
          <w:szCs w:val="21"/>
        </w:rPr>
        <w:t>9</w:t>
      </w:r>
      <w:r>
        <w:rPr>
          <w:rFonts w:ascii="宋体" w:hAnsi="宋体" w:cs="Tahoma"/>
          <w:b/>
          <w:bCs w:val="0"/>
          <w:color w:val="000000"/>
          <w:spacing w:val="0"/>
          <w:kern w:val="0"/>
          <w:szCs w:val="21"/>
        </w:rPr>
        <w:t xml:space="preserve">  淮北市水资源总量评价成果表  单位：亿m</w:t>
      </w:r>
      <w:r>
        <w:rPr>
          <w:rFonts w:ascii="宋体" w:hAnsi="宋体" w:cs="Tahoma"/>
          <w:b/>
          <w:bCs w:val="0"/>
          <w:color w:val="000000"/>
          <w:spacing w:val="0"/>
          <w:kern w:val="0"/>
          <w:szCs w:val="21"/>
          <w:vertAlign w:val="superscript"/>
        </w:rPr>
        <w:t>3</w:t>
      </w:r>
    </w:p>
    <w:tbl>
      <w:tblPr>
        <w:tblStyle w:val="39"/>
        <w:tblW w:w="9015"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02"/>
        <w:gridCol w:w="1503"/>
        <w:gridCol w:w="1502"/>
        <w:gridCol w:w="1503"/>
        <w:gridCol w:w="1502"/>
        <w:gridCol w:w="1503"/>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07" w:hRule="atLeast"/>
          <w:jc w:val="center"/>
        </w:trPr>
        <w:tc>
          <w:tcPr>
            <w:tcW w:w="1502" w:type="dxa"/>
            <w:vAlign w:val="center"/>
          </w:tcPr>
          <w:p>
            <w:pPr>
              <w:spacing w:line="240" w:lineRule="auto"/>
              <w:ind w:firstLine="0" w:firstLineChars="0"/>
              <w:jc w:val="center"/>
              <w:rPr>
                <w:sz w:val="21"/>
                <w:szCs w:val="21"/>
              </w:rPr>
            </w:pPr>
            <w:r>
              <w:rPr>
                <w:sz w:val="21"/>
                <w:szCs w:val="21"/>
              </w:rPr>
              <w:t>分区</w:t>
            </w:r>
          </w:p>
        </w:tc>
        <w:tc>
          <w:tcPr>
            <w:tcW w:w="1503" w:type="dxa"/>
            <w:vAlign w:val="center"/>
          </w:tcPr>
          <w:p>
            <w:pPr>
              <w:widowControl/>
              <w:spacing w:line="240" w:lineRule="auto"/>
              <w:ind w:firstLine="0" w:firstLineChars="0"/>
              <w:jc w:val="center"/>
              <w:rPr>
                <w:sz w:val="21"/>
                <w:szCs w:val="21"/>
              </w:rPr>
            </w:pPr>
            <w:r>
              <w:rPr>
                <w:sz w:val="21"/>
                <w:szCs w:val="21"/>
              </w:rPr>
              <w:t>多年平均</w:t>
            </w:r>
          </w:p>
        </w:tc>
        <w:tc>
          <w:tcPr>
            <w:tcW w:w="1502" w:type="dxa"/>
            <w:vAlign w:val="center"/>
          </w:tcPr>
          <w:p>
            <w:pPr>
              <w:widowControl/>
              <w:spacing w:line="240" w:lineRule="auto"/>
              <w:ind w:firstLine="0" w:firstLineChars="0"/>
              <w:jc w:val="center"/>
              <w:rPr>
                <w:sz w:val="21"/>
                <w:szCs w:val="21"/>
              </w:rPr>
            </w:pPr>
            <w:r>
              <w:rPr>
                <w:sz w:val="21"/>
                <w:szCs w:val="21"/>
              </w:rPr>
              <w:t>20%</w:t>
            </w:r>
          </w:p>
        </w:tc>
        <w:tc>
          <w:tcPr>
            <w:tcW w:w="1503" w:type="dxa"/>
            <w:vAlign w:val="center"/>
          </w:tcPr>
          <w:p>
            <w:pPr>
              <w:widowControl/>
              <w:spacing w:line="240" w:lineRule="auto"/>
              <w:ind w:firstLine="0" w:firstLineChars="0"/>
              <w:jc w:val="center"/>
              <w:rPr>
                <w:sz w:val="21"/>
                <w:szCs w:val="21"/>
              </w:rPr>
            </w:pPr>
            <w:r>
              <w:rPr>
                <w:sz w:val="21"/>
                <w:szCs w:val="21"/>
              </w:rPr>
              <w:t>50%</w:t>
            </w:r>
          </w:p>
        </w:tc>
        <w:tc>
          <w:tcPr>
            <w:tcW w:w="1502" w:type="dxa"/>
            <w:vAlign w:val="center"/>
          </w:tcPr>
          <w:p>
            <w:pPr>
              <w:widowControl/>
              <w:spacing w:line="240" w:lineRule="auto"/>
              <w:ind w:firstLine="0" w:firstLineChars="0"/>
              <w:jc w:val="center"/>
              <w:rPr>
                <w:sz w:val="21"/>
                <w:szCs w:val="21"/>
              </w:rPr>
            </w:pPr>
            <w:r>
              <w:rPr>
                <w:sz w:val="21"/>
                <w:szCs w:val="21"/>
              </w:rPr>
              <w:t>75%</w:t>
            </w:r>
          </w:p>
        </w:tc>
        <w:tc>
          <w:tcPr>
            <w:tcW w:w="1503" w:type="dxa"/>
            <w:vAlign w:val="center"/>
          </w:tcPr>
          <w:p>
            <w:pPr>
              <w:widowControl/>
              <w:spacing w:line="240" w:lineRule="auto"/>
              <w:ind w:firstLine="0" w:firstLineChars="0"/>
              <w:jc w:val="center"/>
              <w:rPr>
                <w:sz w:val="21"/>
                <w:szCs w:val="21"/>
              </w:rPr>
            </w:pPr>
            <w:r>
              <w:rPr>
                <w:sz w:val="21"/>
                <w:szCs w:val="21"/>
              </w:rPr>
              <w:t>95%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65" w:hRule="atLeast"/>
          <w:jc w:val="center"/>
        </w:trPr>
        <w:tc>
          <w:tcPr>
            <w:tcW w:w="1502" w:type="dxa"/>
            <w:vAlign w:val="center"/>
          </w:tcPr>
          <w:p>
            <w:pPr>
              <w:widowControl/>
              <w:spacing w:line="240" w:lineRule="auto"/>
              <w:ind w:firstLine="0" w:firstLineChars="0"/>
              <w:jc w:val="center"/>
              <w:rPr>
                <w:sz w:val="21"/>
                <w:szCs w:val="21"/>
              </w:rPr>
            </w:pPr>
            <w:r>
              <w:rPr>
                <w:sz w:val="21"/>
                <w:szCs w:val="21"/>
              </w:rPr>
              <w:t>北区</w:t>
            </w:r>
          </w:p>
        </w:tc>
        <w:tc>
          <w:tcPr>
            <w:tcW w:w="1503" w:type="dxa"/>
            <w:vAlign w:val="center"/>
          </w:tcPr>
          <w:p>
            <w:pPr>
              <w:widowControl/>
              <w:spacing w:line="240" w:lineRule="auto"/>
              <w:ind w:firstLine="0" w:firstLineChars="0"/>
              <w:jc w:val="center"/>
              <w:rPr>
                <w:sz w:val="21"/>
                <w:szCs w:val="21"/>
              </w:rPr>
            </w:pPr>
            <w:r>
              <w:rPr>
                <w:sz w:val="21"/>
                <w:szCs w:val="21"/>
              </w:rPr>
              <w:t>2.322</w:t>
            </w:r>
          </w:p>
        </w:tc>
        <w:tc>
          <w:tcPr>
            <w:tcW w:w="1502" w:type="dxa"/>
            <w:vAlign w:val="center"/>
          </w:tcPr>
          <w:p>
            <w:pPr>
              <w:widowControl/>
              <w:spacing w:line="240" w:lineRule="auto"/>
              <w:ind w:firstLine="0" w:firstLineChars="0"/>
              <w:jc w:val="center"/>
              <w:rPr>
                <w:sz w:val="21"/>
                <w:szCs w:val="21"/>
              </w:rPr>
            </w:pPr>
            <w:r>
              <w:rPr>
                <w:sz w:val="21"/>
                <w:szCs w:val="21"/>
              </w:rPr>
              <w:t>2.985</w:t>
            </w:r>
          </w:p>
        </w:tc>
        <w:tc>
          <w:tcPr>
            <w:tcW w:w="1503" w:type="dxa"/>
            <w:vAlign w:val="center"/>
          </w:tcPr>
          <w:p>
            <w:pPr>
              <w:widowControl/>
              <w:spacing w:line="240" w:lineRule="auto"/>
              <w:ind w:firstLine="0" w:firstLineChars="0"/>
              <w:jc w:val="center"/>
              <w:rPr>
                <w:sz w:val="21"/>
                <w:szCs w:val="21"/>
              </w:rPr>
            </w:pPr>
            <w:r>
              <w:rPr>
                <w:sz w:val="21"/>
                <w:szCs w:val="21"/>
              </w:rPr>
              <w:t>2.226</w:t>
            </w:r>
          </w:p>
        </w:tc>
        <w:tc>
          <w:tcPr>
            <w:tcW w:w="1502" w:type="dxa"/>
            <w:vAlign w:val="center"/>
          </w:tcPr>
          <w:p>
            <w:pPr>
              <w:widowControl/>
              <w:spacing w:line="240" w:lineRule="auto"/>
              <w:ind w:firstLine="0" w:firstLineChars="0"/>
              <w:jc w:val="center"/>
              <w:rPr>
                <w:sz w:val="21"/>
                <w:szCs w:val="21"/>
              </w:rPr>
            </w:pPr>
            <w:r>
              <w:rPr>
                <w:sz w:val="21"/>
                <w:szCs w:val="21"/>
              </w:rPr>
              <w:t>1.717</w:t>
            </w:r>
          </w:p>
        </w:tc>
        <w:tc>
          <w:tcPr>
            <w:tcW w:w="1503" w:type="dxa"/>
            <w:vAlign w:val="center"/>
          </w:tcPr>
          <w:p>
            <w:pPr>
              <w:widowControl/>
              <w:spacing w:line="240" w:lineRule="auto"/>
              <w:ind w:firstLine="0" w:firstLineChars="0"/>
              <w:jc w:val="center"/>
              <w:rPr>
                <w:sz w:val="21"/>
                <w:szCs w:val="21"/>
              </w:rPr>
            </w:pPr>
            <w:r>
              <w:rPr>
                <w:sz w:val="21"/>
                <w:szCs w:val="21"/>
              </w:rPr>
              <w:t>1.128</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65" w:hRule="atLeast"/>
          <w:jc w:val="center"/>
        </w:trPr>
        <w:tc>
          <w:tcPr>
            <w:tcW w:w="1502" w:type="dxa"/>
            <w:vAlign w:val="center"/>
          </w:tcPr>
          <w:p>
            <w:pPr>
              <w:widowControl/>
              <w:spacing w:line="240" w:lineRule="auto"/>
              <w:ind w:firstLine="0" w:firstLineChars="0"/>
              <w:jc w:val="center"/>
              <w:rPr>
                <w:sz w:val="21"/>
                <w:szCs w:val="21"/>
              </w:rPr>
            </w:pPr>
            <w:r>
              <w:rPr>
                <w:sz w:val="21"/>
                <w:szCs w:val="21"/>
              </w:rPr>
              <w:t>中区</w:t>
            </w:r>
          </w:p>
        </w:tc>
        <w:tc>
          <w:tcPr>
            <w:tcW w:w="1503" w:type="dxa"/>
            <w:vAlign w:val="center"/>
          </w:tcPr>
          <w:p>
            <w:pPr>
              <w:widowControl/>
              <w:spacing w:line="240" w:lineRule="auto"/>
              <w:ind w:firstLine="0" w:firstLineChars="0"/>
              <w:jc w:val="center"/>
              <w:rPr>
                <w:sz w:val="21"/>
                <w:szCs w:val="21"/>
              </w:rPr>
            </w:pPr>
            <w:r>
              <w:rPr>
                <w:sz w:val="21"/>
                <w:szCs w:val="21"/>
              </w:rPr>
              <w:t>1.559</w:t>
            </w:r>
          </w:p>
        </w:tc>
        <w:tc>
          <w:tcPr>
            <w:tcW w:w="1502" w:type="dxa"/>
            <w:vAlign w:val="center"/>
          </w:tcPr>
          <w:p>
            <w:pPr>
              <w:widowControl/>
              <w:spacing w:line="240" w:lineRule="auto"/>
              <w:ind w:firstLine="0" w:firstLineChars="0"/>
              <w:jc w:val="center"/>
              <w:rPr>
                <w:sz w:val="21"/>
                <w:szCs w:val="21"/>
              </w:rPr>
            </w:pPr>
            <w:r>
              <w:rPr>
                <w:sz w:val="21"/>
                <w:szCs w:val="21"/>
              </w:rPr>
              <w:t>1.995</w:t>
            </w:r>
          </w:p>
        </w:tc>
        <w:tc>
          <w:tcPr>
            <w:tcW w:w="1503" w:type="dxa"/>
            <w:vAlign w:val="center"/>
          </w:tcPr>
          <w:p>
            <w:pPr>
              <w:widowControl/>
              <w:spacing w:line="240" w:lineRule="auto"/>
              <w:ind w:firstLine="0" w:firstLineChars="0"/>
              <w:jc w:val="center"/>
              <w:rPr>
                <w:sz w:val="21"/>
                <w:szCs w:val="21"/>
              </w:rPr>
            </w:pPr>
            <w:r>
              <w:rPr>
                <w:sz w:val="21"/>
                <w:szCs w:val="21"/>
              </w:rPr>
              <w:t>1.493</w:t>
            </w:r>
          </w:p>
        </w:tc>
        <w:tc>
          <w:tcPr>
            <w:tcW w:w="1502" w:type="dxa"/>
            <w:vAlign w:val="center"/>
          </w:tcPr>
          <w:p>
            <w:pPr>
              <w:widowControl/>
              <w:spacing w:line="240" w:lineRule="auto"/>
              <w:ind w:firstLine="0" w:firstLineChars="0"/>
              <w:jc w:val="center"/>
              <w:rPr>
                <w:sz w:val="21"/>
                <w:szCs w:val="21"/>
              </w:rPr>
            </w:pPr>
            <w:r>
              <w:rPr>
                <w:sz w:val="21"/>
                <w:szCs w:val="21"/>
              </w:rPr>
              <w:t>1.159</w:t>
            </w:r>
          </w:p>
        </w:tc>
        <w:tc>
          <w:tcPr>
            <w:tcW w:w="1503" w:type="dxa"/>
            <w:vAlign w:val="center"/>
          </w:tcPr>
          <w:p>
            <w:pPr>
              <w:widowControl/>
              <w:spacing w:line="240" w:lineRule="auto"/>
              <w:ind w:firstLine="0" w:firstLineChars="0"/>
              <w:jc w:val="center"/>
              <w:rPr>
                <w:sz w:val="21"/>
                <w:szCs w:val="21"/>
              </w:rPr>
            </w:pPr>
            <w:r>
              <w:rPr>
                <w:sz w:val="21"/>
                <w:szCs w:val="21"/>
              </w:rPr>
              <w:t>0.775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65" w:hRule="atLeast"/>
          <w:jc w:val="center"/>
        </w:trPr>
        <w:tc>
          <w:tcPr>
            <w:tcW w:w="1502" w:type="dxa"/>
            <w:vAlign w:val="center"/>
          </w:tcPr>
          <w:p>
            <w:pPr>
              <w:widowControl/>
              <w:spacing w:line="240" w:lineRule="auto"/>
              <w:ind w:firstLine="0" w:firstLineChars="0"/>
              <w:jc w:val="center"/>
              <w:rPr>
                <w:sz w:val="21"/>
                <w:szCs w:val="21"/>
              </w:rPr>
            </w:pPr>
            <w:r>
              <w:rPr>
                <w:sz w:val="21"/>
                <w:szCs w:val="21"/>
              </w:rPr>
              <w:t>南区</w:t>
            </w:r>
          </w:p>
        </w:tc>
        <w:tc>
          <w:tcPr>
            <w:tcW w:w="1503" w:type="dxa"/>
            <w:vAlign w:val="center"/>
          </w:tcPr>
          <w:p>
            <w:pPr>
              <w:widowControl/>
              <w:spacing w:line="240" w:lineRule="auto"/>
              <w:ind w:firstLine="0" w:firstLineChars="0"/>
              <w:jc w:val="center"/>
              <w:rPr>
                <w:sz w:val="21"/>
                <w:szCs w:val="21"/>
              </w:rPr>
            </w:pPr>
            <w:r>
              <w:rPr>
                <w:sz w:val="21"/>
                <w:szCs w:val="21"/>
              </w:rPr>
              <w:t>4.460</w:t>
            </w:r>
          </w:p>
        </w:tc>
        <w:tc>
          <w:tcPr>
            <w:tcW w:w="1502" w:type="dxa"/>
            <w:vAlign w:val="center"/>
          </w:tcPr>
          <w:p>
            <w:pPr>
              <w:widowControl/>
              <w:spacing w:line="240" w:lineRule="auto"/>
              <w:ind w:firstLine="0" w:firstLineChars="0"/>
              <w:jc w:val="center"/>
              <w:rPr>
                <w:sz w:val="21"/>
                <w:szCs w:val="21"/>
              </w:rPr>
            </w:pPr>
            <w:r>
              <w:rPr>
                <w:sz w:val="21"/>
                <w:szCs w:val="21"/>
              </w:rPr>
              <w:t>5.740</w:t>
            </w:r>
          </w:p>
        </w:tc>
        <w:tc>
          <w:tcPr>
            <w:tcW w:w="1503" w:type="dxa"/>
            <w:vAlign w:val="center"/>
          </w:tcPr>
          <w:p>
            <w:pPr>
              <w:widowControl/>
              <w:spacing w:line="240" w:lineRule="auto"/>
              <w:ind w:firstLine="0" w:firstLineChars="0"/>
              <w:jc w:val="center"/>
              <w:rPr>
                <w:sz w:val="21"/>
                <w:szCs w:val="21"/>
              </w:rPr>
            </w:pPr>
            <w:r>
              <w:rPr>
                <w:sz w:val="21"/>
                <w:szCs w:val="21"/>
              </w:rPr>
              <w:t>4.262</w:t>
            </w:r>
          </w:p>
        </w:tc>
        <w:tc>
          <w:tcPr>
            <w:tcW w:w="1502" w:type="dxa"/>
            <w:vAlign w:val="center"/>
          </w:tcPr>
          <w:p>
            <w:pPr>
              <w:widowControl/>
              <w:spacing w:line="240" w:lineRule="auto"/>
              <w:ind w:firstLine="0" w:firstLineChars="0"/>
              <w:jc w:val="center"/>
              <w:rPr>
                <w:sz w:val="21"/>
                <w:szCs w:val="21"/>
              </w:rPr>
            </w:pPr>
            <w:r>
              <w:rPr>
                <w:sz w:val="21"/>
                <w:szCs w:val="21"/>
              </w:rPr>
              <w:t>3.282</w:t>
            </w:r>
          </w:p>
        </w:tc>
        <w:tc>
          <w:tcPr>
            <w:tcW w:w="1503" w:type="dxa"/>
            <w:vAlign w:val="center"/>
          </w:tcPr>
          <w:p>
            <w:pPr>
              <w:widowControl/>
              <w:spacing w:line="240" w:lineRule="auto"/>
              <w:ind w:firstLine="0" w:firstLineChars="0"/>
              <w:jc w:val="center"/>
              <w:rPr>
                <w:sz w:val="21"/>
                <w:szCs w:val="21"/>
              </w:rPr>
            </w:pPr>
            <w:r>
              <w:rPr>
                <w:sz w:val="21"/>
                <w:szCs w:val="21"/>
              </w:rPr>
              <w:t>2.165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65" w:hRule="atLeast"/>
          <w:jc w:val="center"/>
        </w:trPr>
        <w:tc>
          <w:tcPr>
            <w:tcW w:w="1502" w:type="dxa"/>
            <w:vAlign w:val="center"/>
          </w:tcPr>
          <w:p>
            <w:pPr>
              <w:widowControl/>
              <w:spacing w:line="240" w:lineRule="auto"/>
              <w:ind w:firstLine="0" w:firstLineChars="0"/>
              <w:jc w:val="center"/>
              <w:rPr>
                <w:sz w:val="21"/>
                <w:szCs w:val="21"/>
              </w:rPr>
            </w:pPr>
            <w:r>
              <w:rPr>
                <w:sz w:val="21"/>
                <w:szCs w:val="21"/>
              </w:rPr>
              <w:t>全市</w:t>
            </w:r>
          </w:p>
        </w:tc>
        <w:tc>
          <w:tcPr>
            <w:tcW w:w="1503" w:type="dxa"/>
            <w:vAlign w:val="center"/>
          </w:tcPr>
          <w:p>
            <w:pPr>
              <w:widowControl/>
              <w:spacing w:line="240" w:lineRule="auto"/>
              <w:ind w:firstLine="0" w:firstLineChars="0"/>
              <w:jc w:val="center"/>
              <w:rPr>
                <w:sz w:val="21"/>
                <w:szCs w:val="21"/>
              </w:rPr>
            </w:pPr>
            <w:r>
              <w:rPr>
                <w:sz w:val="21"/>
                <w:szCs w:val="21"/>
              </w:rPr>
              <w:t>8.341</w:t>
            </w:r>
          </w:p>
        </w:tc>
        <w:tc>
          <w:tcPr>
            <w:tcW w:w="1502" w:type="dxa"/>
            <w:vAlign w:val="center"/>
          </w:tcPr>
          <w:p>
            <w:pPr>
              <w:widowControl/>
              <w:spacing w:line="240" w:lineRule="auto"/>
              <w:ind w:firstLine="0" w:firstLineChars="0"/>
              <w:jc w:val="center"/>
              <w:rPr>
                <w:sz w:val="21"/>
                <w:szCs w:val="21"/>
              </w:rPr>
            </w:pPr>
            <w:r>
              <w:rPr>
                <w:sz w:val="21"/>
                <w:szCs w:val="21"/>
              </w:rPr>
              <w:t>10.719</w:t>
            </w:r>
          </w:p>
        </w:tc>
        <w:tc>
          <w:tcPr>
            <w:tcW w:w="1503" w:type="dxa"/>
            <w:vAlign w:val="center"/>
          </w:tcPr>
          <w:p>
            <w:pPr>
              <w:widowControl/>
              <w:spacing w:line="240" w:lineRule="auto"/>
              <w:ind w:firstLine="0" w:firstLineChars="0"/>
              <w:jc w:val="center"/>
              <w:rPr>
                <w:sz w:val="21"/>
                <w:szCs w:val="21"/>
              </w:rPr>
            </w:pPr>
            <w:r>
              <w:rPr>
                <w:sz w:val="21"/>
                <w:szCs w:val="21"/>
              </w:rPr>
              <w:t>7.980</w:t>
            </w:r>
          </w:p>
        </w:tc>
        <w:tc>
          <w:tcPr>
            <w:tcW w:w="1502" w:type="dxa"/>
            <w:vAlign w:val="center"/>
          </w:tcPr>
          <w:p>
            <w:pPr>
              <w:widowControl/>
              <w:spacing w:line="240" w:lineRule="auto"/>
              <w:ind w:firstLine="0" w:firstLineChars="0"/>
              <w:jc w:val="center"/>
              <w:rPr>
                <w:sz w:val="21"/>
                <w:szCs w:val="21"/>
              </w:rPr>
            </w:pPr>
            <w:r>
              <w:rPr>
                <w:sz w:val="21"/>
                <w:szCs w:val="21"/>
              </w:rPr>
              <w:t>6.157</w:t>
            </w:r>
          </w:p>
        </w:tc>
        <w:tc>
          <w:tcPr>
            <w:tcW w:w="1503" w:type="dxa"/>
            <w:vAlign w:val="center"/>
          </w:tcPr>
          <w:p>
            <w:pPr>
              <w:widowControl/>
              <w:spacing w:line="240" w:lineRule="auto"/>
              <w:ind w:firstLine="0" w:firstLineChars="0"/>
              <w:jc w:val="center"/>
              <w:rPr>
                <w:sz w:val="21"/>
                <w:szCs w:val="21"/>
              </w:rPr>
            </w:pPr>
            <w:r>
              <w:rPr>
                <w:sz w:val="21"/>
                <w:szCs w:val="21"/>
              </w:rPr>
              <w:t>4.068</w:t>
            </w:r>
          </w:p>
        </w:tc>
      </w:tr>
    </w:tbl>
    <w:p>
      <w:pPr>
        <w:ind w:firstLine="560"/>
        <w:rPr>
          <w:b/>
          <w:szCs w:val="28"/>
        </w:rPr>
      </w:pPr>
      <w:bookmarkStart w:id="60" w:name="_Toc156399655"/>
      <w:bookmarkStart w:id="61" w:name="_Toc178305328"/>
      <w:r>
        <w:rPr>
          <w:szCs w:val="28"/>
        </w:rPr>
        <w:t>4.出入境水量</w:t>
      </w:r>
      <w:bookmarkEnd w:id="60"/>
      <w:bookmarkEnd w:id="61"/>
    </w:p>
    <w:p>
      <w:pPr>
        <w:ind w:firstLine="560"/>
      </w:pPr>
      <w:r>
        <w:t>淮北市地表水系较发育，自北向南依次分布有闸河、龙岱河、肖濉新河、王引河、南沱河、浍河、澥河、北淝河等</w:t>
      </w:r>
      <w:r>
        <w:rPr>
          <w:rFonts w:hint="eastAsia"/>
        </w:rPr>
        <w:t>河流</w:t>
      </w:r>
      <w:r>
        <w:t>，入境水量比较丰沛，按</w:t>
      </w:r>
      <w:r>
        <w:rPr>
          <w:rFonts w:hint="eastAsia"/>
        </w:rPr>
        <w:t>分区</w:t>
      </w:r>
      <w:r>
        <w:t>统计出</w:t>
      </w:r>
      <w:r>
        <w:rPr>
          <w:rFonts w:hint="eastAsia"/>
        </w:rPr>
        <w:t>、</w:t>
      </w:r>
      <w:r>
        <w:t>入境水量成果见表2-</w:t>
      </w:r>
      <w:r>
        <w:rPr>
          <w:rFonts w:hint="eastAsia"/>
        </w:rPr>
        <w:t>10</w:t>
      </w:r>
      <w:r>
        <w:t>。</w:t>
      </w:r>
    </w:p>
    <w:p>
      <w:pPr>
        <w:pStyle w:val="93"/>
        <w:spacing w:before="120" w:beforeLines="50" w:line="300" w:lineRule="auto"/>
        <w:rPr>
          <w:rFonts w:ascii="宋体" w:hAnsi="宋体" w:cs="Tahoma"/>
          <w:b/>
          <w:bCs w:val="0"/>
          <w:color w:val="000000"/>
          <w:spacing w:val="0"/>
          <w:kern w:val="0"/>
          <w:szCs w:val="21"/>
        </w:rPr>
      </w:pPr>
      <w:r>
        <w:rPr>
          <w:rFonts w:ascii="宋体" w:hAnsi="宋体" w:cs="Tahoma"/>
          <w:b/>
          <w:bCs w:val="0"/>
          <w:color w:val="000000"/>
          <w:spacing w:val="0"/>
          <w:kern w:val="0"/>
          <w:szCs w:val="21"/>
        </w:rPr>
        <w:t>表2-</w:t>
      </w:r>
      <w:r>
        <w:rPr>
          <w:rFonts w:hint="eastAsia" w:ascii="宋体" w:hAnsi="宋体" w:cs="Tahoma"/>
          <w:b/>
          <w:bCs w:val="0"/>
          <w:color w:val="000000"/>
          <w:spacing w:val="0"/>
          <w:kern w:val="0"/>
          <w:szCs w:val="21"/>
        </w:rPr>
        <w:t>10</w:t>
      </w:r>
      <w:r>
        <w:rPr>
          <w:rFonts w:ascii="宋体" w:hAnsi="宋体" w:cs="Tahoma"/>
          <w:b/>
          <w:bCs w:val="0"/>
          <w:color w:val="000000"/>
          <w:spacing w:val="0"/>
          <w:kern w:val="0"/>
          <w:szCs w:val="21"/>
        </w:rPr>
        <w:t xml:space="preserve">  淮北市多年平均出入境水量统计成果表  单位：亿m</w:t>
      </w:r>
      <w:r>
        <w:rPr>
          <w:rFonts w:ascii="宋体" w:hAnsi="宋体" w:cs="Tahoma"/>
          <w:b/>
          <w:bCs w:val="0"/>
          <w:color w:val="000000"/>
          <w:spacing w:val="0"/>
          <w:kern w:val="0"/>
          <w:szCs w:val="21"/>
          <w:vertAlign w:val="superscript"/>
        </w:rPr>
        <w:t>3</w:t>
      </w:r>
    </w:p>
    <w:tbl>
      <w:tblPr>
        <w:tblStyle w:val="39"/>
        <w:tblW w:w="8894"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2964"/>
        <w:gridCol w:w="2964"/>
        <w:gridCol w:w="2966"/>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00" w:hRule="atLeast"/>
          <w:jc w:val="center"/>
        </w:trPr>
        <w:tc>
          <w:tcPr>
            <w:tcW w:w="2964" w:type="dxa"/>
            <w:vAlign w:val="center"/>
          </w:tcPr>
          <w:p>
            <w:pPr>
              <w:spacing w:line="240" w:lineRule="auto"/>
              <w:ind w:firstLine="0" w:firstLineChars="0"/>
              <w:jc w:val="center"/>
              <w:rPr>
                <w:sz w:val="21"/>
                <w:szCs w:val="21"/>
              </w:rPr>
            </w:pPr>
            <w:r>
              <w:rPr>
                <w:rFonts w:hint="eastAsia"/>
                <w:sz w:val="21"/>
                <w:szCs w:val="21"/>
              </w:rPr>
              <w:t>分区</w:t>
            </w:r>
          </w:p>
        </w:tc>
        <w:tc>
          <w:tcPr>
            <w:tcW w:w="2964" w:type="dxa"/>
            <w:vAlign w:val="center"/>
          </w:tcPr>
          <w:p>
            <w:pPr>
              <w:spacing w:line="240" w:lineRule="auto"/>
              <w:ind w:firstLine="0" w:firstLineChars="0"/>
              <w:jc w:val="center"/>
              <w:rPr>
                <w:sz w:val="21"/>
                <w:szCs w:val="21"/>
              </w:rPr>
            </w:pPr>
            <w:r>
              <w:rPr>
                <w:sz w:val="21"/>
                <w:szCs w:val="21"/>
              </w:rPr>
              <w:t>入境水量</w:t>
            </w:r>
          </w:p>
        </w:tc>
        <w:tc>
          <w:tcPr>
            <w:tcW w:w="2966" w:type="dxa"/>
            <w:vAlign w:val="center"/>
          </w:tcPr>
          <w:p>
            <w:pPr>
              <w:spacing w:line="240" w:lineRule="auto"/>
              <w:ind w:firstLine="0" w:firstLineChars="0"/>
              <w:jc w:val="center"/>
              <w:rPr>
                <w:sz w:val="21"/>
                <w:szCs w:val="21"/>
              </w:rPr>
            </w:pPr>
            <w:r>
              <w:rPr>
                <w:sz w:val="21"/>
                <w:szCs w:val="21"/>
              </w:rPr>
              <w:t>出境水量</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00" w:hRule="atLeast"/>
          <w:jc w:val="center"/>
        </w:trPr>
        <w:tc>
          <w:tcPr>
            <w:tcW w:w="2964" w:type="dxa"/>
            <w:vAlign w:val="center"/>
          </w:tcPr>
          <w:p>
            <w:pPr>
              <w:spacing w:line="240" w:lineRule="auto"/>
              <w:ind w:firstLine="0" w:firstLineChars="0"/>
              <w:jc w:val="center"/>
              <w:rPr>
                <w:sz w:val="21"/>
                <w:szCs w:val="21"/>
              </w:rPr>
            </w:pPr>
            <w:r>
              <w:rPr>
                <w:rFonts w:hint="eastAsia"/>
                <w:sz w:val="21"/>
                <w:szCs w:val="21"/>
              </w:rPr>
              <w:t>北区</w:t>
            </w:r>
          </w:p>
        </w:tc>
        <w:tc>
          <w:tcPr>
            <w:tcW w:w="2964" w:type="dxa"/>
            <w:vAlign w:val="center"/>
          </w:tcPr>
          <w:p>
            <w:pPr>
              <w:spacing w:line="240" w:lineRule="auto"/>
              <w:ind w:firstLine="0" w:firstLineChars="0"/>
              <w:jc w:val="center"/>
              <w:rPr>
                <w:sz w:val="21"/>
                <w:szCs w:val="21"/>
              </w:rPr>
            </w:pPr>
            <w:r>
              <w:rPr>
                <w:sz w:val="21"/>
                <w:szCs w:val="21"/>
              </w:rPr>
              <w:t>0.90</w:t>
            </w:r>
          </w:p>
        </w:tc>
        <w:tc>
          <w:tcPr>
            <w:tcW w:w="2966" w:type="dxa"/>
            <w:vAlign w:val="center"/>
          </w:tcPr>
          <w:p>
            <w:pPr>
              <w:spacing w:line="240" w:lineRule="auto"/>
              <w:ind w:firstLine="0" w:firstLineChars="0"/>
              <w:jc w:val="center"/>
              <w:rPr>
                <w:sz w:val="21"/>
                <w:szCs w:val="21"/>
              </w:rPr>
            </w:pPr>
            <w:r>
              <w:rPr>
                <w:sz w:val="21"/>
                <w:szCs w:val="21"/>
              </w:rPr>
              <w:t>1.18</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00" w:hRule="atLeast"/>
          <w:jc w:val="center"/>
        </w:trPr>
        <w:tc>
          <w:tcPr>
            <w:tcW w:w="2964" w:type="dxa"/>
            <w:vAlign w:val="center"/>
          </w:tcPr>
          <w:p>
            <w:pPr>
              <w:spacing w:line="240" w:lineRule="auto"/>
              <w:ind w:firstLine="0" w:firstLineChars="0"/>
              <w:jc w:val="center"/>
              <w:rPr>
                <w:sz w:val="21"/>
                <w:szCs w:val="21"/>
              </w:rPr>
            </w:pPr>
            <w:r>
              <w:rPr>
                <w:rFonts w:hint="eastAsia"/>
                <w:sz w:val="21"/>
                <w:szCs w:val="21"/>
              </w:rPr>
              <w:t>中区</w:t>
            </w:r>
          </w:p>
        </w:tc>
        <w:tc>
          <w:tcPr>
            <w:tcW w:w="2964" w:type="dxa"/>
            <w:vAlign w:val="center"/>
          </w:tcPr>
          <w:p>
            <w:pPr>
              <w:spacing w:line="240" w:lineRule="auto"/>
              <w:ind w:firstLine="0" w:firstLineChars="0"/>
              <w:jc w:val="center"/>
              <w:rPr>
                <w:sz w:val="21"/>
                <w:szCs w:val="21"/>
              </w:rPr>
            </w:pPr>
            <w:r>
              <w:rPr>
                <w:sz w:val="21"/>
                <w:szCs w:val="21"/>
              </w:rPr>
              <w:t>0.</w:t>
            </w:r>
            <w:r>
              <w:rPr>
                <w:rFonts w:hint="eastAsia"/>
                <w:sz w:val="21"/>
                <w:szCs w:val="21"/>
              </w:rPr>
              <w:t>53</w:t>
            </w:r>
          </w:p>
        </w:tc>
        <w:tc>
          <w:tcPr>
            <w:tcW w:w="2966" w:type="dxa"/>
            <w:vAlign w:val="center"/>
          </w:tcPr>
          <w:p>
            <w:pPr>
              <w:spacing w:line="240" w:lineRule="auto"/>
              <w:ind w:firstLine="0" w:firstLineChars="0"/>
              <w:jc w:val="center"/>
              <w:rPr>
                <w:sz w:val="21"/>
                <w:szCs w:val="21"/>
              </w:rPr>
            </w:pPr>
            <w:r>
              <w:rPr>
                <w:sz w:val="21"/>
                <w:szCs w:val="21"/>
              </w:rPr>
              <w:t>1.52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00" w:hRule="atLeast"/>
          <w:jc w:val="center"/>
        </w:trPr>
        <w:tc>
          <w:tcPr>
            <w:tcW w:w="2964" w:type="dxa"/>
            <w:vAlign w:val="center"/>
          </w:tcPr>
          <w:p>
            <w:pPr>
              <w:spacing w:line="240" w:lineRule="auto"/>
              <w:ind w:firstLine="0" w:firstLineChars="0"/>
              <w:jc w:val="center"/>
              <w:rPr>
                <w:sz w:val="21"/>
                <w:szCs w:val="21"/>
              </w:rPr>
            </w:pPr>
            <w:r>
              <w:rPr>
                <w:rFonts w:hint="eastAsia"/>
                <w:sz w:val="21"/>
                <w:szCs w:val="21"/>
              </w:rPr>
              <w:t>南区</w:t>
            </w:r>
          </w:p>
        </w:tc>
        <w:tc>
          <w:tcPr>
            <w:tcW w:w="2964" w:type="dxa"/>
            <w:vAlign w:val="center"/>
          </w:tcPr>
          <w:p>
            <w:pPr>
              <w:spacing w:line="240" w:lineRule="auto"/>
              <w:ind w:firstLine="0" w:firstLineChars="0"/>
              <w:jc w:val="center"/>
              <w:rPr>
                <w:sz w:val="21"/>
                <w:szCs w:val="21"/>
              </w:rPr>
            </w:pPr>
            <w:r>
              <w:rPr>
                <w:sz w:val="21"/>
                <w:szCs w:val="21"/>
              </w:rPr>
              <w:t>2.79</w:t>
            </w:r>
          </w:p>
        </w:tc>
        <w:tc>
          <w:tcPr>
            <w:tcW w:w="2966" w:type="dxa"/>
            <w:vAlign w:val="center"/>
          </w:tcPr>
          <w:p>
            <w:pPr>
              <w:spacing w:line="240" w:lineRule="auto"/>
              <w:ind w:firstLine="0" w:firstLineChars="0"/>
              <w:jc w:val="center"/>
              <w:rPr>
                <w:sz w:val="21"/>
                <w:szCs w:val="21"/>
              </w:rPr>
            </w:pPr>
            <w:r>
              <w:rPr>
                <w:rFonts w:hint="eastAsia"/>
                <w:sz w:val="21"/>
                <w:szCs w:val="21"/>
              </w:rPr>
              <w:t>4.19</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00" w:hRule="atLeast"/>
          <w:jc w:val="center"/>
        </w:trPr>
        <w:tc>
          <w:tcPr>
            <w:tcW w:w="2964" w:type="dxa"/>
            <w:vAlign w:val="center"/>
          </w:tcPr>
          <w:p>
            <w:pPr>
              <w:spacing w:line="240" w:lineRule="auto"/>
              <w:ind w:firstLine="0" w:firstLineChars="0"/>
              <w:jc w:val="center"/>
              <w:rPr>
                <w:sz w:val="21"/>
                <w:szCs w:val="21"/>
              </w:rPr>
            </w:pPr>
            <w:r>
              <w:rPr>
                <w:sz w:val="21"/>
                <w:szCs w:val="21"/>
              </w:rPr>
              <w:t>合计</w:t>
            </w:r>
          </w:p>
        </w:tc>
        <w:tc>
          <w:tcPr>
            <w:tcW w:w="2964" w:type="dxa"/>
            <w:vAlign w:val="center"/>
          </w:tcPr>
          <w:p>
            <w:pPr>
              <w:spacing w:line="240" w:lineRule="auto"/>
              <w:ind w:firstLine="0" w:firstLineChars="0"/>
              <w:jc w:val="center"/>
              <w:rPr>
                <w:sz w:val="21"/>
                <w:szCs w:val="21"/>
              </w:rPr>
            </w:pPr>
            <w:r>
              <w:rPr>
                <w:sz w:val="21"/>
                <w:szCs w:val="21"/>
              </w:rPr>
              <w:t>4.22</w:t>
            </w:r>
          </w:p>
        </w:tc>
        <w:tc>
          <w:tcPr>
            <w:tcW w:w="2966" w:type="dxa"/>
            <w:vAlign w:val="center"/>
          </w:tcPr>
          <w:p>
            <w:pPr>
              <w:spacing w:line="240" w:lineRule="auto"/>
              <w:ind w:firstLine="0" w:firstLineChars="0"/>
              <w:jc w:val="center"/>
              <w:rPr>
                <w:sz w:val="21"/>
                <w:szCs w:val="21"/>
              </w:rPr>
            </w:pPr>
            <w:r>
              <w:rPr>
                <w:sz w:val="21"/>
                <w:szCs w:val="21"/>
              </w:rPr>
              <w:t>6.89</w:t>
            </w:r>
          </w:p>
        </w:tc>
      </w:tr>
    </w:tbl>
    <w:p>
      <w:pPr>
        <w:pStyle w:val="4"/>
      </w:pPr>
      <w:bookmarkStart w:id="62" w:name="_Toc8032502"/>
      <w:r>
        <w:t>1.6.2</w:t>
      </w:r>
      <w:r>
        <w:rPr>
          <w:rFonts w:hint="eastAsia"/>
        </w:rPr>
        <w:t>供水预测</w:t>
      </w:r>
      <w:bookmarkEnd w:id="62"/>
    </w:p>
    <w:p>
      <w:pPr>
        <w:ind w:firstLine="562"/>
        <w:rPr>
          <w:b/>
          <w:bCs/>
        </w:rPr>
      </w:pPr>
      <w:bookmarkStart w:id="63" w:name="_Toc156399689"/>
      <w:bookmarkStart w:id="64" w:name="_Toc178220568"/>
      <w:bookmarkStart w:id="65" w:name="_Toc173508791"/>
      <w:r>
        <w:rPr>
          <w:b/>
          <w:bCs/>
        </w:rPr>
        <w:t>1.地表水</w:t>
      </w:r>
      <w:bookmarkEnd w:id="63"/>
      <w:r>
        <w:rPr>
          <w:b/>
          <w:bCs/>
        </w:rPr>
        <w:t>可供水量</w:t>
      </w:r>
      <w:bookmarkEnd w:id="64"/>
      <w:bookmarkEnd w:id="65"/>
    </w:p>
    <w:p>
      <w:pPr>
        <w:pStyle w:val="93"/>
        <w:spacing w:before="120" w:beforeLines="50" w:line="300" w:lineRule="auto"/>
        <w:rPr>
          <w:rFonts w:ascii="宋体" w:hAnsi="宋体" w:cs="Tahoma"/>
          <w:b/>
          <w:bCs w:val="0"/>
          <w:color w:val="000000"/>
          <w:spacing w:val="0"/>
          <w:kern w:val="0"/>
          <w:szCs w:val="21"/>
        </w:rPr>
      </w:pPr>
    </w:p>
    <w:p>
      <w:pPr>
        <w:pStyle w:val="93"/>
        <w:spacing w:before="120" w:beforeLines="50" w:line="300" w:lineRule="auto"/>
        <w:rPr>
          <w:rFonts w:ascii="宋体" w:hAnsi="宋体" w:cs="Tahoma"/>
          <w:b/>
          <w:bCs w:val="0"/>
          <w:color w:val="000000"/>
          <w:spacing w:val="0"/>
          <w:kern w:val="0"/>
          <w:szCs w:val="21"/>
        </w:rPr>
      </w:pPr>
      <w:r>
        <w:rPr>
          <w:rFonts w:ascii="宋体" w:hAnsi="宋体" w:cs="Tahoma"/>
          <w:b/>
          <w:bCs w:val="0"/>
          <w:color w:val="000000"/>
          <w:spacing w:val="0"/>
          <w:kern w:val="0"/>
          <w:szCs w:val="21"/>
        </w:rPr>
        <w:t>表2-11  淮北市地表水可供水量计算成果表  单位：亿m</w:t>
      </w:r>
      <w:r>
        <w:rPr>
          <w:rFonts w:ascii="宋体" w:hAnsi="宋体" w:cs="Tahoma"/>
          <w:b/>
          <w:bCs w:val="0"/>
          <w:color w:val="000000"/>
          <w:spacing w:val="0"/>
          <w:kern w:val="0"/>
          <w:szCs w:val="21"/>
          <w:vertAlign w:val="superscript"/>
        </w:rPr>
        <w:t>3</w:t>
      </w:r>
      <w:r>
        <w:rPr>
          <w:rFonts w:ascii="宋体" w:hAnsi="宋体" w:cs="Tahoma"/>
          <w:b/>
          <w:bCs w:val="0"/>
          <w:color w:val="000000"/>
          <w:spacing w:val="0"/>
          <w:kern w:val="0"/>
          <w:szCs w:val="21"/>
        </w:rPr>
        <w:t>/a</w:t>
      </w:r>
    </w:p>
    <w:tbl>
      <w:tblPr>
        <w:tblStyle w:val="39"/>
        <w:tblW w:w="8849"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392"/>
        <w:gridCol w:w="1564"/>
        <w:gridCol w:w="1473"/>
        <w:gridCol w:w="1473"/>
        <w:gridCol w:w="1473"/>
        <w:gridCol w:w="1474"/>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50" w:hRule="atLeast"/>
          <w:jc w:val="center"/>
        </w:trPr>
        <w:tc>
          <w:tcPr>
            <w:tcW w:w="1392" w:type="dxa"/>
            <w:vAlign w:val="center"/>
          </w:tcPr>
          <w:p>
            <w:pPr>
              <w:pStyle w:val="72"/>
            </w:pPr>
            <w:r>
              <w:t>分区</w:t>
            </w:r>
          </w:p>
        </w:tc>
        <w:tc>
          <w:tcPr>
            <w:tcW w:w="1564" w:type="dxa"/>
            <w:vAlign w:val="center"/>
          </w:tcPr>
          <w:p>
            <w:pPr>
              <w:pStyle w:val="72"/>
            </w:pPr>
            <w:r>
              <w:t>水平年</w:t>
            </w:r>
          </w:p>
        </w:tc>
        <w:tc>
          <w:tcPr>
            <w:tcW w:w="1473" w:type="dxa"/>
            <w:vAlign w:val="center"/>
          </w:tcPr>
          <w:p>
            <w:pPr>
              <w:pStyle w:val="72"/>
            </w:pPr>
            <w:r>
              <w:t>多年平均</w:t>
            </w:r>
          </w:p>
        </w:tc>
        <w:tc>
          <w:tcPr>
            <w:tcW w:w="1473" w:type="dxa"/>
            <w:vAlign w:val="center"/>
          </w:tcPr>
          <w:p>
            <w:pPr>
              <w:pStyle w:val="72"/>
            </w:pPr>
            <w:r>
              <w:t>50%</w:t>
            </w:r>
          </w:p>
        </w:tc>
        <w:tc>
          <w:tcPr>
            <w:tcW w:w="1473" w:type="dxa"/>
            <w:vAlign w:val="center"/>
          </w:tcPr>
          <w:p>
            <w:pPr>
              <w:pStyle w:val="72"/>
            </w:pPr>
            <w:r>
              <w:t>75%</w:t>
            </w:r>
          </w:p>
        </w:tc>
        <w:tc>
          <w:tcPr>
            <w:tcW w:w="1474" w:type="dxa"/>
            <w:vAlign w:val="center"/>
          </w:tcPr>
          <w:p>
            <w:pPr>
              <w:pStyle w:val="72"/>
            </w:pPr>
            <w:r>
              <w:t>95%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17" w:hRule="atLeast"/>
          <w:jc w:val="center"/>
        </w:trPr>
        <w:tc>
          <w:tcPr>
            <w:tcW w:w="1392" w:type="dxa"/>
            <w:vMerge w:val="restart"/>
            <w:vAlign w:val="center"/>
          </w:tcPr>
          <w:p>
            <w:pPr>
              <w:pStyle w:val="72"/>
            </w:pPr>
            <w:r>
              <w:t>北区</w:t>
            </w:r>
          </w:p>
        </w:tc>
        <w:tc>
          <w:tcPr>
            <w:tcW w:w="1564" w:type="dxa"/>
            <w:vAlign w:val="center"/>
          </w:tcPr>
          <w:p>
            <w:pPr>
              <w:pStyle w:val="72"/>
            </w:pPr>
            <w:r>
              <w:t>2004</w:t>
            </w:r>
          </w:p>
        </w:tc>
        <w:tc>
          <w:tcPr>
            <w:tcW w:w="1473" w:type="dxa"/>
            <w:vAlign w:val="center"/>
          </w:tcPr>
          <w:p>
            <w:pPr>
              <w:pStyle w:val="72"/>
            </w:pPr>
            <w:r>
              <w:rPr>
                <w:rFonts w:hint="eastAsia"/>
              </w:rPr>
              <w:t>0.570</w:t>
            </w:r>
          </w:p>
        </w:tc>
        <w:tc>
          <w:tcPr>
            <w:tcW w:w="1473" w:type="dxa"/>
            <w:vAlign w:val="center"/>
          </w:tcPr>
          <w:p>
            <w:pPr>
              <w:pStyle w:val="72"/>
            </w:pPr>
            <w:r>
              <w:rPr>
                <w:rFonts w:hint="eastAsia"/>
              </w:rPr>
              <w:t>0.484</w:t>
            </w:r>
          </w:p>
        </w:tc>
        <w:tc>
          <w:tcPr>
            <w:tcW w:w="1473" w:type="dxa"/>
            <w:vAlign w:val="center"/>
          </w:tcPr>
          <w:p>
            <w:pPr>
              <w:pStyle w:val="72"/>
            </w:pPr>
            <w:r>
              <w:rPr>
                <w:rFonts w:hint="eastAsia"/>
              </w:rPr>
              <w:t>0.365</w:t>
            </w:r>
          </w:p>
        </w:tc>
        <w:tc>
          <w:tcPr>
            <w:tcW w:w="1474" w:type="dxa"/>
            <w:vAlign w:val="center"/>
          </w:tcPr>
          <w:p>
            <w:pPr>
              <w:pStyle w:val="72"/>
            </w:pPr>
            <w:r>
              <w:rPr>
                <w:rFonts w:hint="eastAsia"/>
              </w:rPr>
              <w:t>0.263</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17" w:hRule="atLeast"/>
          <w:jc w:val="center"/>
        </w:trPr>
        <w:tc>
          <w:tcPr>
            <w:tcW w:w="1392" w:type="dxa"/>
            <w:vMerge w:val="continue"/>
            <w:vAlign w:val="center"/>
          </w:tcPr>
          <w:p>
            <w:pPr>
              <w:pStyle w:val="72"/>
            </w:pPr>
          </w:p>
        </w:tc>
        <w:tc>
          <w:tcPr>
            <w:tcW w:w="1564" w:type="dxa"/>
            <w:vAlign w:val="center"/>
          </w:tcPr>
          <w:p>
            <w:pPr>
              <w:pStyle w:val="72"/>
            </w:pPr>
            <w:r>
              <w:t>2010</w:t>
            </w:r>
          </w:p>
        </w:tc>
        <w:tc>
          <w:tcPr>
            <w:tcW w:w="1473" w:type="dxa"/>
            <w:vAlign w:val="center"/>
          </w:tcPr>
          <w:p>
            <w:pPr>
              <w:pStyle w:val="72"/>
            </w:pPr>
            <w:r>
              <w:rPr>
                <w:rFonts w:hint="eastAsia"/>
              </w:rPr>
              <w:t>0.611</w:t>
            </w:r>
          </w:p>
        </w:tc>
        <w:tc>
          <w:tcPr>
            <w:tcW w:w="1473" w:type="dxa"/>
            <w:vAlign w:val="center"/>
          </w:tcPr>
          <w:p>
            <w:pPr>
              <w:pStyle w:val="72"/>
            </w:pPr>
            <w:r>
              <w:rPr>
                <w:rFonts w:hint="eastAsia"/>
              </w:rPr>
              <w:t>0.838</w:t>
            </w:r>
          </w:p>
        </w:tc>
        <w:tc>
          <w:tcPr>
            <w:tcW w:w="1473" w:type="dxa"/>
            <w:vAlign w:val="center"/>
          </w:tcPr>
          <w:p>
            <w:pPr>
              <w:pStyle w:val="72"/>
            </w:pPr>
            <w:r>
              <w:rPr>
                <w:rFonts w:hint="eastAsia"/>
              </w:rPr>
              <w:t>0.610</w:t>
            </w:r>
          </w:p>
        </w:tc>
        <w:tc>
          <w:tcPr>
            <w:tcW w:w="1474" w:type="dxa"/>
            <w:vAlign w:val="center"/>
          </w:tcPr>
          <w:p>
            <w:pPr>
              <w:pStyle w:val="72"/>
            </w:pPr>
            <w:r>
              <w:rPr>
                <w:rFonts w:hint="eastAsia"/>
              </w:rPr>
              <w:t>0.412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17" w:hRule="atLeast"/>
          <w:jc w:val="center"/>
        </w:trPr>
        <w:tc>
          <w:tcPr>
            <w:tcW w:w="1392" w:type="dxa"/>
            <w:vMerge w:val="continue"/>
            <w:vAlign w:val="center"/>
          </w:tcPr>
          <w:p>
            <w:pPr>
              <w:pStyle w:val="72"/>
            </w:pPr>
          </w:p>
        </w:tc>
        <w:tc>
          <w:tcPr>
            <w:tcW w:w="1564" w:type="dxa"/>
            <w:vAlign w:val="center"/>
          </w:tcPr>
          <w:p>
            <w:pPr>
              <w:pStyle w:val="72"/>
            </w:pPr>
            <w:r>
              <w:t>2020</w:t>
            </w:r>
          </w:p>
        </w:tc>
        <w:tc>
          <w:tcPr>
            <w:tcW w:w="1473" w:type="dxa"/>
            <w:vAlign w:val="center"/>
          </w:tcPr>
          <w:p>
            <w:pPr>
              <w:pStyle w:val="72"/>
            </w:pPr>
            <w:r>
              <w:rPr>
                <w:rFonts w:hint="eastAsia"/>
              </w:rPr>
              <w:t>0.639</w:t>
            </w:r>
          </w:p>
        </w:tc>
        <w:tc>
          <w:tcPr>
            <w:tcW w:w="1473" w:type="dxa"/>
            <w:vAlign w:val="center"/>
          </w:tcPr>
          <w:p>
            <w:pPr>
              <w:pStyle w:val="72"/>
            </w:pPr>
            <w:r>
              <w:rPr>
                <w:rFonts w:hint="eastAsia"/>
              </w:rPr>
              <w:t>0.958</w:t>
            </w:r>
          </w:p>
        </w:tc>
        <w:tc>
          <w:tcPr>
            <w:tcW w:w="1473" w:type="dxa"/>
            <w:vAlign w:val="center"/>
          </w:tcPr>
          <w:p>
            <w:pPr>
              <w:pStyle w:val="72"/>
            </w:pPr>
            <w:r>
              <w:rPr>
                <w:rFonts w:hint="eastAsia"/>
              </w:rPr>
              <w:t>0.692</w:t>
            </w:r>
          </w:p>
        </w:tc>
        <w:tc>
          <w:tcPr>
            <w:tcW w:w="1474" w:type="dxa"/>
            <w:vAlign w:val="center"/>
          </w:tcPr>
          <w:p>
            <w:pPr>
              <w:pStyle w:val="72"/>
            </w:pPr>
            <w:r>
              <w:rPr>
                <w:rFonts w:hint="eastAsia"/>
              </w:rPr>
              <w:t>0.477</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17" w:hRule="atLeast"/>
          <w:jc w:val="center"/>
        </w:trPr>
        <w:tc>
          <w:tcPr>
            <w:tcW w:w="1392" w:type="dxa"/>
            <w:vMerge w:val="restart"/>
            <w:vAlign w:val="center"/>
          </w:tcPr>
          <w:p>
            <w:pPr>
              <w:pStyle w:val="72"/>
            </w:pPr>
            <w:r>
              <w:t>中区</w:t>
            </w:r>
          </w:p>
        </w:tc>
        <w:tc>
          <w:tcPr>
            <w:tcW w:w="1564" w:type="dxa"/>
            <w:vAlign w:val="center"/>
          </w:tcPr>
          <w:p>
            <w:pPr>
              <w:pStyle w:val="72"/>
            </w:pPr>
            <w:r>
              <w:t>2004</w:t>
            </w:r>
          </w:p>
        </w:tc>
        <w:tc>
          <w:tcPr>
            <w:tcW w:w="1473" w:type="dxa"/>
            <w:vAlign w:val="center"/>
          </w:tcPr>
          <w:p>
            <w:pPr>
              <w:pStyle w:val="72"/>
            </w:pPr>
            <w:r>
              <w:rPr>
                <w:rFonts w:hint="eastAsia"/>
              </w:rPr>
              <w:t>0.492</w:t>
            </w:r>
          </w:p>
        </w:tc>
        <w:tc>
          <w:tcPr>
            <w:tcW w:w="1473" w:type="dxa"/>
            <w:vAlign w:val="center"/>
          </w:tcPr>
          <w:p>
            <w:pPr>
              <w:pStyle w:val="72"/>
            </w:pPr>
            <w:r>
              <w:rPr>
                <w:rFonts w:hint="eastAsia"/>
              </w:rPr>
              <w:t>0.418</w:t>
            </w:r>
          </w:p>
        </w:tc>
        <w:tc>
          <w:tcPr>
            <w:tcW w:w="1473" w:type="dxa"/>
            <w:vAlign w:val="center"/>
          </w:tcPr>
          <w:p>
            <w:pPr>
              <w:pStyle w:val="72"/>
            </w:pPr>
            <w:r>
              <w:rPr>
                <w:rFonts w:hint="eastAsia"/>
              </w:rPr>
              <w:t>0.315</w:t>
            </w:r>
          </w:p>
        </w:tc>
        <w:tc>
          <w:tcPr>
            <w:tcW w:w="1474" w:type="dxa"/>
            <w:vAlign w:val="center"/>
          </w:tcPr>
          <w:p>
            <w:pPr>
              <w:pStyle w:val="72"/>
            </w:pPr>
            <w:r>
              <w:rPr>
                <w:rFonts w:hint="eastAsia"/>
              </w:rPr>
              <w:t>0.227</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17" w:hRule="atLeast"/>
          <w:jc w:val="center"/>
        </w:trPr>
        <w:tc>
          <w:tcPr>
            <w:tcW w:w="1392" w:type="dxa"/>
            <w:vMerge w:val="continue"/>
            <w:vAlign w:val="center"/>
          </w:tcPr>
          <w:p>
            <w:pPr>
              <w:pStyle w:val="72"/>
            </w:pPr>
          </w:p>
        </w:tc>
        <w:tc>
          <w:tcPr>
            <w:tcW w:w="1564" w:type="dxa"/>
            <w:vAlign w:val="center"/>
          </w:tcPr>
          <w:p>
            <w:pPr>
              <w:pStyle w:val="72"/>
            </w:pPr>
            <w:r>
              <w:t>2010</w:t>
            </w:r>
          </w:p>
        </w:tc>
        <w:tc>
          <w:tcPr>
            <w:tcW w:w="1473" w:type="dxa"/>
            <w:vAlign w:val="center"/>
          </w:tcPr>
          <w:p>
            <w:pPr>
              <w:pStyle w:val="72"/>
            </w:pPr>
            <w:r>
              <w:rPr>
                <w:rFonts w:hint="eastAsia"/>
              </w:rPr>
              <w:t>0.527</w:t>
            </w:r>
          </w:p>
        </w:tc>
        <w:tc>
          <w:tcPr>
            <w:tcW w:w="1473" w:type="dxa"/>
            <w:vAlign w:val="center"/>
          </w:tcPr>
          <w:p>
            <w:pPr>
              <w:pStyle w:val="72"/>
            </w:pPr>
            <w:r>
              <w:rPr>
                <w:rFonts w:hint="eastAsia"/>
              </w:rPr>
              <w:t>0.510</w:t>
            </w:r>
          </w:p>
        </w:tc>
        <w:tc>
          <w:tcPr>
            <w:tcW w:w="1473" w:type="dxa"/>
            <w:vAlign w:val="center"/>
          </w:tcPr>
          <w:p>
            <w:pPr>
              <w:pStyle w:val="72"/>
            </w:pPr>
            <w:r>
              <w:rPr>
                <w:rFonts w:hint="eastAsia"/>
              </w:rPr>
              <w:t>0.376</w:t>
            </w:r>
          </w:p>
        </w:tc>
        <w:tc>
          <w:tcPr>
            <w:tcW w:w="1474" w:type="dxa"/>
            <w:vAlign w:val="center"/>
          </w:tcPr>
          <w:p>
            <w:pPr>
              <w:pStyle w:val="72"/>
            </w:pPr>
            <w:r>
              <w:rPr>
                <w:rFonts w:hint="eastAsia"/>
              </w:rPr>
              <w:t>0.262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17" w:hRule="atLeast"/>
          <w:jc w:val="center"/>
        </w:trPr>
        <w:tc>
          <w:tcPr>
            <w:tcW w:w="1392" w:type="dxa"/>
            <w:vMerge w:val="continue"/>
            <w:vAlign w:val="center"/>
          </w:tcPr>
          <w:p>
            <w:pPr>
              <w:pStyle w:val="72"/>
            </w:pPr>
          </w:p>
        </w:tc>
        <w:tc>
          <w:tcPr>
            <w:tcW w:w="1564" w:type="dxa"/>
            <w:vAlign w:val="center"/>
          </w:tcPr>
          <w:p>
            <w:pPr>
              <w:pStyle w:val="72"/>
            </w:pPr>
            <w:r>
              <w:t>2020</w:t>
            </w:r>
          </w:p>
        </w:tc>
        <w:tc>
          <w:tcPr>
            <w:tcW w:w="1473" w:type="dxa"/>
            <w:vAlign w:val="center"/>
          </w:tcPr>
          <w:p>
            <w:pPr>
              <w:pStyle w:val="72"/>
            </w:pPr>
            <w:r>
              <w:rPr>
                <w:rFonts w:hint="eastAsia"/>
              </w:rPr>
              <w:t>0.551</w:t>
            </w:r>
          </w:p>
        </w:tc>
        <w:tc>
          <w:tcPr>
            <w:tcW w:w="1473" w:type="dxa"/>
            <w:vAlign w:val="center"/>
          </w:tcPr>
          <w:p>
            <w:pPr>
              <w:pStyle w:val="72"/>
            </w:pPr>
            <w:r>
              <w:rPr>
                <w:rFonts w:hint="eastAsia"/>
              </w:rPr>
              <w:t>0.564</w:t>
            </w:r>
          </w:p>
        </w:tc>
        <w:tc>
          <w:tcPr>
            <w:tcW w:w="1473" w:type="dxa"/>
            <w:vAlign w:val="center"/>
          </w:tcPr>
          <w:p>
            <w:pPr>
              <w:pStyle w:val="72"/>
            </w:pPr>
            <w:r>
              <w:rPr>
                <w:rFonts w:hint="eastAsia"/>
              </w:rPr>
              <w:t>0.414</w:t>
            </w:r>
          </w:p>
        </w:tc>
        <w:tc>
          <w:tcPr>
            <w:tcW w:w="1474" w:type="dxa"/>
            <w:vAlign w:val="center"/>
          </w:tcPr>
          <w:p>
            <w:pPr>
              <w:pStyle w:val="72"/>
            </w:pPr>
            <w:r>
              <w:rPr>
                <w:rFonts w:hint="eastAsia"/>
              </w:rPr>
              <w:t>0.294</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17" w:hRule="atLeast"/>
          <w:jc w:val="center"/>
        </w:trPr>
        <w:tc>
          <w:tcPr>
            <w:tcW w:w="1392" w:type="dxa"/>
            <w:vMerge w:val="restart"/>
            <w:vAlign w:val="center"/>
          </w:tcPr>
          <w:p>
            <w:pPr>
              <w:pStyle w:val="72"/>
            </w:pPr>
            <w:r>
              <w:t>南区</w:t>
            </w:r>
          </w:p>
        </w:tc>
        <w:tc>
          <w:tcPr>
            <w:tcW w:w="1564" w:type="dxa"/>
            <w:vAlign w:val="center"/>
          </w:tcPr>
          <w:p>
            <w:pPr>
              <w:pStyle w:val="72"/>
            </w:pPr>
            <w:r>
              <w:t>2004</w:t>
            </w:r>
          </w:p>
        </w:tc>
        <w:tc>
          <w:tcPr>
            <w:tcW w:w="1473" w:type="dxa"/>
            <w:vAlign w:val="center"/>
          </w:tcPr>
          <w:p>
            <w:pPr>
              <w:pStyle w:val="72"/>
            </w:pPr>
            <w:r>
              <w:rPr>
                <w:rFonts w:hint="eastAsia"/>
              </w:rPr>
              <w:t>1.374</w:t>
            </w:r>
          </w:p>
        </w:tc>
        <w:tc>
          <w:tcPr>
            <w:tcW w:w="1473" w:type="dxa"/>
            <w:vAlign w:val="center"/>
          </w:tcPr>
          <w:p>
            <w:pPr>
              <w:pStyle w:val="72"/>
            </w:pPr>
            <w:r>
              <w:rPr>
                <w:rFonts w:hint="eastAsia"/>
              </w:rPr>
              <w:t>1.168</w:t>
            </w:r>
          </w:p>
        </w:tc>
        <w:tc>
          <w:tcPr>
            <w:tcW w:w="1473" w:type="dxa"/>
            <w:vAlign w:val="center"/>
          </w:tcPr>
          <w:p>
            <w:pPr>
              <w:pStyle w:val="72"/>
            </w:pPr>
            <w:r>
              <w:rPr>
                <w:rFonts w:hint="eastAsia"/>
              </w:rPr>
              <w:t>0.879</w:t>
            </w:r>
          </w:p>
        </w:tc>
        <w:tc>
          <w:tcPr>
            <w:tcW w:w="1474" w:type="dxa"/>
            <w:vAlign w:val="center"/>
          </w:tcPr>
          <w:p>
            <w:pPr>
              <w:pStyle w:val="72"/>
            </w:pPr>
            <w:r>
              <w:rPr>
                <w:rFonts w:hint="eastAsia"/>
              </w:rPr>
              <w:t>0.635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17" w:hRule="atLeast"/>
          <w:jc w:val="center"/>
        </w:trPr>
        <w:tc>
          <w:tcPr>
            <w:tcW w:w="1392" w:type="dxa"/>
            <w:vMerge w:val="continue"/>
            <w:vAlign w:val="center"/>
          </w:tcPr>
          <w:p>
            <w:pPr>
              <w:pStyle w:val="72"/>
            </w:pPr>
          </w:p>
        </w:tc>
        <w:tc>
          <w:tcPr>
            <w:tcW w:w="1564" w:type="dxa"/>
            <w:vAlign w:val="center"/>
          </w:tcPr>
          <w:p>
            <w:pPr>
              <w:pStyle w:val="72"/>
            </w:pPr>
            <w:r>
              <w:t>2010</w:t>
            </w:r>
          </w:p>
        </w:tc>
        <w:tc>
          <w:tcPr>
            <w:tcW w:w="1473" w:type="dxa"/>
            <w:vAlign w:val="center"/>
          </w:tcPr>
          <w:p>
            <w:pPr>
              <w:pStyle w:val="72"/>
            </w:pPr>
            <w:r>
              <w:rPr>
                <w:rFonts w:hint="eastAsia"/>
              </w:rPr>
              <w:t>1.472</w:t>
            </w:r>
          </w:p>
        </w:tc>
        <w:tc>
          <w:tcPr>
            <w:tcW w:w="1473" w:type="dxa"/>
            <w:vAlign w:val="center"/>
          </w:tcPr>
          <w:p>
            <w:pPr>
              <w:pStyle w:val="72"/>
            </w:pPr>
            <w:r>
              <w:rPr>
                <w:rFonts w:hint="eastAsia"/>
              </w:rPr>
              <w:t>1.527</w:t>
            </w:r>
          </w:p>
        </w:tc>
        <w:tc>
          <w:tcPr>
            <w:tcW w:w="1473" w:type="dxa"/>
            <w:vAlign w:val="center"/>
          </w:tcPr>
          <w:p>
            <w:pPr>
              <w:pStyle w:val="72"/>
            </w:pPr>
            <w:r>
              <w:rPr>
                <w:rFonts w:hint="eastAsia"/>
              </w:rPr>
              <w:t>1.111</w:t>
            </w:r>
          </w:p>
        </w:tc>
        <w:tc>
          <w:tcPr>
            <w:tcW w:w="1474" w:type="dxa"/>
            <w:vAlign w:val="center"/>
          </w:tcPr>
          <w:p>
            <w:pPr>
              <w:pStyle w:val="72"/>
            </w:pPr>
            <w:r>
              <w:rPr>
                <w:rFonts w:hint="eastAsia"/>
              </w:rPr>
              <w:t>0.765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17" w:hRule="atLeast"/>
          <w:jc w:val="center"/>
        </w:trPr>
        <w:tc>
          <w:tcPr>
            <w:tcW w:w="1392" w:type="dxa"/>
            <w:vMerge w:val="continue"/>
            <w:vAlign w:val="center"/>
          </w:tcPr>
          <w:p>
            <w:pPr>
              <w:pStyle w:val="72"/>
            </w:pPr>
          </w:p>
        </w:tc>
        <w:tc>
          <w:tcPr>
            <w:tcW w:w="1564" w:type="dxa"/>
            <w:vAlign w:val="center"/>
          </w:tcPr>
          <w:p>
            <w:pPr>
              <w:pStyle w:val="72"/>
            </w:pPr>
            <w:r>
              <w:t>2020</w:t>
            </w:r>
          </w:p>
        </w:tc>
        <w:tc>
          <w:tcPr>
            <w:tcW w:w="1473" w:type="dxa"/>
            <w:vAlign w:val="center"/>
          </w:tcPr>
          <w:p>
            <w:pPr>
              <w:pStyle w:val="72"/>
            </w:pPr>
            <w:r>
              <w:rPr>
                <w:rFonts w:hint="eastAsia"/>
              </w:rPr>
              <w:t>1.540</w:t>
            </w:r>
          </w:p>
        </w:tc>
        <w:tc>
          <w:tcPr>
            <w:tcW w:w="1473" w:type="dxa"/>
            <w:vAlign w:val="center"/>
          </w:tcPr>
          <w:p>
            <w:pPr>
              <w:pStyle w:val="72"/>
            </w:pPr>
            <w:r>
              <w:rPr>
                <w:rFonts w:hint="eastAsia"/>
              </w:rPr>
              <w:t>1.599</w:t>
            </w:r>
          </w:p>
        </w:tc>
        <w:tc>
          <w:tcPr>
            <w:tcW w:w="1473" w:type="dxa"/>
            <w:vAlign w:val="center"/>
          </w:tcPr>
          <w:p>
            <w:pPr>
              <w:pStyle w:val="72"/>
            </w:pPr>
            <w:r>
              <w:rPr>
                <w:rFonts w:hint="eastAsia"/>
              </w:rPr>
              <w:t>1.161</w:t>
            </w:r>
          </w:p>
        </w:tc>
        <w:tc>
          <w:tcPr>
            <w:tcW w:w="1474" w:type="dxa"/>
            <w:vAlign w:val="center"/>
          </w:tcPr>
          <w:p>
            <w:pPr>
              <w:pStyle w:val="72"/>
            </w:pPr>
            <w:r>
              <w:rPr>
                <w:rFonts w:hint="eastAsia"/>
              </w:rPr>
              <w:t>0.826</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17" w:hRule="atLeast"/>
          <w:jc w:val="center"/>
        </w:trPr>
        <w:tc>
          <w:tcPr>
            <w:tcW w:w="1392" w:type="dxa"/>
            <w:vMerge w:val="restart"/>
            <w:vAlign w:val="center"/>
          </w:tcPr>
          <w:p>
            <w:pPr>
              <w:pStyle w:val="72"/>
            </w:pPr>
            <w:r>
              <w:t>合计</w:t>
            </w:r>
          </w:p>
        </w:tc>
        <w:tc>
          <w:tcPr>
            <w:tcW w:w="1564" w:type="dxa"/>
            <w:vAlign w:val="center"/>
          </w:tcPr>
          <w:p>
            <w:pPr>
              <w:pStyle w:val="72"/>
            </w:pPr>
            <w:r>
              <w:t>2004</w:t>
            </w:r>
          </w:p>
        </w:tc>
        <w:tc>
          <w:tcPr>
            <w:tcW w:w="1473" w:type="dxa"/>
            <w:vAlign w:val="center"/>
          </w:tcPr>
          <w:p>
            <w:pPr>
              <w:pStyle w:val="72"/>
            </w:pPr>
            <w:r>
              <w:rPr>
                <w:rFonts w:hint="eastAsia"/>
              </w:rPr>
              <w:t>2.436</w:t>
            </w:r>
          </w:p>
        </w:tc>
        <w:tc>
          <w:tcPr>
            <w:tcW w:w="1473" w:type="dxa"/>
            <w:vAlign w:val="center"/>
          </w:tcPr>
          <w:p>
            <w:pPr>
              <w:pStyle w:val="72"/>
            </w:pPr>
            <w:r>
              <w:rPr>
                <w:rFonts w:hint="eastAsia"/>
              </w:rPr>
              <w:t>2.070</w:t>
            </w:r>
          </w:p>
        </w:tc>
        <w:tc>
          <w:tcPr>
            <w:tcW w:w="1473" w:type="dxa"/>
            <w:vAlign w:val="center"/>
          </w:tcPr>
          <w:p>
            <w:pPr>
              <w:pStyle w:val="72"/>
            </w:pPr>
            <w:r>
              <w:rPr>
                <w:rFonts w:hint="eastAsia"/>
              </w:rPr>
              <w:t>1.559</w:t>
            </w:r>
          </w:p>
        </w:tc>
        <w:tc>
          <w:tcPr>
            <w:tcW w:w="1474" w:type="dxa"/>
            <w:vAlign w:val="center"/>
          </w:tcPr>
          <w:p>
            <w:pPr>
              <w:pStyle w:val="72"/>
            </w:pPr>
            <w:r>
              <w:rPr>
                <w:rFonts w:hint="eastAsia"/>
              </w:rPr>
              <w:t>1.125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17" w:hRule="atLeast"/>
          <w:jc w:val="center"/>
        </w:trPr>
        <w:tc>
          <w:tcPr>
            <w:tcW w:w="1392" w:type="dxa"/>
            <w:vMerge w:val="continue"/>
            <w:vAlign w:val="center"/>
          </w:tcPr>
          <w:p>
            <w:pPr>
              <w:pStyle w:val="72"/>
            </w:pPr>
          </w:p>
        </w:tc>
        <w:tc>
          <w:tcPr>
            <w:tcW w:w="1564" w:type="dxa"/>
            <w:vAlign w:val="center"/>
          </w:tcPr>
          <w:p>
            <w:pPr>
              <w:pStyle w:val="72"/>
            </w:pPr>
            <w:r>
              <w:t>2010</w:t>
            </w:r>
          </w:p>
        </w:tc>
        <w:tc>
          <w:tcPr>
            <w:tcW w:w="1473" w:type="dxa"/>
            <w:vAlign w:val="center"/>
          </w:tcPr>
          <w:p>
            <w:pPr>
              <w:pStyle w:val="72"/>
            </w:pPr>
            <w:r>
              <w:rPr>
                <w:rFonts w:hint="eastAsia"/>
              </w:rPr>
              <w:t>2.610</w:t>
            </w:r>
          </w:p>
        </w:tc>
        <w:tc>
          <w:tcPr>
            <w:tcW w:w="1473" w:type="dxa"/>
            <w:vAlign w:val="center"/>
          </w:tcPr>
          <w:p>
            <w:pPr>
              <w:pStyle w:val="72"/>
            </w:pPr>
            <w:r>
              <w:rPr>
                <w:rFonts w:hint="eastAsia"/>
              </w:rPr>
              <w:t>2.875</w:t>
            </w:r>
          </w:p>
        </w:tc>
        <w:tc>
          <w:tcPr>
            <w:tcW w:w="1473" w:type="dxa"/>
            <w:vAlign w:val="center"/>
          </w:tcPr>
          <w:p>
            <w:pPr>
              <w:pStyle w:val="72"/>
            </w:pPr>
            <w:r>
              <w:rPr>
                <w:rFonts w:hint="eastAsia"/>
              </w:rPr>
              <w:t>2.097</w:t>
            </w:r>
          </w:p>
        </w:tc>
        <w:tc>
          <w:tcPr>
            <w:tcW w:w="1474" w:type="dxa"/>
            <w:vAlign w:val="center"/>
          </w:tcPr>
          <w:p>
            <w:pPr>
              <w:pStyle w:val="72"/>
            </w:pPr>
            <w:r>
              <w:rPr>
                <w:rFonts w:hint="eastAsia"/>
              </w:rPr>
              <w:t>1.439</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17" w:hRule="atLeast"/>
          <w:jc w:val="center"/>
        </w:trPr>
        <w:tc>
          <w:tcPr>
            <w:tcW w:w="1392" w:type="dxa"/>
            <w:vMerge w:val="continue"/>
            <w:vAlign w:val="center"/>
          </w:tcPr>
          <w:p>
            <w:pPr>
              <w:pStyle w:val="72"/>
            </w:pPr>
          </w:p>
        </w:tc>
        <w:tc>
          <w:tcPr>
            <w:tcW w:w="1564" w:type="dxa"/>
            <w:vAlign w:val="center"/>
          </w:tcPr>
          <w:p>
            <w:pPr>
              <w:pStyle w:val="72"/>
            </w:pPr>
            <w:r>
              <w:t>2020</w:t>
            </w:r>
          </w:p>
        </w:tc>
        <w:tc>
          <w:tcPr>
            <w:tcW w:w="1473" w:type="dxa"/>
            <w:vAlign w:val="center"/>
          </w:tcPr>
          <w:p>
            <w:pPr>
              <w:pStyle w:val="72"/>
            </w:pPr>
            <w:r>
              <w:rPr>
                <w:rFonts w:hint="eastAsia"/>
              </w:rPr>
              <w:t>2.730</w:t>
            </w:r>
          </w:p>
        </w:tc>
        <w:tc>
          <w:tcPr>
            <w:tcW w:w="1473" w:type="dxa"/>
            <w:vAlign w:val="center"/>
          </w:tcPr>
          <w:p>
            <w:pPr>
              <w:pStyle w:val="72"/>
            </w:pPr>
            <w:r>
              <w:rPr>
                <w:rFonts w:hint="eastAsia"/>
              </w:rPr>
              <w:t>3.121</w:t>
            </w:r>
          </w:p>
        </w:tc>
        <w:tc>
          <w:tcPr>
            <w:tcW w:w="1473" w:type="dxa"/>
            <w:vAlign w:val="center"/>
          </w:tcPr>
          <w:p>
            <w:pPr>
              <w:pStyle w:val="72"/>
            </w:pPr>
            <w:r>
              <w:rPr>
                <w:rFonts w:hint="eastAsia"/>
              </w:rPr>
              <w:t>2.267</w:t>
            </w:r>
          </w:p>
        </w:tc>
        <w:tc>
          <w:tcPr>
            <w:tcW w:w="1474" w:type="dxa"/>
            <w:vAlign w:val="center"/>
          </w:tcPr>
          <w:p>
            <w:pPr>
              <w:pStyle w:val="72"/>
            </w:pPr>
            <w:r>
              <w:rPr>
                <w:rFonts w:hint="eastAsia"/>
              </w:rPr>
              <w:t>1.597</w:t>
            </w:r>
          </w:p>
        </w:tc>
      </w:tr>
    </w:tbl>
    <w:p>
      <w:pPr>
        <w:ind w:firstLine="562"/>
        <w:rPr>
          <w:b/>
        </w:rPr>
      </w:pPr>
      <w:bookmarkStart w:id="66" w:name="_Toc173508792"/>
      <w:bookmarkStart w:id="67" w:name="_Toc178220569"/>
      <w:r>
        <w:rPr>
          <w:b/>
        </w:rPr>
        <w:t>2.浅层地下水可开采量</w:t>
      </w:r>
      <w:bookmarkEnd w:id="66"/>
      <w:bookmarkEnd w:id="67"/>
    </w:p>
    <w:p>
      <w:pPr>
        <w:pStyle w:val="93"/>
        <w:spacing w:before="120" w:beforeLines="50" w:line="300" w:lineRule="auto"/>
        <w:rPr>
          <w:rFonts w:ascii="宋体" w:hAnsi="宋体" w:cs="Tahoma"/>
          <w:b/>
          <w:bCs w:val="0"/>
          <w:color w:val="000000"/>
          <w:spacing w:val="0"/>
          <w:kern w:val="0"/>
          <w:szCs w:val="21"/>
        </w:rPr>
      </w:pPr>
      <w:r>
        <w:rPr>
          <w:rFonts w:ascii="宋体" w:hAnsi="宋体" w:cs="Tahoma"/>
          <w:b/>
          <w:bCs w:val="0"/>
          <w:color w:val="000000"/>
          <w:spacing w:val="0"/>
          <w:kern w:val="0"/>
          <w:szCs w:val="21"/>
        </w:rPr>
        <w:t>表2-12  淮北市浅层地下水可开采量计算成果表  单位：亿m</w:t>
      </w:r>
      <w:r>
        <w:rPr>
          <w:rFonts w:ascii="宋体" w:hAnsi="宋体" w:cs="Tahoma"/>
          <w:b/>
          <w:bCs w:val="0"/>
          <w:color w:val="000000"/>
          <w:spacing w:val="0"/>
          <w:kern w:val="0"/>
          <w:szCs w:val="21"/>
          <w:vertAlign w:val="superscript"/>
        </w:rPr>
        <w:t>3</w:t>
      </w:r>
      <w:r>
        <w:rPr>
          <w:rFonts w:ascii="宋体" w:hAnsi="宋体" w:cs="Tahoma"/>
          <w:b/>
          <w:bCs w:val="0"/>
          <w:color w:val="000000"/>
          <w:spacing w:val="0"/>
          <w:kern w:val="0"/>
          <w:szCs w:val="21"/>
        </w:rPr>
        <w:t>/a</w:t>
      </w:r>
    </w:p>
    <w:tbl>
      <w:tblPr>
        <w:tblStyle w:val="39"/>
        <w:tblW w:w="8261"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2275"/>
        <w:gridCol w:w="2614"/>
        <w:gridCol w:w="3372"/>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17" w:hRule="atLeast"/>
          <w:jc w:val="center"/>
        </w:trPr>
        <w:tc>
          <w:tcPr>
            <w:tcW w:w="2275" w:type="dxa"/>
            <w:vAlign w:val="center"/>
          </w:tcPr>
          <w:p>
            <w:pPr>
              <w:pStyle w:val="72"/>
            </w:pPr>
            <w:r>
              <w:t>分区</w:t>
            </w:r>
          </w:p>
        </w:tc>
        <w:tc>
          <w:tcPr>
            <w:tcW w:w="2614" w:type="dxa"/>
            <w:vAlign w:val="center"/>
          </w:tcPr>
          <w:p>
            <w:pPr>
              <w:pStyle w:val="72"/>
            </w:pPr>
            <w:r>
              <w:t>总补给量</w:t>
            </w:r>
          </w:p>
        </w:tc>
        <w:tc>
          <w:tcPr>
            <w:tcW w:w="3372" w:type="dxa"/>
            <w:vAlign w:val="center"/>
          </w:tcPr>
          <w:p>
            <w:pPr>
              <w:pStyle w:val="72"/>
            </w:pPr>
            <w:r>
              <w:t>可开采量</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17" w:hRule="atLeast"/>
          <w:jc w:val="center"/>
        </w:trPr>
        <w:tc>
          <w:tcPr>
            <w:tcW w:w="2275" w:type="dxa"/>
            <w:vAlign w:val="center"/>
          </w:tcPr>
          <w:p>
            <w:pPr>
              <w:pStyle w:val="72"/>
            </w:pPr>
            <w:r>
              <w:t>北区</w:t>
            </w:r>
          </w:p>
        </w:tc>
        <w:tc>
          <w:tcPr>
            <w:tcW w:w="2614" w:type="dxa"/>
            <w:vAlign w:val="center"/>
          </w:tcPr>
          <w:p>
            <w:pPr>
              <w:pStyle w:val="72"/>
            </w:pPr>
            <w:r>
              <w:t>1.190</w:t>
            </w:r>
          </w:p>
        </w:tc>
        <w:tc>
          <w:tcPr>
            <w:tcW w:w="3372" w:type="dxa"/>
            <w:noWrap/>
            <w:vAlign w:val="center"/>
          </w:tcPr>
          <w:p>
            <w:pPr>
              <w:pStyle w:val="72"/>
            </w:pPr>
            <w:r>
              <w:t>0.673</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17" w:hRule="atLeast"/>
          <w:jc w:val="center"/>
        </w:trPr>
        <w:tc>
          <w:tcPr>
            <w:tcW w:w="2275" w:type="dxa"/>
            <w:vAlign w:val="center"/>
          </w:tcPr>
          <w:p>
            <w:pPr>
              <w:pStyle w:val="72"/>
            </w:pPr>
            <w:r>
              <w:t>中区</w:t>
            </w:r>
          </w:p>
        </w:tc>
        <w:tc>
          <w:tcPr>
            <w:tcW w:w="2614" w:type="dxa"/>
            <w:vAlign w:val="center"/>
          </w:tcPr>
          <w:p>
            <w:pPr>
              <w:pStyle w:val="72"/>
            </w:pPr>
            <w:r>
              <w:t>1.013</w:t>
            </w:r>
          </w:p>
        </w:tc>
        <w:tc>
          <w:tcPr>
            <w:tcW w:w="3372" w:type="dxa"/>
            <w:noWrap/>
            <w:vAlign w:val="center"/>
          </w:tcPr>
          <w:p>
            <w:pPr>
              <w:pStyle w:val="72"/>
            </w:pPr>
            <w:r>
              <w:t>0.572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17" w:hRule="atLeast"/>
          <w:jc w:val="center"/>
        </w:trPr>
        <w:tc>
          <w:tcPr>
            <w:tcW w:w="2275" w:type="dxa"/>
            <w:vAlign w:val="center"/>
          </w:tcPr>
          <w:p>
            <w:pPr>
              <w:pStyle w:val="72"/>
            </w:pPr>
            <w:r>
              <w:t>南区</w:t>
            </w:r>
          </w:p>
        </w:tc>
        <w:tc>
          <w:tcPr>
            <w:tcW w:w="2614" w:type="dxa"/>
            <w:vAlign w:val="center"/>
          </w:tcPr>
          <w:p>
            <w:pPr>
              <w:pStyle w:val="72"/>
            </w:pPr>
            <w:r>
              <w:t>2.890</w:t>
            </w:r>
          </w:p>
        </w:tc>
        <w:tc>
          <w:tcPr>
            <w:tcW w:w="3372" w:type="dxa"/>
            <w:noWrap/>
            <w:vAlign w:val="center"/>
          </w:tcPr>
          <w:p>
            <w:pPr>
              <w:pStyle w:val="72"/>
            </w:pPr>
            <w:r>
              <w:t>1.633</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17" w:hRule="atLeast"/>
          <w:jc w:val="center"/>
        </w:trPr>
        <w:tc>
          <w:tcPr>
            <w:tcW w:w="2275" w:type="dxa"/>
            <w:vAlign w:val="center"/>
          </w:tcPr>
          <w:p>
            <w:pPr>
              <w:pStyle w:val="72"/>
            </w:pPr>
            <w:r>
              <w:t>合计</w:t>
            </w:r>
          </w:p>
        </w:tc>
        <w:tc>
          <w:tcPr>
            <w:tcW w:w="2614" w:type="dxa"/>
            <w:vAlign w:val="center"/>
          </w:tcPr>
          <w:p>
            <w:pPr>
              <w:pStyle w:val="72"/>
            </w:pPr>
            <w:r>
              <w:t>5.093</w:t>
            </w:r>
          </w:p>
        </w:tc>
        <w:tc>
          <w:tcPr>
            <w:tcW w:w="3372" w:type="dxa"/>
            <w:noWrap/>
            <w:vAlign w:val="center"/>
          </w:tcPr>
          <w:p>
            <w:pPr>
              <w:pStyle w:val="72"/>
            </w:pPr>
            <w:r>
              <w:t>2.878</w:t>
            </w:r>
          </w:p>
        </w:tc>
      </w:tr>
    </w:tbl>
    <w:p>
      <w:pPr>
        <w:ind w:firstLine="562"/>
        <w:rPr>
          <w:b/>
          <w:bCs/>
        </w:rPr>
      </w:pPr>
      <w:bookmarkStart w:id="68" w:name="_Toc156399691"/>
      <w:bookmarkStart w:id="69" w:name="_Toc173508793"/>
      <w:bookmarkStart w:id="70" w:name="_Toc178220570"/>
      <w:r>
        <w:rPr>
          <w:b/>
          <w:bCs/>
        </w:rPr>
        <w:t>3.岩溶地下水</w:t>
      </w:r>
      <w:bookmarkEnd w:id="68"/>
      <w:r>
        <w:rPr>
          <w:b/>
          <w:bCs/>
        </w:rPr>
        <w:t>可开采量</w:t>
      </w:r>
      <w:bookmarkEnd w:id="69"/>
      <w:bookmarkEnd w:id="70"/>
    </w:p>
    <w:p>
      <w:pPr>
        <w:pStyle w:val="93"/>
        <w:spacing w:before="120" w:beforeLines="50" w:line="300" w:lineRule="auto"/>
        <w:rPr>
          <w:rFonts w:ascii="宋体" w:hAnsi="宋体" w:cs="Tahoma"/>
          <w:b/>
          <w:bCs w:val="0"/>
          <w:color w:val="000000"/>
          <w:spacing w:val="0"/>
          <w:kern w:val="0"/>
          <w:szCs w:val="21"/>
        </w:rPr>
      </w:pPr>
      <w:r>
        <w:rPr>
          <w:rFonts w:ascii="宋体" w:hAnsi="宋体" w:cs="Tahoma"/>
          <w:b/>
          <w:bCs w:val="0"/>
          <w:color w:val="000000"/>
          <w:spacing w:val="0"/>
          <w:kern w:val="0"/>
          <w:szCs w:val="21"/>
        </w:rPr>
        <w:t>表2-13  淮北市岩溶地下水可开采量  单位：亿m</w:t>
      </w:r>
      <w:r>
        <w:rPr>
          <w:rFonts w:ascii="宋体" w:hAnsi="宋体" w:cs="Tahoma"/>
          <w:b/>
          <w:bCs w:val="0"/>
          <w:color w:val="000000"/>
          <w:spacing w:val="0"/>
          <w:kern w:val="0"/>
          <w:szCs w:val="21"/>
          <w:vertAlign w:val="superscript"/>
        </w:rPr>
        <w:t>3</w:t>
      </w:r>
      <w:r>
        <w:rPr>
          <w:rFonts w:ascii="宋体" w:hAnsi="宋体" w:cs="Tahoma"/>
          <w:b/>
          <w:bCs w:val="0"/>
          <w:color w:val="000000"/>
          <w:spacing w:val="0"/>
          <w:kern w:val="0"/>
          <w:szCs w:val="21"/>
        </w:rPr>
        <w:t>/a</w:t>
      </w:r>
    </w:p>
    <w:tbl>
      <w:tblPr>
        <w:tblStyle w:val="39"/>
        <w:tblW w:w="8694"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3182"/>
        <w:gridCol w:w="2543"/>
        <w:gridCol w:w="2969"/>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3182" w:type="dxa"/>
            <w:vAlign w:val="center"/>
          </w:tcPr>
          <w:p>
            <w:pPr>
              <w:pStyle w:val="72"/>
            </w:pPr>
            <w:r>
              <w:t>分区</w:t>
            </w:r>
          </w:p>
        </w:tc>
        <w:tc>
          <w:tcPr>
            <w:tcW w:w="2543" w:type="dxa"/>
            <w:vAlign w:val="center"/>
          </w:tcPr>
          <w:p>
            <w:pPr>
              <w:pStyle w:val="72"/>
            </w:pPr>
            <w:r>
              <w:t>总补给量</w:t>
            </w:r>
          </w:p>
        </w:tc>
        <w:tc>
          <w:tcPr>
            <w:tcW w:w="2969" w:type="dxa"/>
            <w:vAlign w:val="center"/>
          </w:tcPr>
          <w:p>
            <w:pPr>
              <w:pStyle w:val="72"/>
            </w:pPr>
            <w:r>
              <w:t>可开采量</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3182" w:type="dxa"/>
            <w:vAlign w:val="center"/>
          </w:tcPr>
          <w:p>
            <w:pPr>
              <w:pStyle w:val="72"/>
            </w:pPr>
            <w:r>
              <w:t>北区</w:t>
            </w:r>
          </w:p>
        </w:tc>
        <w:tc>
          <w:tcPr>
            <w:tcW w:w="2543" w:type="dxa"/>
            <w:vAlign w:val="center"/>
          </w:tcPr>
          <w:p>
            <w:pPr>
              <w:pStyle w:val="72"/>
            </w:pPr>
            <w:r>
              <w:t>0.994</w:t>
            </w:r>
          </w:p>
        </w:tc>
        <w:tc>
          <w:tcPr>
            <w:tcW w:w="2969" w:type="dxa"/>
            <w:vAlign w:val="center"/>
          </w:tcPr>
          <w:p>
            <w:pPr>
              <w:pStyle w:val="72"/>
            </w:pPr>
            <w:r>
              <w:t>0.716</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3182" w:type="dxa"/>
            <w:vAlign w:val="center"/>
          </w:tcPr>
          <w:p>
            <w:pPr>
              <w:pStyle w:val="72"/>
            </w:pPr>
            <w:r>
              <w:t>中区</w:t>
            </w:r>
          </w:p>
        </w:tc>
        <w:tc>
          <w:tcPr>
            <w:tcW w:w="2543" w:type="dxa"/>
            <w:vAlign w:val="center"/>
          </w:tcPr>
          <w:p>
            <w:pPr>
              <w:pStyle w:val="72"/>
            </w:pPr>
            <w:r>
              <w:t>0.161</w:t>
            </w:r>
          </w:p>
        </w:tc>
        <w:tc>
          <w:tcPr>
            <w:tcW w:w="2969" w:type="dxa"/>
            <w:vAlign w:val="center"/>
          </w:tcPr>
          <w:p>
            <w:pPr>
              <w:pStyle w:val="72"/>
            </w:pPr>
            <w:r>
              <w:t>0.113</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3182" w:type="dxa"/>
            <w:vAlign w:val="center"/>
          </w:tcPr>
          <w:p>
            <w:pPr>
              <w:pStyle w:val="72"/>
            </w:pPr>
            <w:r>
              <w:t>南区</w:t>
            </w:r>
          </w:p>
        </w:tc>
        <w:tc>
          <w:tcPr>
            <w:tcW w:w="2543" w:type="dxa"/>
            <w:vAlign w:val="center"/>
          </w:tcPr>
          <w:p>
            <w:pPr>
              <w:pStyle w:val="72"/>
            </w:pPr>
            <w:r>
              <w:t>/</w:t>
            </w:r>
          </w:p>
        </w:tc>
        <w:tc>
          <w:tcPr>
            <w:tcW w:w="2969" w:type="dxa"/>
            <w:vAlign w:val="center"/>
          </w:tcPr>
          <w:p>
            <w:pPr>
              <w:pStyle w:val="72"/>
            </w:pPr>
            <w:r>
              <w:t>/</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3182" w:type="dxa"/>
            <w:noWrap/>
            <w:vAlign w:val="center"/>
          </w:tcPr>
          <w:p>
            <w:pPr>
              <w:pStyle w:val="72"/>
            </w:pPr>
            <w:r>
              <w:t>合计</w:t>
            </w:r>
          </w:p>
        </w:tc>
        <w:tc>
          <w:tcPr>
            <w:tcW w:w="2543" w:type="dxa"/>
            <w:vAlign w:val="center"/>
          </w:tcPr>
          <w:p>
            <w:pPr>
              <w:pStyle w:val="72"/>
            </w:pPr>
            <w:r>
              <w:t>1.155</w:t>
            </w:r>
          </w:p>
        </w:tc>
        <w:tc>
          <w:tcPr>
            <w:tcW w:w="2969" w:type="dxa"/>
            <w:noWrap/>
            <w:vAlign w:val="center"/>
          </w:tcPr>
          <w:p>
            <w:pPr>
              <w:pStyle w:val="72"/>
            </w:pPr>
            <w:r>
              <w:t xml:space="preserve">0.828 </w:t>
            </w:r>
          </w:p>
        </w:tc>
      </w:tr>
    </w:tbl>
    <w:p>
      <w:pPr>
        <w:ind w:firstLine="562"/>
        <w:rPr>
          <w:b/>
        </w:rPr>
      </w:pPr>
      <w:bookmarkStart w:id="71" w:name="_Toc178220571"/>
      <w:bookmarkStart w:id="72" w:name="_Toc173508794"/>
      <w:bookmarkStart w:id="73" w:name="_Toc156399693"/>
      <w:r>
        <w:rPr>
          <w:b/>
        </w:rPr>
        <w:t>4.可供水总量</w:t>
      </w:r>
      <w:bookmarkEnd w:id="71"/>
      <w:bookmarkEnd w:id="72"/>
    </w:p>
    <w:p>
      <w:pPr>
        <w:spacing w:before="120" w:beforeLines="50" w:line="300" w:lineRule="auto"/>
        <w:ind w:firstLine="482"/>
        <w:jc w:val="center"/>
        <w:rPr>
          <w:rFonts w:ascii="宋体" w:hAnsi="宋体" w:cs="Tahoma"/>
          <w:b/>
          <w:color w:val="000000"/>
          <w:sz w:val="24"/>
          <w:szCs w:val="21"/>
        </w:rPr>
      </w:pPr>
      <w:r>
        <w:rPr>
          <w:rFonts w:ascii="宋体" w:hAnsi="宋体" w:cs="Tahoma"/>
          <w:b/>
          <w:color w:val="000000"/>
          <w:sz w:val="24"/>
          <w:szCs w:val="21"/>
        </w:rPr>
        <w:t>表2-14  淮北市可供水量汇总表  单位：亿m</w:t>
      </w:r>
      <w:r>
        <w:rPr>
          <w:rFonts w:ascii="宋体" w:hAnsi="宋体" w:cs="Tahoma"/>
          <w:b/>
          <w:color w:val="000000"/>
          <w:sz w:val="24"/>
          <w:szCs w:val="21"/>
          <w:vertAlign w:val="superscript"/>
        </w:rPr>
        <w:t>3</w:t>
      </w:r>
      <w:r>
        <w:rPr>
          <w:rFonts w:ascii="宋体" w:hAnsi="宋体" w:cs="Tahoma"/>
          <w:b/>
          <w:color w:val="000000"/>
          <w:sz w:val="24"/>
          <w:szCs w:val="21"/>
        </w:rPr>
        <w:t>/a</w:t>
      </w:r>
    </w:p>
    <w:tbl>
      <w:tblPr>
        <w:tblStyle w:val="39"/>
        <w:tblW w:w="9035"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807"/>
        <w:gridCol w:w="1807"/>
        <w:gridCol w:w="1807"/>
        <w:gridCol w:w="1807"/>
        <w:gridCol w:w="1807"/>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286" w:hRule="atLeast"/>
          <w:jc w:val="center"/>
        </w:trPr>
        <w:tc>
          <w:tcPr>
            <w:tcW w:w="1807" w:type="dxa"/>
            <w:vAlign w:val="center"/>
          </w:tcPr>
          <w:p>
            <w:pPr>
              <w:pStyle w:val="72"/>
            </w:pPr>
            <w:r>
              <w:t>水平年</w:t>
            </w:r>
          </w:p>
        </w:tc>
        <w:tc>
          <w:tcPr>
            <w:tcW w:w="1807" w:type="dxa"/>
            <w:vAlign w:val="center"/>
          </w:tcPr>
          <w:p>
            <w:pPr>
              <w:pStyle w:val="72"/>
            </w:pPr>
            <w:r>
              <w:t>保证率</w:t>
            </w:r>
          </w:p>
        </w:tc>
        <w:tc>
          <w:tcPr>
            <w:tcW w:w="1807" w:type="dxa"/>
            <w:vAlign w:val="center"/>
          </w:tcPr>
          <w:p>
            <w:pPr>
              <w:pStyle w:val="72"/>
            </w:pPr>
            <w:r>
              <w:t>2004</w:t>
            </w:r>
          </w:p>
        </w:tc>
        <w:tc>
          <w:tcPr>
            <w:tcW w:w="1807" w:type="dxa"/>
            <w:vAlign w:val="center"/>
          </w:tcPr>
          <w:p>
            <w:pPr>
              <w:pStyle w:val="72"/>
            </w:pPr>
            <w:r>
              <w:t>2010</w:t>
            </w:r>
          </w:p>
        </w:tc>
        <w:tc>
          <w:tcPr>
            <w:tcW w:w="1807" w:type="dxa"/>
            <w:vAlign w:val="center"/>
          </w:tcPr>
          <w:p>
            <w:pPr>
              <w:pStyle w:val="72"/>
            </w:pPr>
            <w:r>
              <w:t>2020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86" w:hRule="atLeast"/>
          <w:jc w:val="center"/>
        </w:trPr>
        <w:tc>
          <w:tcPr>
            <w:tcW w:w="1807" w:type="dxa"/>
            <w:vMerge w:val="restart"/>
            <w:vAlign w:val="center"/>
          </w:tcPr>
          <w:p>
            <w:pPr>
              <w:pStyle w:val="72"/>
            </w:pPr>
            <w:r>
              <w:t>北区</w:t>
            </w:r>
          </w:p>
        </w:tc>
        <w:tc>
          <w:tcPr>
            <w:tcW w:w="1807" w:type="dxa"/>
            <w:vAlign w:val="center"/>
          </w:tcPr>
          <w:p>
            <w:pPr>
              <w:pStyle w:val="72"/>
            </w:pPr>
            <w:r>
              <w:t>50%</w:t>
            </w:r>
          </w:p>
        </w:tc>
        <w:tc>
          <w:tcPr>
            <w:tcW w:w="1807" w:type="dxa"/>
            <w:vAlign w:val="center"/>
          </w:tcPr>
          <w:p>
            <w:pPr>
              <w:pStyle w:val="72"/>
            </w:pPr>
            <w:r>
              <w:t xml:space="preserve">1.401 </w:t>
            </w:r>
          </w:p>
        </w:tc>
        <w:tc>
          <w:tcPr>
            <w:tcW w:w="1807" w:type="dxa"/>
            <w:vAlign w:val="center"/>
          </w:tcPr>
          <w:p>
            <w:pPr>
              <w:pStyle w:val="72"/>
            </w:pPr>
            <w:r>
              <w:t xml:space="preserve">1.453 </w:t>
            </w:r>
          </w:p>
        </w:tc>
        <w:tc>
          <w:tcPr>
            <w:tcW w:w="1807" w:type="dxa"/>
            <w:vAlign w:val="center"/>
          </w:tcPr>
          <w:p>
            <w:pPr>
              <w:pStyle w:val="72"/>
            </w:pPr>
            <w:r>
              <w:t xml:space="preserve">1.465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86" w:hRule="atLeast"/>
          <w:jc w:val="center"/>
        </w:trPr>
        <w:tc>
          <w:tcPr>
            <w:tcW w:w="1807" w:type="dxa"/>
            <w:vMerge w:val="continue"/>
            <w:vAlign w:val="center"/>
          </w:tcPr>
          <w:p>
            <w:pPr>
              <w:pStyle w:val="72"/>
            </w:pPr>
          </w:p>
        </w:tc>
        <w:tc>
          <w:tcPr>
            <w:tcW w:w="1807" w:type="dxa"/>
            <w:vAlign w:val="center"/>
          </w:tcPr>
          <w:p>
            <w:pPr>
              <w:pStyle w:val="72"/>
            </w:pPr>
            <w:r>
              <w:t>75%</w:t>
            </w:r>
          </w:p>
        </w:tc>
        <w:tc>
          <w:tcPr>
            <w:tcW w:w="1807" w:type="dxa"/>
            <w:vAlign w:val="center"/>
          </w:tcPr>
          <w:p>
            <w:pPr>
              <w:pStyle w:val="72"/>
            </w:pPr>
            <w:r>
              <w:t xml:space="preserve">1.282 </w:t>
            </w:r>
          </w:p>
        </w:tc>
        <w:tc>
          <w:tcPr>
            <w:tcW w:w="1807" w:type="dxa"/>
            <w:vAlign w:val="center"/>
          </w:tcPr>
          <w:p>
            <w:pPr>
              <w:pStyle w:val="72"/>
            </w:pPr>
            <w:r>
              <w:t xml:space="preserve">1.311 </w:t>
            </w:r>
          </w:p>
        </w:tc>
        <w:tc>
          <w:tcPr>
            <w:tcW w:w="1807" w:type="dxa"/>
            <w:vAlign w:val="center"/>
          </w:tcPr>
          <w:p>
            <w:pPr>
              <w:pStyle w:val="72"/>
            </w:pPr>
            <w:r>
              <w:t xml:space="preserve">1.319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86" w:hRule="atLeast"/>
          <w:jc w:val="center"/>
        </w:trPr>
        <w:tc>
          <w:tcPr>
            <w:tcW w:w="1807" w:type="dxa"/>
            <w:vMerge w:val="continue"/>
            <w:vAlign w:val="center"/>
          </w:tcPr>
          <w:p>
            <w:pPr>
              <w:pStyle w:val="72"/>
            </w:pPr>
          </w:p>
        </w:tc>
        <w:tc>
          <w:tcPr>
            <w:tcW w:w="1807" w:type="dxa"/>
            <w:vAlign w:val="center"/>
          </w:tcPr>
          <w:p>
            <w:pPr>
              <w:pStyle w:val="72"/>
            </w:pPr>
            <w:r>
              <w:t>95%</w:t>
            </w:r>
          </w:p>
        </w:tc>
        <w:tc>
          <w:tcPr>
            <w:tcW w:w="1807" w:type="dxa"/>
            <w:vAlign w:val="center"/>
          </w:tcPr>
          <w:p>
            <w:pPr>
              <w:pStyle w:val="72"/>
            </w:pPr>
            <w:r>
              <w:t xml:space="preserve">1.180 </w:t>
            </w:r>
          </w:p>
        </w:tc>
        <w:tc>
          <w:tcPr>
            <w:tcW w:w="1807" w:type="dxa"/>
            <w:vAlign w:val="center"/>
          </w:tcPr>
          <w:p>
            <w:pPr>
              <w:pStyle w:val="72"/>
            </w:pPr>
            <w:r>
              <w:t xml:space="preserve">1.199 </w:t>
            </w:r>
          </w:p>
        </w:tc>
        <w:tc>
          <w:tcPr>
            <w:tcW w:w="1807" w:type="dxa"/>
            <w:vAlign w:val="center"/>
          </w:tcPr>
          <w:p>
            <w:pPr>
              <w:pStyle w:val="72"/>
            </w:pPr>
            <w:r>
              <w:t xml:space="preserve">1.218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86" w:hRule="atLeast"/>
          <w:jc w:val="center"/>
        </w:trPr>
        <w:tc>
          <w:tcPr>
            <w:tcW w:w="1807" w:type="dxa"/>
            <w:vMerge w:val="restart"/>
            <w:vAlign w:val="center"/>
          </w:tcPr>
          <w:p>
            <w:pPr>
              <w:pStyle w:val="72"/>
            </w:pPr>
            <w:r>
              <w:t>中区</w:t>
            </w:r>
          </w:p>
        </w:tc>
        <w:tc>
          <w:tcPr>
            <w:tcW w:w="1807" w:type="dxa"/>
            <w:vAlign w:val="center"/>
          </w:tcPr>
          <w:p>
            <w:pPr>
              <w:pStyle w:val="72"/>
            </w:pPr>
            <w:r>
              <w:t>50%</w:t>
            </w:r>
          </w:p>
        </w:tc>
        <w:tc>
          <w:tcPr>
            <w:tcW w:w="1807" w:type="dxa"/>
            <w:vAlign w:val="center"/>
          </w:tcPr>
          <w:p>
            <w:pPr>
              <w:pStyle w:val="72"/>
            </w:pPr>
            <w:r>
              <w:t xml:space="preserve">0.945 </w:t>
            </w:r>
          </w:p>
        </w:tc>
        <w:tc>
          <w:tcPr>
            <w:tcW w:w="1807" w:type="dxa"/>
            <w:vAlign w:val="center"/>
          </w:tcPr>
          <w:p>
            <w:pPr>
              <w:pStyle w:val="72"/>
            </w:pPr>
            <w:r>
              <w:t xml:space="preserve">0.989 </w:t>
            </w:r>
          </w:p>
        </w:tc>
        <w:tc>
          <w:tcPr>
            <w:tcW w:w="1807" w:type="dxa"/>
            <w:vAlign w:val="center"/>
          </w:tcPr>
          <w:p>
            <w:pPr>
              <w:pStyle w:val="72"/>
            </w:pPr>
            <w:r>
              <w:t xml:space="preserve">1.000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86" w:hRule="atLeast"/>
          <w:jc w:val="center"/>
        </w:trPr>
        <w:tc>
          <w:tcPr>
            <w:tcW w:w="1807" w:type="dxa"/>
            <w:vMerge w:val="continue"/>
            <w:vAlign w:val="center"/>
          </w:tcPr>
          <w:p>
            <w:pPr>
              <w:pStyle w:val="72"/>
            </w:pPr>
          </w:p>
        </w:tc>
        <w:tc>
          <w:tcPr>
            <w:tcW w:w="1807" w:type="dxa"/>
            <w:vAlign w:val="center"/>
          </w:tcPr>
          <w:p>
            <w:pPr>
              <w:pStyle w:val="72"/>
            </w:pPr>
            <w:r>
              <w:t>75%</w:t>
            </w:r>
          </w:p>
        </w:tc>
        <w:tc>
          <w:tcPr>
            <w:tcW w:w="1807" w:type="dxa"/>
            <w:vAlign w:val="center"/>
          </w:tcPr>
          <w:p>
            <w:pPr>
              <w:pStyle w:val="72"/>
            </w:pPr>
            <w:r>
              <w:t xml:space="preserve">0.842 </w:t>
            </w:r>
          </w:p>
        </w:tc>
        <w:tc>
          <w:tcPr>
            <w:tcW w:w="1807" w:type="dxa"/>
            <w:vAlign w:val="center"/>
          </w:tcPr>
          <w:p>
            <w:pPr>
              <w:pStyle w:val="72"/>
            </w:pPr>
            <w:r>
              <w:t xml:space="preserve">0.867 </w:t>
            </w:r>
          </w:p>
        </w:tc>
        <w:tc>
          <w:tcPr>
            <w:tcW w:w="1807" w:type="dxa"/>
            <w:vAlign w:val="center"/>
          </w:tcPr>
          <w:p>
            <w:pPr>
              <w:pStyle w:val="72"/>
            </w:pPr>
            <w:r>
              <w:t xml:space="preserve">0.874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86" w:hRule="atLeast"/>
          <w:jc w:val="center"/>
        </w:trPr>
        <w:tc>
          <w:tcPr>
            <w:tcW w:w="1807" w:type="dxa"/>
            <w:vMerge w:val="continue"/>
            <w:vAlign w:val="center"/>
          </w:tcPr>
          <w:p>
            <w:pPr>
              <w:pStyle w:val="72"/>
            </w:pPr>
          </w:p>
        </w:tc>
        <w:tc>
          <w:tcPr>
            <w:tcW w:w="1807" w:type="dxa"/>
            <w:vAlign w:val="center"/>
          </w:tcPr>
          <w:p>
            <w:pPr>
              <w:pStyle w:val="72"/>
            </w:pPr>
            <w:r>
              <w:t>95%</w:t>
            </w:r>
          </w:p>
        </w:tc>
        <w:tc>
          <w:tcPr>
            <w:tcW w:w="1807" w:type="dxa"/>
            <w:vAlign w:val="center"/>
          </w:tcPr>
          <w:p>
            <w:pPr>
              <w:pStyle w:val="72"/>
            </w:pPr>
            <w:r>
              <w:t xml:space="preserve">0.754 </w:t>
            </w:r>
          </w:p>
        </w:tc>
        <w:tc>
          <w:tcPr>
            <w:tcW w:w="1807" w:type="dxa"/>
            <w:vAlign w:val="center"/>
          </w:tcPr>
          <w:p>
            <w:pPr>
              <w:pStyle w:val="72"/>
            </w:pPr>
            <w:r>
              <w:t xml:space="preserve">0.771 </w:t>
            </w:r>
          </w:p>
        </w:tc>
        <w:tc>
          <w:tcPr>
            <w:tcW w:w="1807" w:type="dxa"/>
            <w:vAlign w:val="center"/>
          </w:tcPr>
          <w:p>
            <w:pPr>
              <w:pStyle w:val="72"/>
            </w:pPr>
            <w:r>
              <w:t xml:space="preserve">0.787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86" w:hRule="atLeast"/>
          <w:jc w:val="center"/>
        </w:trPr>
        <w:tc>
          <w:tcPr>
            <w:tcW w:w="1807" w:type="dxa"/>
            <w:vMerge w:val="restart"/>
            <w:vAlign w:val="center"/>
          </w:tcPr>
          <w:p>
            <w:pPr>
              <w:pStyle w:val="72"/>
            </w:pPr>
            <w:r>
              <w:t>南区</w:t>
            </w:r>
          </w:p>
        </w:tc>
        <w:tc>
          <w:tcPr>
            <w:tcW w:w="1807" w:type="dxa"/>
            <w:vAlign w:val="center"/>
          </w:tcPr>
          <w:p>
            <w:pPr>
              <w:pStyle w:val="72"/>
            </w:pPr>
            <w:r>
              <w:t>50%</w:t>
            </w:r>
          </w:p>
        </w:tc>
        <w:tc>
          <w:tcPr>
            <w:tcW w:w="1807" w:type="dxa"/>
            <w:vAlign w:val="center"/>
          </w:tcPr>
          <w:p>
            <w:pPr>
              <w:pStyle w:val="72"/>
            </w:pPr>
            <w:r>
              <w:t xml:space="preserve">2.650 </w:t>
            </w:r>
          </w:p>
        </w:tc>
        <w:tc>
          <w:tcPr>
            <w:tcW w:w="1807" w:type="dxa"/>
            <w:vAlign w:val="center"/>
          </w:tcPr>
          <w:p>
            <w:pPr>
              <w:pStyle w:val="72"/>
            </w:pPr>
            <w:r>
              <w:t xml:space="preserve">2.774 </w:t>
            </w:r>
          </w:p>
        </w:tc>
        <w:tc>
          <w:tcPr>
            <w:tcW w:w="1807" w:type="dxa"/>
            <w:vAlign w:val="center"/>
          </w:tcPr>
          <w:p>
            <w:pPr>
              <w:pStyle w:val="72"/>
            </w:pPr>
            <w:r>
              <w:t xml:space="preserve">2.803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86" w:hRule="atLeast"/>
          <w:jc w:val="center"/>
        </w:trPr>
        <w:tc>
          <w:tcPr>
            <w:tcW w:w="1807" w:type="dxa"/>
            <w:vMerge w:val="continue"/>
            <w:vAlign w:val="center"/>
          </w:tcPr>
          <w:p>
            <w:pPr>
              <w:pStyle w:val="72"/>
            </w:pPr>
          </w:p>
        </w:tc>
        <w:tc>
          <w:tcPr>
            <w:tcW w:w="1807" w:type="dxa"/>
            <w:vAlign w:val="center"/>
          </w:tcPr>
          <w:p>
            <w:pPr>
              <w:pStyle w:val="72"/>
            </w:pPr>
            <w:r>
              <w:t>75%</w:t>
            </w:r>
          </w:p>
        </w:tc>
        <w:tc>
          <w:tcPr>
            <w:tcW w:w="1807" w:type="dxa"/>
            <w:vAlign w:val="center"/>
          </w:tcPr>
          <w:p>
            <w:pPr>
              <w:pStyle w:val="72"/>
            </w:pPr>
            <w:r>
              <w:t xml:space="preserve">2.361 </w:t>
            </w:r>
          </w:p>
        </w:tc>
        <w:tc>
          <w:tcPr>
            <w:tcW w:w="1807" w:type="dxa"/>
            <w:vAlign w:val="center"/>
          </w:tcPr>
          <w:p>
            <w:pPr>
              <w:pStyle w:val="72"/>
            </w:pPr>
            <w:r>
              <w:t xml:space="preserve">2.433 </w:t>
            </w:r>
          </w:p>
        </w:tc>
        <w:tc>
          <w:tcPr>
            <w:tcW w:w="1807" w:type="dxa"/>
            <w:vAlign w:val="center"/>
          </w:tcPr>
          <w:p>
            <w:pPr>
              <w:pStyle w:val="72"/>
            </w:pPr>
            <w:r>
              <w:t xml:space="preserve">2.452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86" w:hRule="atLeast"/>
          <w:jc w:val="center"/>
        </w:trPr>
        <w:tc>
          <w:tcPr>
            <w:tcW w:w="1807" w:type="dxa"/>
            <w:vMerge w:val="continue"/>
            <w:vAlign w:val="center"/>
          </w:tcPr>
          <w:p>
            <w:pPr>
              <w:pStyle w:val="72"/>
            </w:pPr>
          </w:p>
        </w:tc>
        <w:tc>
          <w:tcPr>
            <w:tcW w:w="1807" w:type="dxa"/>
            <w:vAlign w:val="center"/>
          </w:tcPr>
          <w:p>
            <w:pPr>
              <w:pStyle w:val="72"/>
            </w:pPr>
            <w:r>
              <w:t>95%</w:t>
            </w:r>
          </w:p>
        </w:tc>
        <w:tc>
          <w:tcPr>
            <w:tcW w:w="1807" w:type="dxa"/>
            <w:vAlign w:val="center"/>
          </w:tcPr>
          <w:p>
            <w:pPr>
              <w:pStyle w:val="72"/>
            </w:pPr>
            <w:r>
              <w:t xml:space="preserve">2.117 </w:t>
            </w:r>
          </w:p>
        </w:tc>
        <w:tc>
          <w:tcPr>
            <w:tcW w:w="1807" w:type="dxa"/>
            <w:vAlign w:val="center"/>
          </w:tcPr>
          <w:p>
            <w:pPr>
              <w:pStyle w:val="72"/>
            </w:pPr>
            <w:r>
              <w:t xml:space="preserve">2.163 </w:t>
            </w:r>
          </w:p>
        </w:tc>
        <w:tc>
          <w:tcPr>
            <w:tcW w:w="1807" w:type="dxa"/>
            <w:vAlign w:val="center"/>
          </w:tcPr>
          <w:p>
            <w:pPr>
              <w:pStyle w:val="72"/>
            </w:pPr>
            <w:r>
              <w:t xml:space="preserve">2.207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86" w:hRule="atLeast"/>
          <w:jc w:val="center"/>
        </w:trPr>
        <w:tc>
          <w:tcPr>
            <w:tcW w:w="1807" w:type="dxa"/>
            <w:vMerge w:val="restart"/>
            <w:vAlign w:val="center"/>
          </w:tcPr>
          <w:p>
            <w:pPr>
              <w:pStyle w:val="72"/>
            </w:pPr>
            <w:r>
              <w:t>合计</w:t>
            </w:r>
          </w:p>
        </w:tc>
        <w:tc>
          <w:tcPr>
            <w:tcW w:w="1807" w:type="dxa"/>
            <w:vAlign w:val="center"/>
          </w:tcPr>
          <w:p>
            <w:pPr>
              <w:pStyle w:val="72"/>
            </w:pPr>
            <w:r>
              <w:t>50%</w:t>
            </w:r>
          </w:p>
        </w:tc>
        <w:tc>
          <w:tcPr>
            <w:tcW w:w="1807" w:type="dxa"/>
            <w:vAlign w:val="center"/>
          </w:tcPr>
          <w:p>
            <w:pPr>
              <w:pStyle w:val="72"/>
            </w:pPr>
            <w:r>
              <w:t xml:space="preserve">4.996 </w:t>
            </w:r>
          </w:p>
        </w:tc>
        <w:tc>
          <w:tcPr>
            <w:tcW w:w="1807" w:type="dxa"/>
            <w:vAlign w:val="center"/>
          </w:tcPr>
          <w:p>
            <w:pPr>
              <w:pStyle w:val="72"/>
            </w:pPr>
            <w:r>
              <w:t xml:space="preserve">5.216 </w:t>
            </w:r>
          </w:p>
        </w:tc>
        <w:tc>
          <w:tcPr>
            <w:tcW w:w="1807" w:type="dxa"/>
            <w:vAlign w:val="center"/>
          </w:tcPr>
          <w:p>
            <w:pPr>
              <w:pStyle w:val="72"/>
            </w:pPr>
            <w:r>
              <w:t xml:space="preserve">5.268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86" w:hRule="atLeast"/>
          <w:jc w:val="center"/>
        </w:trPr>
        <w:tc>
          <w:tcPr>
            <w:tcW w:w="1807" w:type="dxa"/>
            <w:vMerge w:val="continue"/>
            <w:vAlign w:val="center"/>
          </w:tcPr>
          <w:p>
            <w:pPr>
              <w:pStyle w:val="72"/>
            </w:pPr>
          </w:p>
        </w:tc>
        <w:tc>
          <w:tcPr>
            <w:tcW w:w="1807" w:type="dxa"/>
            <w:vAlign w:val="center"/>
          </w:tcPr>
          <w:p>
            <w:pPr>
              <w:pStyle w:val="72"/>
            </w:pPr>
            <w:r>
              <w:t>75%</w:t>
            </w:r>
          </w:p>
        </w:tc>
        <w:tc>
          <w:tcPr>
            <w:tcW w:w="1807" w:type="dxa"/>
            <w:vAlign w:val="center"/>
          </w:tcPr>
          <w:p>
            <w:pPr>
              <w:pStyle w:val="72"/>
            </w:pPr>
            <w:r>
              <w:t xml:space="preserve">4.485 </w:t>
            </w:r>
          </w:p>
        </w:tc>
        <w:tc>
          <w:tcPr>
            <w:tcW w:w="1807" w:type="dxa"/>
            <w:vAlign w:val="center"/>
          </w:tcPr>
          <w:p>
            <w:pPr>
              <w:pStyle w:val="72"/>
            </w:pPr>
            <w:r>
              <w:t xml:space="preserve">4.611 </w:t>
            </w:r>
          </w:p>
        </w:tc>
        <w:tc>
          <w:tcPr>
            <w:tcW w:w="1807" w:type="dxa"/>
            <w:vAlign w:val="center"/>
          </w:tcPr>
          <w:p>
            <w:pPr>
              <w:pStyle w:val="72"/>
            </w:pPr>
            <w:r>
              <w:t xml:space="preserve">4.645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86" w:hRule="atLeast"/>
          <w:jc w:val="center"/>
        </w:trPr>
        <w:tc>
          <w:tcPr>
            <w:tcW w:w="1807" w:type="dxa"/>
            <w:vMerge w:val="continue"/>
            <w:vAlign w:val="center"/>
          </w:tcPr>
          <w:p>
            <w:pPr>
              <w:pStyle w:val="72"/>
            </w:pPr>
          </w:p>
        </w:tc>
        <w:tc>
          <w:tcPr>
            <w:tcW w:w="1807" w:type="dxa"/>
            <w:vAlign w:val="center"/>
          </w:tcPr>
          <w:p>
            <w:pPr>
              <w:pStyle w:val="72"/>
            </w:pPr>
            <w:r>
              <w:t>95%</w:t>
            </w:r>
          </w:p>
        </w:tc>
        <w:tc>
          <w:tcPr>
            <w:tcW w:w="1807" w:type="dxa"/>
            <w:vAlign w:val="center"/>
          </w:tcPr>
          <w:p>
            <w:pPr>
              <w:pStyle w:val="72"/>
            </w:pPr>
            <w:r>
              <w:t xml:space="preserve">4.051 </w:t>
            </w:r>
          </w:p>
        </w:tc>
        <w:tc>
          <w:tcPr>
            <w:tcW w:w="1807" w:type="dxa"/>
            <w:vAlign w:val="center"/>
          </w:tcPr>
          <w:p>
            <w:pPr>
              <w:pStyle w:val="72"/>
            </w:pPr>
            <w:r>
              <w:t xml:space="preserve">4.133 </w:t>
            </w:r>
          </w:p>
        </w:tc>
        <w:tc>
          <w:tcPr>
            <w:tcW w:w="1807" w:type="dxa"/>
            <w:vAlign w:val="center"/>
          </w:tcPr>
          <w:p>
            <w:pPr>
              <w:pStyle w:val="72"/>
            </w:pPr>
            <w:r>
              <w:t xml:space="preserve">4.212 </w:t>
            </w:r>
          </w:p>
        </w:tc>
      </w:tr>
      <w:bookmarkEnd w:id="73"/>
    </w:tbl>
    <w:p>
      <w:pPr>
        <w:ind w:firstLine="560"/>
        <w:rPr>
          <w:szCs w:val="28"/>
        </w:rPr>
      </w:pPr>
    </w:p>
    <w:p>
      <w:pPr>
        <w:pStyle w:val="3"/>
        <w:spacing w:before="120" w:after="60" w:line="360" w:lineRule="auto"/>
        <w:ind w:firstLine="602"/>
        <w:rPr>
          <w:rFonts w:ascii="Times New Roman" w:hAnsi="Times New Roman"/>
        </w:rPr>
      </w:pPr>
      <w:bookmarkStart w:id="74" w:name="_Toc8032503"/>
      <w:r>
        <w:rPr>
          <w:rFonts w:hint="eastAsia" w:ascii="Times New Roman" w:hAnsi="Times New Roman"/>
        </w:rPr>
        <w:t xml:space="preserve">1.7 </w:t>
      </w:r>
      <w:r>
        <w:rPr>
          <w:rFonts w:ascii="Times New Roman" w:hAnsi="Times New Roman"/>
        </w:rPr>
        <w:t xml:space="preserve"> 《</w:t>
      </w:r>
      <w:r>
        <w:rPr>
          <w:rFonts w:hint="eastAsia" w:ascii="Times New Roman" w:hAnsi="Times New Roman"/>
        </w:rPr>
        <w:t>淮北市城市河道综合整治工程可行性研究报告》</w:t>
      </w:r>
      <w:bookmarkEnd w:id="74"/>
    </w:p>
    <w:p>
      <w:pPr>
        <w:pStyle w:val="4"/>
      </w:pPr>
      <w:bookmarkStart w:id="75" w:name="_Toc8032504"/>
      <w:r>
        <w:t>1.7.1</w:t>
      </w:r>
      <w:r>
        <w:rPr>
          <w:rFonts w:hint="eastAsia"/>
        </w:rPr>
        <w:t>工程目标</w:t>
      </w:r>
      <w:bookmarkEnd w:id="75"/>
    </w:p>
    <w:p>
      <w:pPr>
        <w:ind w:firstLine="560"/>
      </w:pPr>
      <w:r>
        <w:t>2017年底：将位于主城区受污染严重、对周边环境影响恶劣且群众反响较大、造成严重水质影响的河段进行整治，消除黑臭。主要包括相阳沟、跃进河及</w:t>
      </w:r>
      <w:r>
        <w:rPr>
          <w:rFonts w:hint="eastAsia"/>
        </w:rPr>
        <w:t>宁王沟</w:t>
      </w:r>
      <w:r>
        <w:t>。</w:t>
      </w:r>
    </w:p>
    <w:p>
      <w:pPr>
        <w:ind w:firstLine="560"/>
      </w:pPr>
      <w:r>
        <w:t>2020年底：在近期对城区主干河道的重度黑臭支流及排口进行治理的基础上，将现状污染较轻的轻度黑臭河段进行整治，彻底消除城区域黑臭水体。具体包括：</w:t>
      </w:r>
      <w:r>
        <w:rPr>
          <w:rFonts w:hint="eastAsia"/>
        </w:rPr>
        <w:t>东相阳沟</w:t>
      </w:r>
      <w:r>
        <w:t>、西流河及龙岱河。</w:t>
      </w:r>
    </w:p>
    <w:p>
      <w:pPr>
        <w:pStyle w:val="4"/>
      </w:pPr>
      <w:bookmarkStart w:id="76" w:name="_Toc8032505"/>
      <w:r>
        <w:t>1.7.2</w:t>
      </w:r>
      <w:r>
        <w:rPr>
          <w:rFonts w:hint="eastAsia"/>
        </w:rPr>
        <w:t>工程范围</w:t>
      </w:r>
      <w:bookmarkEnd w:id="76"/>
    </w:p>
    <w:p>
      <w:pPr>
        <w:spacing w:line="360" w:lineRule="auto"/>
        <w:ind w:firstLine="482"/>
        <w:jc w:val="center"/>
        <w:rPr>
          <w:rFonts w:ascii="宋体" w:hAnsi="宋体" w:cs="Tahoma"/>
          <w:b/>
          <w:color w:val="000000"/>
          <w:sz w:val="24"/>
          <w:szCs w:val="21"/>
        </w:rPr>
      </w:pPr>
      <w:r>
        <w:rPr>
          <w:rFonts w:ascii="宋体" w:hAnsi="宋体" w:cs="Tahoma"/>
          <w:b/>
          <w:color w:val="000000"/>
          <w:sz w:val="24"/>
          <w:szCs w:val="21"/>
        </w:rPr>
        <w:t>表2-15  淮北市黑臭水体一览表</w:t>
      </w:r>
    </w:p>
    <w:tbl>
      <w:tblPr>
        <w:tblStyle w:val="39"/>
        <w:tblW w:w="10230" w:type="dxa"/>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242"/>
        <w:gridCol w:w="1559"/>
        <w:gridCol w:w="1430"/>
        <w:gridCol w:w="3675"/>
        <w:gridCol w:w="1526"/>
        <w:gridCol w:w="798"/>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242" w:type="dxa"/>
            <w:shd w:val="clear" w:color="auto" w:fill="auto"/>
            <w:vAlign w:val="center"/>
          </w:tcPr>
          <w:p>
            <w:pPr>
              <w:pStyle w:val="72"/>
            </w:pPr>
            <w:r>
              <w:t>水体编号</w:t>
            </w:r>
          </w:p>
        </w:tc>
        <w:tc>
          <w:tcPr>
            <w:tcW w:w="1559" w:type="dxa"/>
            <w:shd w:val="clear" w:color="auto" w:fill="auto"/>
            <w:vAlign w:val="center"/>
          </w:tcPr>
          <w:p>
            <w:pPr>
              <w:pStyle w:val="72"/>
            </w:pPr>
            <w:r>
              <w:t>水体名称</w:t>
            </w:r>
          </w:p>
        </w:tc>
        <w:tc>
          <w:tcPr>
            <w:tcW w:w="1430" w:type="dxa"/>
            <w:shd w:val="clear" w:color="auto" w:fill="auto"/>
            <w:vAlign w:val="center"/>
          </w:tcPr>
          <w:p>
            <w:pPr>
              <w:pStyle w:val="72"/>
            </w:pPr>
            <w:r>
              <w:t>所在街道</w:t>
            </w:r>
          </w:p>
        </w:tc>
        <w:tc>
          <w:tcPr>
            <w:tcW w:w="3675" w:type="dxa"/>
            <w:shd w:val="clear" w:color="auto" w:fill="auto"/>
            <w:vAlign w:val="center"/>
          </w:tcPr>
          <w:p>
            <w:pPr>
              <w:pStyle w:val="72"/>
            </w:pPr>
            <w:r>
              <w:t>整治范围</w:t>
            </w:r>
          </w:p>
        </w:tc>
        <w:tc>
          <w:tcPr>
            <w:tcW w:w="1526" w:type="dxa"/>
            <w:shd w:val="clear" w:color="auto" w:fill="auto"/>
            <w:vAlign w:val="center"/>
          </w:tcPr>
          <w:p>
            <w:pPr>
              <w:pStyle w:val="72"/>
            </w:pPr>
            <w:r>
              <w:t>长度（km）</w:t>
            </w:r>
          </w:p>
        </w:tc>
        <w:tc>
          <w:tcPr>
            <w:tcW w:w="798" w:type="dxa"/>
            <w:shd w:val="clear" w:color="auto" w:fill="auto"/>
            <w:vAlign w:val="center"/>
          </w:tcPr>
          <w:p>
            <w:pPr>
              <w:pStyle w:val="72"/>
            </w:pPr>
            <w:r>
              <w:t>备注</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242" w:type="dxa"/>
            <w:shd w:val="clear" w:color="auto" w:fill="auto"/>
            <w:vAlign w:val="center"/>
          </w:tcPr>
          <w:p>
            <w:pPr>
              <w:pStyle w:val="72"/>
            </w:pPr>
            <w:r>
              <w:t>1</w:t>
            </w:r>
          </w:p>
        </w:tc>
        <w:tc>
          <w:tcPr>
            <w:tcW w:w="1559" w:type="dxa"/>
            <w:shd w:val="clear" w:color="auto" w:fill="auto"/>
            <w:vAlign w:val="center"/>
          </w:tcPr>
          <w:p>
            <w:pPr>
              <w:pStyle w:val="72"/>
            </w:pPr>
            <w:r>
              <w:t>东相阳沟</w:t>
            </w:r>
          </w:p>
        </w:tc>
        <w:tc>
          <w:tcPr>
            <w:tcW w:w="1430" w:type="dxa"/>
            <w:shd w:val="clear" w:color="auto" w:fill="auto"/>
            <w:vAlign w:val="center"/>
          </w:tcPr>
          <w:p>
            <w:pPr>
              <w:pStyle w:val="72"/>
            </w:pPr>
            <w:r>
              <w:t>相山区</w:t>
            </w:r>
          </w:p>
        </w:tc>
        <w:tc>
          <w:tcPr>
            <w:tcW w:w="3675" w:type="dxa"/>
            <w:shd w:val="clear" w:color="auto" w:fill="auto"/>
            <w:vAlign w:val="center"/>
          </w:tcPr>
          <w:p>
            <w:pPr>
              <w:pStyle w:val="72"/>
            </w:pPr>
            <w:r>
              <w:t>余庄社区-龙岱河</w:t>
            </w:r>
          </w:p>
        </w:tc>
        <w:tc>
          <w:tcPr>
            <w:tcW w:w="1526" w:type="dxa"/>
            <w:shd w:val="clear" w:color="auto" w:fill="auto"/>
            <w:vAlign w:val="center"/>
          </w:tcPr>
          <w:p>
            <w:pPr>
              <w:pStyle w:val="72"/>
            </w:pPr>
            <w:r>
              <w:t>6.0</w:t>
            </w:r>
          </w:p>
        </w:tc>
        <w:tc>
          <w:tcPr>
            <w:tcW w:w="798" w:type="dxa"/>
            <w:shd w:val="clear" w:color="auto" w:fill="auto"/>
            <w:vAlign w:val="center"/>
          </w:tcPr>
          <w:p>
            <w:pPr>
              <w:pStyle w:val="72"/>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242" w:type="dxa"/>
            <w:shd w:val="clear" w:color="auto" w:fill="auto"/>
            <w:vAlign w:val="center"/>
          </w:tcPr>
          <w:p>
            <w:pPr>
              <w:pStyle w:val="72"/>
            </w:pPr>
            <w:r>
              <w:t>2</w:t>
            </w:r>
          </w:p>
        </w:tc>
        <w:tc>
          <w:tcPr>
            <w:tcW w:w="1559" w:type="dxa"/>
            <w:shd w:val="clear" w:color="auto" w:fill="auto"/>
            <w:vAlign w:val="center"/>
          </w:tcPr>
          <w:p>
            <w:pPr>
              <w:pStyle w:val="72"/>
            </w:pPr>
            <w:r>
              <w:t>相阳沟</w:t>
            </w:r>
          </w:p>
        </w:tc>
        <w:tc>
          <w:tcPr>
            <w:tcW w:w="1430" w:type="dxa"/>
            <w:shd w:val="clear" w:color="auto" w:fill="auto"/>
            <w:vAlign w:val="center"/>
          </w:tcPr>
          <w:p>
            <w:pPr>
              <w:pStyle w:val="72"/>
            </w:pPr>
            <w:r>
              <w:t>相山区</w:t>
            </w:r>
          </w:p>
        </w:tc>
        <w:tc>
          <w:tcPr>
            <w:tcW w:w="3675" w:type="dxa"/>
            <w:shd w:val="clear" w:color="auto" w:fill="auto"/>
            <w:vAlign w:val="center"/>
          </w:tcPr>
          <w:p>
            <w:pPr>
              <w:pStyle w:val="72"/>
            </w:pPr>
            <w:r>
              <w:t>人民路-老濉河</w:t>
            </w:r>
          </w:p>
        </w:tc>
        <w:tc>
          <w:tcPr>
            <w:tcW w:w="1526" w:type="dxa"/>
            <w:shd w:val="clear" w:color="auto" w:fill="auto"/>
            <w:vAlign w:val="center"/>
          </w:tcPr>
          <w:p>
            <w:pPr>
              <w:pStyle w:val="72"/>
            </w:pPr>
            <w:r>
              <w:t>2.8</w:t>
            </w:r>
          </w:p>
        </w:tc>
        <w:tc>
          <w:tcPr>
            <w:tcW w:w="798" w:type="dxa"/>
            <w:shd w:val="clear" w:color="auto" w:fill="auto"/>
            <w:vAlign w:val="center"/>
          </w:tcPr>
          <w:p>
            <w:pPr>
              <w:pStyle w:val="72"/>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242" w:type="dxa"/>
            <w:shd w:val="clear" w:color="auto" w:fill="auto"/>
            <w:vAlign w:val="center"/>
          </w:tcPr>
          <w:p>
            <w:pPr>
              <w:pStyle w:val="72"/>
            </w:pPr>
            <w:r>
              <w:t>3</w:t>
            </w:r>
          </w:p>
        </w:tc>
        <w:tc>
          <w:tcPr>
            <w:tcW w:w="1559" w:type="dxa"/>
            <w:shd w:val="clear" w:color="auto" w:fill="auto"/>
            <w:vAlign w:val="center"/>
          </w:tcPr>
          <w:p>
            <w:pPr>
              <w:pStyle w:val="72"/>
            </w:pPr>
            <w:r>
              <w:t>宁王沟</w:t>
            </w:r>
          </w:p>
        </w:tc>
        <w:tc>
          <w:tcPr>
            <w:tcW w:w="1430" w:type="dxa"/>
            <w:shd w:val="clear" w:color="auto" w:fill="auto"/>
            <w:vAlign w:val="center"/>
          </w:tcPr>
          <w:p>
            <w:pPr>
              <w:pStyle w:val="72"/>
            </w:pPr>
            <w:r>
              <w:t>烈山区</w:t>
            </w:r>
          </w:p>
        </w:tc>
        <w:tc>
          <w:tcPr>
            <w:tcW w:w="3675" w:type="dxa"/>
            <w:shd w:val="clear" w:color="auto" w:fill="auto"/>
            <w:vAlign w:val="center"/>
          </w:tcPr>
          <w:p>
            <w:pPr>
              <w:pStyle w:val="72"/>
            </w:pPr>
            <w:r>
              <w:t>淮师大-闸河</w:t>
            </w:r>
          </w:p>
        </w:tc>
        <w:tc>
          <w:tcPr>
            <w:tcW w:w="1526" w:type="dxa"/>
            <w:shd w:val="clear" w:color="auto" w:fill="auto"/>
            <w:vAlign w:val="center"/>
          </w:tcPr>
          <w:p>
            <w:pPr>
              <w:pStyle w:val="72"/>
            </w:pPr>
            <w:r>
              <w:t>2.47</w:t>
            </w:r>
          </w:p>
        </w:tc>
        <w:tc>
          <w:tcPr>
            <w:tcW w:w="798" w:type="dxa"/>
            <w:shd w:val="clear" w:color="auto" w:fill="auto"/>
            <w:vAlign w:val="center"/>
          </w:tcPr>
          <w:p>
            <w:pPr>
              <w:pStyle w:val="72"/>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242" w:type="dxa"/>
            <w:shd w:val="clear" w:color="auto" w:fill="auto"/>
            <w:vAlign w:val="center"/>
          </w:tcPr>
          <w:p>
            <w:pPr>
              <w:pStyle w:val="72"/>
            </w:pPr>
            <w:r>
              <w:t>4</w:t>
            </w:r>
          </w:p>
        </w:tc>
        <w:tc>
          <w:tcPr>
            <w:tcW w:w="1559" w:type="dxa"/>
            <w:shd w:val="clear" w:color="auto" w:fill="auto"/>
            <w:vAlign w:val="center"/>
          </w:tcPr>
          <w:p>
            <w:pPr>
              <w:pStyle w:val="72"/>
            </w:pPr>
            <w:r>
              <w:t>跃进河</w:t>
            </w:r>
          </w:p>
        </w:tc>
        <w:tc>
          <w:tcPr>
            <w:tcW w:w="1430" w:type="dxa"/>
            <w:shd w:val="clear" w:color="auto" w:fill="auto"/>
            <w:vAlign w:val="center"/>
          </w:tcPr>
          <w:p>
            <w:pPr>
              <w:pStyle w:val="72"/>
            </w:pPr>
            <w:r>
              <w:t>相山区</w:t>
            </w:r>
          </w:p>
        </w:tc>
        <w:tc>
          <w:tcPr>
            <w:tcW w:w="3675" w:type="dxa"/>
            <w:shd w:val="clear" w:color="auto" w:fill="auto"/>
            <w:vAlign w:val="center"/>
          </w:tcPr>
          <w:p>
            <w:pPr>
              <w:pStyle w:val="72"/>
            </w:pPr>
            <w:r>
              <w:t>东相阳沟-相阳沟</w:t>
            </w:r>
          </w:p>
        </w:tc>
        <w:tc>
          <w:tcPr>
            <w:tcW w:w="1526" w:type="dxa"/>
            <w:shd w:val="clear" w:color="auto" w:fill="auto"/>
            <w:vAlign w:val="center"/>
          </w:tcPr>
          <w:p>
            <w:pPr>
              <w:pStyle w:val="72"/>
            </w:pPr>
            <w:r>
              <w:t>4.4</w:t>
            </w:r>
          </w:p>
        </w:tc>
        <w:tc>
          <w:tcPr>
            <w:tcW w:w="798" w:type="dxa"/>
            <w:shd w:val="clear" w:color="auto" w:fill="auto"/>
            <w:vAlign w:val="center"/>
          </w:tcPr>
          <w:p>
            <w:pPr>
              <w:pStyle w:val="72"/>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242" w:type="dxa"/>
            <w:shd w:val="clear" w:color="auto" w:fill="auto"/>
            <w:vAlign w:val="center"/>
          </w:tcPr>
          <w:p>
            <w:pPr>
              <w:pStyle w:val="72"/>
            </w:pPr>
            <w:r>
              <w:t>5</w:t>
            </w:r>
          </w:p>
        </w:tc>
        <w:tc>
          <w:tcPr>
            <w:tcW w:w="1559" w:type="dxa"/>
            <w:shd w:val="clear" w:color="auto" w:fill="auto"/>
            <w:vAlign w:val="center"/>
          </w:tcPr>
          <w:p>
            <w:pPr>
              <w:pStyle w:val="72"/>
            </w:pPr>
            <w:r>
              <w:t>西流河</w:t>
            </w:r>
          </w:p>
        </w:tc>
        <w:tc>
          <w:tcPr>
            <w:tcW w:w="1430" w:type="dxa"/>
            <w:shd w:val="clear" w:color="auto" w:fill="auto"/>
            <w:vAlign w:val="center"/>
          </w:tcPr>
          <w:p>
            <w:pPr>
              <w:pStyle w:val="72"/>
            </w:pPr>
            <w:r>
              <w:t>相山区</w:t>
            </w:r>
          </w:p>
        </w:tc>
        <w:tc>
          <w:tcPr>
            <w:tcW w:w="3675" w:type="dxa"/>
            <w:shd w:val="clear" w:color="auto" w:fill="auto"/>
            <w:vAlign w:val="center"/>
          </w:tcPr>
          <w:p>
            <w:pPr>
              <w:pStyle w:val="72"/>
            </w:pPr>
            <w:r>
              <w:t>老濉河-</w:t>
            </w:r>
            <w:r>
              <w:rPr>
                <w:rFonts w:hint="eastAsia"/>
              </w:rPr>
              <w:t>沱河路</w:t>
            </w:r>
          </w:p>
        </w:tc>
        <w:tc>
          <w:tcPr>
            <w:tcW w:w="1526" w:type="dxa"/>
            <w:shd w:val="clear" w:color="auto" w:fill="auto"/>
            <w:vAlign w:val="center"/>
          </w:tcPr>
          <w:p>
            <w:pPr>
              <w:pStyle w:val="72"/>
            </w:pPr>
            <w:r>
              <w:t>4.74</w:t>
            </w:r>
          </w:p>
        </w:tc>
        <w:tc>
          <w:tcPr>
            <w:tcW w:w="798" w:type="dxa"/>
            <w:shd w:val="clear" w:color="auto" w:fill="auto"/>
            <w:vAlign w:val="center"/>
          </w:tcPr>
          <w:p>
            <w:pPr>
              <w:pStyle w:val="72"/>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242" w:type="dxa"/>
            <w:shd w:val="clear" w:color="auto" w:fill="auto"/>
            <w:vAlign w:val="center"/>
          </w:tcPr>
          <w:p>
            <w:pPr>
              <w:pStyle w:val="72"/>
            </w:pPr>
            <w:r>
              <w:t>6</w:t>
            </w:r>
          </w:p>
        </w:tc>
        <w:tc>
          <w:tcPr>
            <w:tcW w:w="1559" w:type="dxa"/>
            <w:shd w:val="clear" w:color="auto" w:fill="auto"/>
            <w:vAlign w:val="center"/>
          </w:tcPr>
          <w:p>
            <w:pPr>
              <w:pStyle w:val="72"/>
            </w:pPr>
            <w:r>
              <w:t>龙岱河</w:t>
            </w:r>
          </w:p>
        </w:tc>
        <w:tc>
          <w:tcPr>
            <w:tcW w:w="1430" w:type="dxa"/>
            <w:shd w:val="clear" w:color="auto" w:fill="auto"/>
            <w:vAlign w:val="center"/>
          </w:tcPr>
          <w:p>
            <w:pPr>
              <w:pStyle w:val="72"/>
            </w:pPr>
            <w:r>
              <w:t>烈山区</w:t>
            </w:r>
          </w:p>
        </w:tc>
        <w:tc>
          <w:tcPr>
            <w:tcW w:w="3675" w:type="dxa"/>
            <w:shd w:val="clear" w:color="auto" w:fill="auto"/>
            <w:vAlign w:val="center"/>
          </w:tcPr>
          <w:p>
            <w:pPr>
              <w:pStyle w:val="72"/>
            </w:pPr>
            <w:r>
              <w:t>龙、岱河交口-青龙山火车站</w:t>
            </w:r>
          </w:p>
        </w:tc>
        <w:tc>
          <w:tcPr>
            <w:tcW w:w="1526" w:type="dxa"/>
            <w:shd w:val="clear" w:color="auto" w:fill="auto"/>
            <w:vAlign w:val="center"/>
          </w:tcPr>
          <w:p>
            <w:pPr>
              <w:pStyle w:val="72"/>
            </w:pPr>
            <w:r>
              <w:t>10.69</w:t>
            </w:r>
          </w:p>
        </w:tc>
        <w:tc>
          <w:tcPr>
            <w:tcW w:w="798" w:type="dxa"/>
            <w:shd w:val="clear" w:color="auto" w:fill="auto"/>
            <w:vAlign w:val="center"/>
          </w:tcPr>
          <w:p>
            <w:pPr>
              <w:pStyle w:val="72"/>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4231" w:type="dxa"/>
            <w:gridSpan w:val="3"/>
            <w:shd w:val="clear" w:color="auto" w:fill="auto"/>
            <w:vAlign w:val="center"/>
          </w:tcPr>
          <w:p>
            <w:pPr>
              <w:pStyle w:val="72"/>
            </w:pPr>
            <w:r>
              <w:t>总计（km）</w:t>
            </w:r>
          </w:p>
        </w:tc>
        <w:tc>
          <w:tcPr>
            <w:tcW w:w="5999" w:type="dxa"/>
            <w:gridSpan w:val="3"/>
            <w:shd w:val="clear" w:color="auto" w:fill="auto"/>
            <w:vAlign w:val="center"/>
          </w:tcPr>
          <w:p>
            <w:pPr>
              <w:pStyle w:val="72"/>
            </w:pPr>
            <w:r>
              <w:rPr>
                <w:rFonts w:hint="eastAsia"/>
              </w:rPr>
              <w:t>31.1</w:t>
            </w:r>
          </w:p>
        </w:tc>
      </w:tr>
    </w:tbl>
    <w:p>
      <w:pPr>
        <w:pStyle w:val="4"/>
        <w:rPr>
          <w:szCs w:val="28"/>
        </w:rPr>
      </w:pPr>
      <w:r>
        <w:rPr>
          <w:szCs w:val="28"/>
        </w:rPr>
        <w:br w:type="page"/>
      </w:r>
    </w:p>
    <w:p>
      <w:pPr>
        <w:ind w:firstLine="560"/>
      </w:pPr>
    </w:p>
    <w:p>
      <w:pPr>
        <w:spacing w:line="240" w:lineRule="auto"/>
        <w:ind w:firstLine="480"/>
      </w:pPr>
      <w:r>
        <w:rPr>
          <w:rFonts w:ascii="宋体" w:hAnsi="宋体" w:cs="宋体"/>
          <w:sz w:val="24"/>
        </w:rPr>
        <w:drawing>
          <wp:inline distT="0" distB="0" distL="0" distR="0">
            <wp:extent cx="5906135" cy="4366895"/>
            <wp:effectExtent l="19050" t="0" r="0" b="0"/>
            <wp:docPr id="3" name="图片 2" descr="H_SM@V697673ZXW_FM2AU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H_SM@V697673ZXW_FM2AU6D"/>
                    <pic:cNvPicPr>
                      <a:picLocks noChangeAspect="1" noChangeArrowheads="1"/>
                    </pic:cNvPicPr>
                  </pic:nvPicPr>
                  <pic:blipFill>
                    <a:blip r:embed="rId28"/>
                    <a:srcRect/>
                    <a:stretch>
                      <a:fillRect/>
                    </a:stretch>
                  </pic:blipFill>
                  <pic:spPr>
                    <a:xfrm>
                      <a:off x="0" y="0"/>
                      <a:ext cx="5907001" cy="4367433"/>
                    </a:xfrm>
                    <a:prstGeom prst="rect">
                      <a:avLst/>
                    </a:prstGeom>
                    <a:noFill/>
                    <a:ln w="9525">
                      <a:noFill/>
                      <a:miter lim="800000"/>
                      <a:headEnd/>
                      <a:tailEnd/>
                    </a:ln>
                  </pic:spPr>
                </pic:pic>
              </a:graphicData>
            </a:graphic>
          </wp:inline>
        </w:drawing>
      </w:r>
    </w:p>
    <w:p>
      <w:pPr>
        <w:pStyle w:val="4"/>
      </w:pPr>
      <w:bookmarkStart w:id="77" w:name="_Toc8032506"/>
      <w:r>
        <w:t>1.7.3</w:t>
      </w:r>
      <w:r>
        <w:rPr>
          <w:rFonts w:hint="eastAsia"/>
        </w:rPr>
        <w:t>投资估算</w:t>
      </w:r>
      <w:bookmarkEnd w:id="77"/>
    </w:p>
    <w:p>
      <w:pPr>
        <w:ind w:firstLine="560"/>
      </w:pPr>
      <w:r>
        <w:rPr>
          <w:rFonts w:hint="eastAsia"/>
        </w:rPr>
        <w:t>本次淮北市城市河道综合整治工程包含跃进河、西流河、龙岱河、东相阳、宁王沟和相阳沟等六条黑臭水体治理。工程总投资为49915.74万元。</w:t>
      </w:r>
    </w:p>
    <w:p>
      <w:pPr>
        <w:pStyle w:val="4"/>
        <w:rPr>
          <w:spacing w:val="8"/>
        </w:rPr>
      </w:pPr>
      <w:bookmarkStart w:id="78" w:name="_Toc8032507"/>
      <w:r>
        <w:t>1.7.4</w:t>
      </w:r>
      <w:r>
        <w:rPr>
          <w:rFonts w:hint="eastAsia"/>
        </w:rPr>
        <w:t>项目进展</w:t>
      </w:r>
      <w:bookmarkEnd w:id="78"/>
    </w:p>
    <w:p>
      <w:pPr>
        <w:ind w:firstLine="560"/>
      </w:pPr>
      <w:r>
        <w:rPr>
          <w:rFonts w:hint="eastAsia"/>
        </w:rPr>
        <w:t>老濉河水生态环境综合整治工程，总投资</w:t>
      </w:r>
      <w:r>
        <w:t>3</w:t>
      </w:r>
      <w:r>
        <w:rPr>
          <w:rFonts w:hint="eastAsia"/>
        </w:rPr>
        <w:t>亿元，由市水务局负责实施，</w:t>
      </w:r>
      <w:r>
        <w:t>2017</w:t>
      </w:r>
      <w:r>
        <w:rPr>
          <w:rFonts w:hint="eastAsia"/>
        </w:rPr>
        <w:t>年</w:t>
      </w:r>
      <w:r>
        <w:t>3</w:t>
      </w:r>
      <w:r>
        <w:rPr>
          <w:rFonts w:hint="eastAsia"/>
        </w:rPr>
        <w:t>月份正式开工，工程已于</w:t>
      </w:r>
      <w:r>
        <w:t>2018</w:t>
      </w:r>
      <w:r>
        <w:rPr>
          <w:rFonts w:hint="eastAsia"/>
        </w:rPr>
        <w:t>年</w:t>
      </w:r>
      <w:r>
        <w:t>8</w:t>
      </w:r>
      <w:r>
        <w:rPr>
          <w:rFonts w:hint="eastAsia"/>
        </w:rPr>
        <w:t>月全面完成，</w:t>
      </w:r>
      <w:r>
        <w:t>2018</w:t>
      </w:r>
      <w:r>
        <w:rPr>
          <w:rFonts w:hint="eastAsia"/>
        </w:rPr>
        <w:t>年</w:t>
      </w:r>
      <w:r>
        <w:t>11</w:t>
      </w:r>
      <w:r>
        <w:rPr>
          <w:rFonts w:hint="eastAsia"/>
        </w:rPr>
        <w:t>月</w:t>
      </w:r>
      <w:r>
        <w:t>4</w:t>
      </w:r>
      <w:r>
        <w:rPr>
          <w:rFonts w:hint="eastAsia"/>
        </w:rPr>
        <w:t>日通过省住建厅、环保厅组织的“初见成效”复核。</w:t>
      </w:r>
      <w:r>
        <w:t xml:space="preserve"> </w:t>
      </w:r>
    </w:p>
    <w:p>
      <w:pPr>
        <w:ind w:firstLine="560"/>
      </w:pPr>
      <w:r>
        <w:rPr>
          <w:rFonts w:hint="eastAsia"/>
        </w:rPr>
        <w:t>相阳沟、跃进河、西流河、东相阳沟、宁王沟、龙岱河</w:t>
      </w:r>
      <w:r>
        <w:t>6</w:t>
      </w:r>
      <w:r>
        <w:rPr>
          <w:rFonts w:hint="eastAsia"/>
        </w:rPr>
        <w:t>条黑臭水体整体打包为城市河道综合整治工程，工程内容包括截污、清淤、水生态净化、河道景观建设等。根据国家环保考核要求，工程分期分批推进。其中一期工程</w:t>
      </w:r>
      <w:r>
        <w:t>(</w:t>
      </w:r>
      <w:r>
        <w:rPr>
          <w:rFonts w:hint="eastAsia"/>
        </w:rPr>
        <w:t>相阳沟、东相阳沟、跃进河、西流河、宁王沟等</w:t>
      </w:r>
      <w:r>
        <w:t>5</w:t>
      </w:r>
      <w:r>
        <w:rPr>
          <w:rFonts w:hint="eastAsia"/>
        </w:rPr>
        <w:t>河道的截污、清淤、应急水处理工程</w:t>
      </w:r>
      <w:r>
        <w:t>) ，2017</w:t>
      </w:r>
      <w:r>
        <w:rPr>
          <w:rFonts w:hint="eastAsia"/>
        </w:rPr>
        <w:t>年</w:t>
      </w:r>
      <w:r>
        <w:t>5</w:t>
      </w:r>
      <w:r>
        <w:rPr>
          <w:rFonts w:hint="eastAsia"/>
        </w:rPr>
        <w:t>月</w:t>
      </w:r>
      <w:r>
        <w:t>31</w:t>
      </w:r>
      <w:r>
        <w:rPr>
          <w:rFonts w:hint="eastAsia"/>
        </w:rPr>
        <w:t>进场开工，</w:t>
      </w:r>
      <w:r>
        <w:t>10</w:t>
      </w:r>
      <w:r>
        <w:rPr>
          <w:rFonts w:hint="eastAsia"/>
        </w:rPr>
        <w:t>月完成河道清淤，</w:t>
      </w:r>
      <w:r>
        <w:t>11</w:t>
      </w:r>
      <w:r>
        <w:rPr>
          <w:rFonts w:hint="eastAsia"/>
        </w:rPr>
        <w:t>月完成了截污和磁净化水处理工程，经水质监测、第三方测评，达到“初见成效”标准，并于</w:t>
      </w:r>
      <w:r>
        <w:t>2017</w:t>
      </w:r>
      <w:r>
        <w:rPr>
          <w:rFonts w:hint="eastAsia"/>
        </w:rPr>
        <w:t>年</w:t>
      </w:r>
      <w:r>
        <w:t>12</w:t>
      </w:r>
      <w:r>
        <w:rPr>
          <w:rFonts w:hint="eastAsia"/>
        </w:rPr>
        <w:t>月通过省级复核。</w:t>
      </w:r>
      <w:r>
        <w:t xml:space="preserve"> </w:t>
      </w:r>
    </w:p>
    <w:p>
      <w:pPr>
        <w:ind w:firstLine="560"/>
      </w:pPr>
      <w:r>
        <w:rPr>
          <w:rFonts w:hint="eastAsia"/>
        </w:rPr>
        <w:t>龙支河综合整治工程，</w:t>
      </w:r>
      <w:r>
        <w:t>2017</w:t>
      </w:r>
      <w:r>
        <w:rPr>
          <w:rFonts w:hint="eastAsia"/>
        </w:rPr>
        <w:t>年</w:t>
      </w:r>
      <w:r>
        <w:t>7</w:t>
      </w:r>
      <w:r>
        <w:rPr>
          <w:rFonts w:hint="eastAsia"/>
        </w:rPr>
        <w:t>月开工建设，目前已完工。</w:t>
      </w:r>
    </w:p>
    <w:p>
      <w:pPr>
        <w:pStyle w:val="3"/>
        <w:spacing w:before="120" w:after="60" w:line="360" w:lineRule="auto"/>
        <w:ind w:firstLine="602"/>
        <w:rPr>
          <w:rFonts w:ascii="Times New Roman" w:hAnsi="Times New Roman"/>
        </w:rPr>
      </w:pPr>
      <w:bookmarkStart w:id="79" w:name="_Toc8032508"/>
      <w:r>
        <w:rPr>
          <w:rFonts w:hint="eastAsia" w:ascii="Times New Roman" w:hAnsi="Times New Roman"/>
        </w:rPr>
        <w:t xml:space="preserve">1.8 </w:t>
      </w:r>
      <w:r>
        <w:rPr>
          <w:rFonts w:ascii="Times New Roman" w:hAnsi="Times New Roman"/>
        </w:rPr>
        <w:t xml:space="preserve"> </w:t>
      </w:r>
      <w:r>
        <w:rPr>
          <w:rFonts w:hint="eastAsia" w:ascii="Times New Roman" w:hAnsi="Times New Roman"/>
        </w:rPr>
        <w:t>淮北市雨污分流改造工程</w:t>
      </w:r>
      <w:bookmarkEnd w:id="79"/>
      <w:r>
        <w:rPr>
          <w:rFonts w:hint="eastAsia" w:ascii="Times New Roman" w:hAnsi="Times New Roman"/>
        </w:rPr>
        <w:t xml:space="preserve"> </w:t>
      </w:r>
    </w:p>
    <w:p>
      <w:pPr>
        <w:ind w:firstLine="560"/>
      </w:pPr>
      <w:r>
        <w:rPr>
          <w:rFonts w:hint="eastAsia"/>
        </w:rPr>
        <w:t>淮北市委、市政府决定，</w:t>
      </w:r>
      <w:r>
        <w:t>2018</w:t>
      </w:r>
      <w:r>
        <w:rPr>
          <w:rFonts w:hint="eastAsia"/>
        </w:rPr>
        <w:t>年启动老城区雨污分流工程，淮北市城区雨污分流工程范围北起相山，南至沱河路，西至萧濉新河，东至岱河，需要新建雨污水管道</w:t>
      </w:r>
      <w:r>
        <w:t>41.5</w:t>
      </w:r>
      <w:r>
        <w:rPr>
          <w:rFonts w:hint="eastAsia"/>
        </w:rPr>
        <w:t>公里，计划投资</w:t>
      </w:r>
      <w:r>
        <w:t>12</w:t>
      </w:r>
      <w:r>
        <w:rPr>
          <w:rFonts w:hint="eastAsia"/>
        </w:rPr>
        <w:t>亿元，力争</w:t>
      </w:r>
      <w:r>
        <w:t>2</w:t>
      </w:r>
      <w:r>
        <w:rPr>
          <w:rFonts w:hint="eastAsia"/>
        </w:rPr>
        <w:t>至</w:t>
      </w:r>
      <w:r>
        <w:t>3</w:t>
      </w:r>
      <w:r>
        <w:rPr>
          <w:rFonts w:hint="eastAsia"/>
        </w:rPr>
        <w:t xml:space="preserve">年时间完成雨污分流改造。 </w:t>
      </w:r>
      <w:r>
        <w:t>2018</w:t>
      </w:r>
      <w:r>
        <w:rPr>
          <w:rFonts w:hint="eastAsia"/>
        </w:rPr>
        <w:t>年</w:t>
      </w:r>
      <w:r>
        <w:t>5</w:t>
      </w:r>
      <w:r>
        <w:rPr>
          <w:rFonts w:hint="eastAsia"/>
        </w:rPr>
        <w:t>月，淮北市雨污分流工程按照西部片区、相阳沟片区、老城片区、东部片区的规划全面开工建设，同时推进。</w:t>
      </w:r>
      <w:r>
        <w:t xml:space="preserve"> </w:t>
      </w:r>
    </w:p>
    <w:p>
      <w:pPr>
        <w:ind w:firstLine="560"/>
      </w:pPr>
      <w:r>
        <w:rPr>
          <w:rFonts w:hint="eastAsia"/>
        </w:rPr>
        <w:t>目前，淮北市城区雨污分流工程建设进展顺利，四大片区正按照时间节点和时序进度加快施工。目前已累计完成市政道路污水管道约</w:t>
      </w:r>
      <w:r>
        <w:t>5.2km</w:t>
      </w:r>
      <w:r>
        <w:rPr>
          <w:rFonts w:hint="eastAsia"/>
        </w:rPr>
        <w:t>，开工建设的小区及企事业单位雨污分流工程</w:t>
      </w:r>
      <w:r>
        <w:t>42</w:t>
      </w:r>
      <w:r>
        <w:rPr>
          <w:rFonts w:hint="eastAsia"/>
        </w:rPr>
        <w:t>个，完工</w:t>
      </w:r>
      <w:r>
        <w:t>12</w:t>
      </w:r>
      <w:r>
        <w:rPr>
          <w:rFonts w:hint="eastAsia"/>
        </w:rPr>
        <w:t>个。其中，西部片区已完成海宫路、惠黎路污水管道建设工程，累计新建市政道路污水管网共计</w:t>
      </w:r>
      <w:r>
        <w:t>1.1</w:t>
      </w:r>
      <w:r>
        <w:rPr>
          <w:rFonts w:hint="eastAsia"/>
        </w:rPr>
        <w:t>公里，开工建设的小区及事业单位雨污分流工程共计</w:t>
      </w:r>
      <w:r>
        <w:t>12</w:t>
      </w:r>
      <w:r>
        <w:rPr>
          <w:rFonts w:hint="eastAsia"/>
        </w:rPr>
        <w:t>个，完工</w:t>
      </w:r>
      <w:r>
        <w:t>5</w:t>
      </w:r>
      <w:r>
        <w:rPr>
          <w:rFonts w:hint="eastAsia"/>
        </w:rPr>
        <w:t>个；相阳沟片区完成相阳沟污水提升泵站</w:t>
      </w:r>
      <w:r>
        <w:t>1</w:t>
      </w:r>
      <w:r>
        <w:rPr>
          <w:rFonts w:hint="eastAsia"/>
        </w:rPr>
        <w:t>座，正在建设环保沟截流泵站及压力管网；开工建设的小区及企事业单位雨污分流工程共计</w:t>
      </w:r>
      <w:r>
        <w:t>24</w:t>
      </w:r>
      <w:r>
        <w:rPr>
          <w:rFonts w:hint="eastAsia"/>
        </w:rPr>
        <w:t>个，完工</w:t>
      </w:r>
      <w:r>
        <w:t>7</w:t>
      </w:r>
      <w:r>
        <w:rPr>
          <w:rFonts w:hint="eastAsia"/>
        </w:rPr>
        <w:t>个；开工建设的市政道路污水管网</w:t>
      </w:r>
      <w:r>
        <w:t>1</w:t>
      </w:r>
      <w:r>
        <w:rPr>
          <w:rFonts w:hint="eastAsia"/>
        </w:rPr>
        <w:t>条，完成管道铺设</w:t>
      </w:r>
      <w:r>
        <w:t>150</w:t>
      </w:r>
      <w:r>
        <w:rPr>
          <w:rFonts w:hint="eastAsia"/>
        </w:rPr>
        <w:t>米；东部片区完成市政道路管网建设</w:t>
      </w:r>
      <w:r>
        <w:t>1</w:t>
      </w:r>
      <w:r>
        <w:rPr>
          <w:rFonts w:hint="eastAsia"/>
        </w:rPr>
        <w:t>条，正在施工</w:t>
      </w:r>
      <w:r>
        <w:t>3</w:t>
      </w:r>
      <w:r>
        <w:rPr>
          <w:rFonts w:hint="eastAsia"/>
        </w:rPr>
        <w:t>条，累计新建市政道路管网</w:t>
      </w:r>
      <w:r>
        <w:t>1.6</w:t>
      </w:r>
      <w:r>
        <w:rPr>
          <w:rFonts w:hint="eastAsia"/>
        </w:rPr>
        <w:t>公里；完成新建泵站</w:t>
      </w:r>
      <w:r>
        <w:t>1</w:t>
      </w:r>
      <w:r>
        <w:rPr>
          <w:rFonts w:hint="eastAsia"/>
        </w:rPr>
        <w:t>座，改造完成</w:t>
      </w:r>
      <w:r>
        <w:t>1</w:t>
      </w:r>
      <w:r>
        <w:rPr>
          <w:rFonts w:hint="eastAsia"/>
        </w:rPr>
        <w:t>座；开工建设的小区及企事业单位内部雨污分流工程共计</w:t>
      </w:r>
      <w:r>
        <w:t>6</w:t>
      </w:r>
      <w:r>
        <w:rPr>
          <w:rFonts w:hint="eastAsia"/>
        </w:rPr>
        <w:t>个；老城片区开工建设市政道路污水管网有</w:t>
      </w:r>
      <w:r>
        <w:t>9</w:t>
      </w:r>
      <w:r>
        <w:rPr>
          <w:rFonts w:hint="eastAsia"/>
        </w:rPr>
        <w:t>条，已完成</w:t>
      </w:r>
      <w:r>
        <w:t>3</w:t>
      </w:r>
      <w:r>
        <w:rPr>
          <w:rFonts w:hint="eastAsia"/>
        </w:rPr>
        <w:t>条，累计</w:t>
      </w:r>
      <w:r>
        <w:t>2.3</w:t>
      </w:r>
      <w:r>
        <w:rPr>
          <w:rFonts w:hint="eastAsia"/>
        </w:rPr>
        <w:t>公里。</w:t>
      </w:r>
    </w:p>
    <w:p>
      <w:pPr>
        <w:pStyle w:val="3"/>
        <w:spacing w:before="120" w:after="60" w:line="360" w:lineRule="auto"/>
        <w:ind w:firstLine="602"/>
        <w:rPr>
          <w:rFonts w:ascii="Times New Roman" w:hAnsi="Times New Roman"/>
        </w:rPr>
      </w:pPr>
      <w:bookmarkStart w:id="80" w:name="_Toc8032509"/>
      <w:r>
        <w:rPr>
          <w:rFonts w:hint="eastAsia" w:ascii="Times New Roman" w:hAnsi="Times New Roman"/>
        </w:rPr>
        <w:t xml:space="preserve">1.9 </w:t>
      </w:r>
      <w:r>
        <w:rPr>
          <w:rFonts w:ascii="Times New Roman" w:hAnsi="Times New Roman"/>
        </w:rPr>
        <w:t xml:space="preserve"> </w:t>
      </w:r>
      <w:r>
        <w:rPr>
          <w:rFonts w:hint="eastAsia" w:ascii="Times New Roman" w:hAnsi="Times New Roman"/>
        </w:rPr>
        <w:t>淮北市积涝点情况简介</w:t>
      </w:r>
      <w:bookmarkEnd w:id="80"/>
    </w:p>
    <w:p>
      <w:pPr>
        <w:ind w:firstLine="560"/>
      </w:pPr>
      <w:r>
        <w:rPr>
          <w:rFonts w:hint="eastAsia"/>
        </w:rPr>
        <w:t xml:space="preserve">淮北市地处暖温带半湿润季风气候区，受季风影响，冬季寒冷干燥，夏季炎热多雨。降雨量的年际、年内变化较大，雨量集中且分布不均。一年中降雨主要集中在汛期 6～9 月，约占全年的 60%。夏季若遇持续的强降水过程，大量径流汇入河道，造成河道水位迅速上涨，城区客水难以排泄，极易形成洪涝灾害。 </w:t>
      </w:r>
    </w:p>
    <w:p>
      <w:pPr>
        <w:ind w:firstLine="560"/>
      </w:pPr>
      <w:r>
        <w:rPr>
          <w:rFonts w:hint="eastAsia"/>
        </w:rPr>
        <w:t xml:space="preserve">根据有关资料记载，最近 10 年内，淮北市发生积涝情况的年份较为频繁，但是每次发生积涝情况的范围不大。暴雨时期的积涝情况给淮北市城区造成了一定的经济损失，在社会稳定和交通、通讯等方面也造成了一定的不利影响，威胁着人民的生命财产安全。 </w:t>
      </w:r>
    </w:p>
    <w:p>
      <w:pPr>
        <w:ind w:firstLine="560"/>
      </w:pPr>
      <w:r>
        <w:rPr>
          <w:rFonts w:hint="eastAsia"/>
        </w:rPr>
        <w:t>近年来，淮北市投入了大量资金对城市易涝点进行整治，消除了城市内部濉溪路与电厂专用线立交桥处、火车站、梧桐北路与龙支路交口处附近等多个易涝点，但仍存在以下积涝点：</w:t>
      </w:r>
    </w:p>
    <w:p>
      <w:pPr>
        <w:pStyle w:val="56"/>
        <w:numPr>
          <w:ilvl w:val="0"/>
          <w:numId w:val="1"/>
        </w:numPr>
        <w:ind w:firstLineChars="0"/>
      </w:pPr>
      <w:r>
        <w:rPr>
          <w:rFonts w:hint="eastAsia"/>
        </w:rPr>
        <w:t>龙山路易涝点：积水点位于龙山路消防支队南边，此处为龙山路最低点。</w:t>
      </w:r>
    </w:p>
    <w:p>
      <w:pPr>
        <w:ind w:firstLine="0" w:firstLineChars="0"/>
      </w:pPr>
      <w:r>
        <w:rPr>
          <w:rFonts w:hint="eastAsia"/>
        </w:rPr>
        <w:t>根据上轮排水规划，龙山路污水应接入拟建桓谭路污水主干管，向西进入任圩泵站。而此段桓谭路至今未修建，污水管道未接通。龙山路两侧新建的住宅小区、机关学校（如天一中学）等处的污水都接入雨水管道。龙山路雨水分段就近排入东湖塌陷区，近几年填湖造地，多处雨水出口被填埋，另有一处出口因为常年流出污水污染村民养殖湖面，也被村民强行封堵。因此，龙山路雨污水都没有出路，雨季雨水积聚后从道路最低点处雨水井冒出地面，造成此路段积水。</w:t>
      </w:r>
    </w:p>
    <w:p>
      <w:pPr>
        <w:ind w:firstLine="560"/>
      </w:pPr>
      <w:r>
        <w:rPr>
          <w:rFonts w:hint="eastAsia"/>
        </w:rPr>
        <w:t>（2）泉山路易涝点：泉山路道路排水管道北起桓谭路南至人民路。以前道路两侧都是农田或水塘，能接纳大量雨水，近几年农田水塘消失，泉山路失去了雨水排出口，因此雨季会产生内涝现象。此处积水是因为道路排水管道不贯通。</w:t>
      </w:r>
    </w:p>
    <w:p>
      <w:pPr>
        <w:ind w:firstLine="560"/>
      </w:pPr>
      <w:r>
        <w:rPr>
          <w:rFonts w:hint="eastAsia"/>
        </w:rPr>
        <w:t>（3）淮海路易涝点：道路排水分段排入原农田明沟内，由于道路两侧开发建设，挤占了排水沟，使得道路排水无出路，暴雨时存在积水现象。淮海中路老城区段由于现状标准较低，暴雨时也存在积水现象。</w:t>
      </w:r>
    </w:p>
    <w:p>
      <w:pPr>
        <w:ind w:firstLine="560"/>
      </w:pPr>
      <w:r>
        <w:rPr>
          <w:rFonts w:hint="eastAsia"/>
        </w:rPr>
        <w:t>（4）人民路岱河桥东、西易涝点：由于桥面较高，该处为人民路东西两侧最低点，雨季雨水积聚后从道路最低点处雨水井冒出地面，造成此路段积水。</w:t>
      </w:r>
    </w:p>
    <w:p>
      <w:pPr>
        <w:spacing w:line="240" w:lineRule="auto"/>
        <w:ind w:firstLine="560"/>
        <w:jc w:val="center"/>
        <w:rPr>
          <w:b/>
          <w:bCs/>
          <w:spacing w:val="8"/>
          <w:kern w:val="44"/>
          <w:sz w:val="44"/>
          <w:szCs w:val="44"/>
        </w:rPr>
      </w:pPr>
      <w:r>
        <w:rPr>
          <w:spacing w:val="8"/>
        </w:rPr>
        <w:drawing>
          <wp:inline distT="0" distB="0" distL="0" distR="0">
            <wp:extent cx="3818890" cy="5092065"/>
            <wp:effectExtent l="19050" t="0" r="0" b="0"/>
            <wp:docPr id="5" name="图片 5" descr="F:\2019年项目\淮北市节约用水规划\补充资料\My Pictures\1548745047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2019年项目\淮北市节约用水规划\补充资料\My Pictures\1548745047931.jpg"/>
                    <pic:cNvPicPr>
                      <a:picLocks noChangeAspect="1" noChangeArrowheads="1"/>
                    </pic:cNvPicPr>
                  </pic:nvPicPr>
                  <pic:blipFill>
                    <a:blip r:embed="rId29"/>
                    <a:srcRect/>
                    <a:stretch>
                      <a:fillRect/>
                    </a:stretch>
                  </pic:blipFill>
                  <pic:spPr>
                    <a:xfrm>
                      <a:off x="0" y="0"/>
                      <a:ext cx="3823233" cy="5097644"/>
                    </a:xfrm>
                    <a:prstGeom prst="rect">
                      <a:avLst/>
                    </a:prstGeom>
                    <a:noFill/>
                    <a:ln w="9525">
                      <a:noFill/>
                      <a:miter lim="800000"/>
                      <a:headEnd/>
                      <a:tailEnd/>
                    </a:ln>
                  </pic:spPr>
                </pic:pic>
              </a:graphicData>
            </a:graphic>
          </wp:inline>
        </w:drawing>
      </w:r>
    </w:p>
    <w:p>
      <w:pPr>
        <w:widowControl/>
        <w:autoSpaceDE/>
        <w:autoSpaceDN/>
        <w:adjustRightInd/>
        <w:spacing w:line="240" w:lineRule="auto"/>
        <w:ind w:firstLine="4498" w:firstLineChars="1600"/>
        <w:rPr>
          <w:rFonts w:ascii="宋体" w:hAnsi="宋体"/>
          <w:b/>
        </w:rPr>
      </w:pPr>
      <w:r>
        <w:rPr>
          <w:rFonts w:hint="eastAsia" w:ascii="宋体" w:hAnsi="宋体"/>
          <w:b/>
        </w:rPr>
        <w:t>现状积涝点分布图</w:t>
      </w:r>
    </w:p>
    <w:p>
      <w:pPr>
        <w:widowControl/>
        <w:autoSpaceDE/>
        <w:autoSpaceDN/>
        <w:adjustRightInd/>
        <w:spacing w:line="240" w:lineRule="auto"/>
        <w:ind w:firstLine="0" w:firstLineChars="0"/>
        <w:rPr>
          <w:b/>
          <w:bCs/>
          <w:spacing w:val="8"/>
          <w:kern w:val="44"/>
          <w:sz w:val="44"/>
          <w:szCs w:val="44"/>
        </w:rPr>
      </w:pPr>
      <w:r>
        <w:rPr>
          <w:spacing w:val="8"/>
        </w:rPr>
        <w:br w:type="page"/>
      </w:r>
    </w:p>
    <w:p>
      <w:pPr>
        <w:pStyle w:val="2"/>
        <w:spacing w:before="120"/>
        <w:ind w:firstLine="899"/>
      </w:pPr>
      <w:bookmarkStart w:id="81" w:name="_Toc8032510"/>
      <w:r>
        <w:rPr>
          <w:rFonts w:hint="eastAsia"/>
          <w:spacing w:val="8"/>
        </w:rPr>
        <w:t xml:space="preserve">第二章  </w:t>
      </w:r>
      <w:r>
        <w:t>城市现状</w:t>
      </w:r>
      <w:r>
        <w:rPr>
          <w:rFonts w:hint="eastAsia"/>
        </w:rPr>
        <w:t>分析</w:t>
      </w:r>
      <w:bookmarkEnd w:id="81"/>
    </w:p>
    <w:p>
      <w:pPr>
        <w:pStyle w:val="3"/>
        <w:spacing w:before="120" w:after="60" w:line="360" w:lineRule="auto"/>
        <w:ind w:firstLine="602"/>
        <w:rPr>
          <w:rFonts w:ascii="Times New Roman" w:hAnsi="Times New Roman"/>
        </w:rPr>
      </w:pPr>
      <w:bookmarkStart w:id="82" w:name="_Toc514651419"/>
      <w:bookmarkStart w:id="83" w:name="_Toc8032511"/>
      <w:bookmarkStart w:id="84" w:name="_Toc531180054"/>
      <w:r>
        <w:rPr>
          <w:rFonts w:hint="eastAsia" w:ascii="Times New Roman" w:hAnsi="Times New Roman"/>
        </w:rPr>
        <w:t>2.1水资源</w:t>
      </w:r>
      <w:bookmarkEnd w:id="82"/>
      <w:r>
        <w:rPr>
          <w:rFonts w:hint="eastAsia" w:ascii="Times New Roman" w:hAnsi="Times New Roman"/>
        </w:rPr>
        <w:t>概况及开发利用现状</w:t>
      </w:r>
      <w:bookmarkEnd w:id="83"/>
      <w:bookmarkEnd w:id="84"/>
    </w:p>
    <w:p>
      <w:pPr>
        <w:ind w:firstLine="560"/>
      </w:pPr>
      <w:r>
        <w:t>1</w:t>
      </w:r>
      <w:r>
        <w:rPr>
          <w:rFonts w:hint="eastAsia"/>
        </w:rPr>
        <w:t>、降雨量</w:t>
      </w:r>
    </w:p>
    <w:p>
      <w:pPr>
        <w:wordWrap w:val="0"/>
        <w:ind w:firstLine="560"/>
        <w:rPr>
          <w:rFonts w:ascii="Romantic" w:hAnsi="Romantic"/>
          <w:bCs/>
          <w:color w:val="000000"/>
        </w:rPr>
      </w:pPr>
      <w:r>
        <w:rPr>
          <w:rFonts w:hint="eastAsia"/>
          <w:bCs/>
          <w:color w:val="000000"/>
        </w:rPr>
        <w:t>根据《淮北市水资源综合规划》，淮北市多年平均降雨量（</w:t>
      </w:r>
      <w:r>
        <w:rPr>
          <w:bCs/>
          <w:color w:val="000000"/>
        </w:rPr>
        <w:t>1956</w:t>
      </w:r>
      <w:r>
        <w:rPr>
          <w:rFonts w:hint="eastAsia" w:ascii="宋体" w:hAnsi="宋体"/>
          <w:bCs/>
          <w:color w:val="000000"/>
        </w:rPr>
        <w:t>～</w:t>
      </w:r>
      <w:r>
        <w:rPr>
          <w:bCs/>
          <w:color w:val="000000"/>
        </w:rPr>
        <w:t>2005</w:t>
      </w:r>
      <w:r>
        <w:rPr>
          <w:rFonts w:hint="eastAsia"/>
          <w:bCs/>
          <w:color w:val="000000"/>
        </w:rPr>
        <w:t>）为</w:t>
      </w:r>
      <w:r>
        <w:rPr>
          <w:bCs/>
          <w:color w:val="000000"/>
        </w:rPr>
        <w:t>844.3</w:t>
      </w:r>
      <w:r>
        <w:rPr>
          <w:rFonts w:ascii="宋体" w:hAnsi="宋体"/>
          <w:bCs/>
          <w:color w:val="000000"/>
        </w:rPr>
        <w:t>mm</w:t>
      </w:r>
      <w:r>
        <w:rPr>
          <w:rFonts w:hint="eastAsia" w:ascii="宋体" w:hAnsi="宋体"/>
          <w:bCs/>
          <w:color w:val="000000"/>
        </w:rPr>
        <w:t>，其中淮北城区为</w:t>
      </w:r>
      <w:r>
        <w:rPr>
          <w:bCs/>
          <w:color w:val="000000"/>
        </w:rPr>
        <w:t>861.2</w:t>
      </w:r>
      <w:r>
        <w:rPr>
          <w:rFonts w:ascii="宋体" w:hAnsi="宋体"/>
          <w:bCs/>
          <w:color w:val="000000"/>
        </w:rPr>
        <w:t>mm</w:t>
      </w:r>
      <w:r>
        <w:rPr>
          <w:rFonts w:hint="eastAsia" w:ascii="宋体" w:hAnsi="宋体"/>
          <w:bCs/>
          <w:color w:val="000000"/>
        </w:rPr>
        <w:t>、濉溪县为</w:t>
      </w:r>
      <w:r>
        <w:rPr>
          <w:bCs/>
          <w:color w:val="000000"/>
        </w:rPr>
        <w:t>840.1</w:t>
      </w:r>
      <w:r>
        <w:rPr>
          <w:rFonts w:ascii="宋体" w:hAnsi="宋体"/>
          <w:bCs/>
          <w:color w:val="000000"/>
        </w:rPr>
        <w:t>mm</w:t>
      </w:r>
      <w:r>
        <w:rPr>
          <w:rFonts w:hint="eastAsia" w:ascii="宋体" w:hAnsi="宋体"/>
          <w:bCs/>
          <w:color w:val="000000"/>
        </w:rPr>
        <w:t>。</w:t>
      </w:r>
      <w:r>
        <w:rPr>
          <w:rFonts w:ascii="Romantic" w:hAnsi="Romantic"/>
          <w:bCs/>
          <w:color w:val="000000"/>
        </w:rPr>
        <w:t>、、和降水量分别为、、</w:t>
      </w:r>
      <w:r>
        <w:rPr>
          <w:bCs/>
          <w:color w:val="000000"/>
        </w:rPr>
        <w:t>706.9</w:t>
      </w:r>
      <w:r>
        <w:rPr>
          <w:rFonts w:ascii="Romantic" w:hAnsi="Romantic"/>
          <w:bCs/>
          <w:color w:val="000000"/>
        </w:rPr>
        <w:t>和</w:t>
      </w:r>
      <w:r>
        <w:rPr>
          <w:bCs/>
          <w:color w:val="000000"/>
        </w:rPr>
        <w:t>573.3</w:t>
      </w:r>
      <w:r>
        <w:rPr>
          <w:rFonts w:ascii="Romantic" w:hAnsi="Romantic"/>
          <w:bCs/>
          <w:color w:val="000000"/>
        </w:rPr>
        <w:t>。</w:t>
      </w:r>
    </w:p>
    <w:p>
      <w:pPr>
        <w:ind w:firstLine="560"/>
      </w:pPr>
      <w:r>
        <w:rPr>
          <w:rFonts w:hint="eastAsia"/>
        </w:rPr>
        <w:t>淮北市多年平均降水量地区分布上差异不是很明显，但也存在着区域腹部雨量较小，向东北、东南方向增加的趋势，且向东北的增加梯度比向东南的要大；淮北市降水年际变化较大，最大年降水是最小年降水量的</w:t>
      </w:r>
      <w:r>
        <w:t>2.5</w:t>
      </w:r>
      <w:r>
        <w:rPr>
          <w:rFonts w:hint="eastAsia"/>
        </w:rPr>
        <w:t>倍，降水量年内分配极不均匀，汛期（</w:t>
      </w:r>
      <w:r>
        <w:t>6</w:t>
      </w:r>
      <w:r>
        <w:rPr>
          <w:rFonts w:hint="eastAsia"/>
        </w:rPr>
        <w:t>～</w:t>
      </w:r>
      <w:r>
        <w:t>9</w:t>
      </w:r>
      <w:r>
        <w:rPr>
          <w:rFonts w:hint="eastAsia"/>
        </w:rPr>
        <w:t>月）降水占年降水的</w:t>
      </w:r>
      <w:r>
        <w:t>65.6%</w:t>
      </w:r>
      <w:r>
        <w:rPr>
          <w:rFonts w:hint="eastAsia"/>
        </w:rPr>
        <w:t>，</w:t>
      </w:r>
      <w:r>
        <w:t>6</w:t>
      </w:r>
      <w:r>
        <w:rPr>
          <w:rFonts w:hint="eastAsia"/>
        </w:rPr>
        <w:t>～</w:t>
      </w:r>
      <w:r>
        <w:t>8</w:t>
      </w:r>
      <w:r>
        <w:rPr>
          <w:rFonts w:hint="eastAsia"/>
        </w:rPr>
        <w:t>月降水占年降水的</w:t>
      </w:r>
      <w:r>
        <w:t>52.8%</w:t>
      </w:r>
      <w:r>
        <w:rPr>
          <w:rFonts w:hint="eastAsia"/>
        </w:rPr>
        <w:t>；</w:t>
      </w:r>
    </w:p>
    <w:p>
      <w:pPr>
        <w:ind w:firstLine="560"/>
      </w:pPr>
      <w:r>
        <w:t>2</w:t>
      </w:r>
      <w:r>
        <w:rPr>
          <w:rFonts w:hint="eastAsia"/>
        </w:rPr>
        <w:t>、地表水资源量</w:t>
      </w:r>
    </w:p>
    <w:p>
      <w:pPr>
        <w:ind w:firstLine="560"/>
      </w:pPr>
      <w:r>
        <w:rPr>
          <w:rFonts w:hint="eastAsia"/>
        </w:rPr>
        <w:t>淮北市多年平均年降水量为</w:t>
      </w:r>
      <w:r>
        <w:t>844.3mm</w:t>
      </w:r>
      <w:r>
        <w:rPr>
          <w:rFonts w:hint="eastAsia"/>
        </w:rPr>
        <w:t>、降水总量</w:t>
      </w:r>
      <w:r>
        <w:t>23.1</w:t>
      </w:r>
      <w:r>
        <w:rPr>
          <w:rFonts w:hint="eastAsia"/>
        </w:rPr>
        <w:t>亿</w:t>
      </w:r>
      <w:r>
        <w:t>m</w:t>
      </w:r>
      <w:r>
        <w:rPr>
          <w:vertAlign w:val="superscript"/>
        </w:rPr>
        <w:t>3</w:t>
      </w:r>
      <w:r>
        <w:rPr>
          <w:rFonts w:hint="eastAsia"/>
        </w:rPr>
        <w:t>，地表径流深为</w:t>
      </w:r>
      <w:r>
        <w:t>144.2mm</w:t>
      </w:r>
      <w:r>
        <w:rPr>
          <w:rFonts w:hint="eastAsia"/>
        </w:rPr>
        <w:t>、地表水资源量为</w:t>
      </w:r>
      <w:r>
        <w:t>3.95</w:t>
      </w:r>
      <w:r>
        <w:rPr>
          <w:rFonts w:hint="eastAsia"/>
        </w:rPr>
        <w:t>亿</w:t>
      </w:r>
      <w:r>
        <w:t>m3</w:t>
      </w:r>
      <w:r>
        <w:rPr>
          <w:rFonts w:hint="eastAsia"/>
        </w:rPr>
        <w:t>。其中淮北城区多年平均年降水量为</w:t>
      </w:r>
      <w:r>
        <w:t>861.2mm</w:t>
      </w:r>
      <w:r>
        <w:rPr>
          <w:rFonts w:hint="eastAsia"/>
        </w:rPr>
        <w:t>，降水总量</w:t>
      </w:r>
      <w:r>
        <w:t>4.68</w:t>
      </w:r>
      <w:r>
        <w:rPr>
          <w:rFonts w:hint="eastAsia"/>
        </w:rPr>
        <w:t>亿</w:t>
      </w:r>
      <w:r>
        <w:t>m</w:t>
      </w:r>
      <w:r>
        <w:rPr>
          <w:vertAlign w:val="superscript"/>
        </w:rPr>
        <w:t>3</w:t>
      </w:r>
      <w:r>
        <w:rPr>
          <w:rFonts w:hint="eastAsia"/>
        </w:rPr>
        <w:t>，地表径流深为</w:t>
      </w:r>
      <w:r>
        <w:t>149.4mm</w:t>
      </w:r>
      <w:r>
        <w:rPr>
          <w:rFonts w:hint="eastAsia"/>
        </w:rPr>
        <w:t>、地表水资源量为</w:t>
      </w:r>
      <w:r>
        <w:t>0.81m</w:t>
      </w:r>
      <w:r>
        <w:rPr>
          <w:vertAlign w:val="superscript"/>
        </w:rPr>
        <w:t>3</w:t>
      </w:r>
      <w:r>
        <w:rPr>
          <w:rFonts w:hint="eastAsia"/>
        </w:rPr>
        <w:t>；濉溪县多年平均年降水量为</w:t>
      </w:r>
      <w:r>
        <w:t>840.1mm</w:t>
      </w:r>
      <w:r>
        <w:rPr>
          <w:rFonts w:hint="eastAsia"/>
        </w:rPr>
        <w:t>、降水总量</w:t>
      </w:r>
      <w:r>
        <w:t>18.42</w:t>
      </w:r>
      <w:r>
        <w:rPr>
          <w:rFonts w:hint="eastAsia"/>
        </w:rPr>
        <w:t>亿</w:t>
      </w:r>
      <w:r>
        <w:t>m</w:t>
      </w:r>
      <w:r>
        <w:rPr>
          <w:vertAlign w:val="superscript"/>
        </w:rPr>
        <w:t>3</w:t>
      </w:r>
      <w:r>
        <w:rPr>
          <w:rFonts w:hint="eastAsia"/>
        </w:rPr>
        <w:t>，地表径流深为</w:t>
      </w:r>
      <w:r>
        <w:t>142.9mm</w:t>
      </w:r>
      <w:r>
        <w:rPr>
          <w:rFonts w:hint="eastAsia"/>
        </w:rPr>
        <w:t>、地表水资源量为</w:t>
      </w:r>
      <w:r>
        <w:t>3.14</w:t>
      </w:r>
      <w:r>
        <w:rPr>
          <w:rFonts w:hint="eastAsia"/>
        </w:rPr>
        <w:t>亿</w:t>
      </w:r>
      <w:r>
        <w:t>m</w:t>
      </w:r>
      <w:r>
        <w:rPr>
          <w:vertAlign w:val="superscript"/>
        </w:rPr>
        <w:t>3</w:t>
      </w:r>
      <w:r>
        <w:rPr>
          <w:rFonts w:hint="eastAsia"/>
        </w:rPr>
        <w:t>。淮北市地表径流系数为</w:t>
      </w:r>
      <w:r>
        <w:t>0.171</w:t>
      </w:r>
      <w:r>
        <w:rPr>
          <w:rFonts w:hint="eastAsia"/>
        </w:rPr>
        <w:t>，产水模数为</w:t>
      </w:r>
      <w:r>
        <w:t>14.41</w:t>
      </w:r>
      <w:r>
        <w:rPr>
          <w:rFonts w:hint="eastAsia"/>
        </w:rPr>
        <w:t>万</w:t>
      </w:r>
      <w:r>
        <w:t>m</w:t>
      </w:r>
      <w:r>
        <w:rPr>
          <w:vertAlign w:val="superscript"/>
        </w:rPr>
        <w:t>3</w:t>
      </w:r>
      <w:r>
        <w:t>/km</w:t>
      </w:r>
      <w:r>
        <w:rPr>
          <w:rFonts w:hint="eastAsia"/>
        </w:rPr>
        <w:t>。</w:t>
      </w:r>
    </w:p>
    <w:p>
      <w:pPr>
        <w:ind w:firstLine="560"/>
      </w:pPr>
      <w:r>
        <w:rPr>
          <w:rFonts w:hint="eastAsia"/>
        </w:rPr>
        <w:t>淮北市频率为</w:t>
      </w:r>
      <w:r>
        <w:t>20%</w:t>
      </w:r>
      <w:r>
        <w:rPr>
          <w:rFonts w:hint="eastAsia"/>
        </w:rPr>
        <w:t>、</w:t>
      </w:r>
      <w:r>
        <w:t>50%</w:t>
      </w:r>
      <w:r>
        <w:rPr>
          <w:rFonts w:hint="eastAsia"/>
        </w:rPr>
        <w:t>、</w:t>
      </w:r>
      <w:r>
        <w:t>75%</w:t>
      </w:r>
      <w:r>
        <w:rPr>
          <w:rFonts w:hint="eastAsia"/>
        </w:rPr>
        <w:t>、</w:t>
      </w:r>
      <w:r>
        <w:t>95%</w:t>
      </w:r>
      <w:r>
        <w:rPr>
          <w:rFonts w:hint="eastAsia"/>
        </w:rPr>
        <w:t>的地表水资源量分别为</w:t>
      </w:r>
      <w:r>
        <w:t>5.67</w:t>
      </w:r>
      <w:r>
        <w:rPr>
          <w:rFonts w:hint="eastAsia"/>
        </w:rPr>
        <w:t>亿</w:t>
      </w:r>
      <w:r>
        <w:t>m</w:t>
      </w:r>
      <w:r>
        <w:rPr>
          <w:vertAlign w:val="superscript"/>
        </w:rPr>
        <w:t>3</w:t>
      </w:r>
      <w:r>
        <w:rPr>
          <w:rFonts w:hint="eastAsia"/>
        </w:rPr>
        <w:t>、</w:t>
      </w:r>
      <w:r>
        <w:t>3.51</w:t>
      </w:r>
      <w:r>
        <w:rPr>
          <w:rFonts w:hint="eastAsia"/>
        </w:rPr>
        <w:t>亿</w:t>
      </w:r>
      <w:r>
        <w:t>m</w:t>
      </w:r>
      <w:r>
        <w:rPr>
          <w:vertAlign w:val="superscript"/>
        </w:rPr>
        <w:t>3</w:t>
      </w:r>
      <w:r>
        <w:rPr>
          <w:rFonts w:hint="eastAsia"/>
        </w:rPr>
        <w:t>、</w:t>
      </w:r>
      <w:r>
        <w:t xml:space="preserve"> 2.22</w:t>
      </w:r>
      <w:r>
        <w:rPr>
          <w:rFonts w:hint="eastAsia"/>
        </w:rPr>
        <w:t>亿</w:t>
      </w:r>
      <w:r>
        <w:t>m</w:t>
      </w:r>
      <w:r>
        <w:rPr>
          <w:vertAlign w:val="superscript"/>
        </w:rPr>
        <w:t>3</w:t>
      </w:r>
      <w:r>
        <w:rPr>
          <w:rFonts w:hint="eastAsia"/>
        </w:rPr>
        <w:t>、</w:t>
      </w:r>
      <w:r>
        <w:t>1.04</w:t>
      </w:r>
      <w:r>
        <w:rPr>
          <w:rFonts w:hint="eastAsia"/>
        </w:rPr>
        <w:t>亿</w:t>
      </w:r>
      <w:r>
        <w:t>m</w:t>
      </w:r>
      <w:r>
        <w:rPr>
          <w:vertAlign w:val="superscript"/>
        </w:rPr>
        <w:t>3</w:t>
      </w:r>
      <w:r>
        <w:rPr>
          <w:rFonts w:hint="eastAsia"/>
        </w:rPr>
        <w:t>。</w:t>
      </w:r>
    </w:p>
    <w:p>
      <w:pPr>
        <w:ind w:firstLine="560"/>
      </w:pPr>
      <w:r>
        <w:rPr>
          <w:rFonts w:hint="eastAsia"/>
        </w:rPr>
        <w:t>淮北市分区地表水资源量成果详见表。</w:t>
      </w:r>
    </w:p>
    <w:p>
      <w:pPr>
        <w:spacing w:before="120" w:beforeLines="50" w:line="300" w:lineRule="auto"/>
        <w:ind w:firstLine="559" w:firstLineChars="199"/>
        <w:jc w:val="center"/>
        <w:rPr>
          <w:rFonts w:ascii="宋体"/>
          <w:b/>
        </w:rPr>
      </w:pPr>
      <w:r>
        <w:rPr>
          <w:rFonts w:hint="eastAsia" w:ascii="宋体" w:hAnsi="宋体"/>
          <w:b/>
        </w:rPr>
        <w:t>表</w:t>
      </w:r>
      <w:r>
        <w:rPr>
          <w:b/>
        </w:rPr>
        <w:t xml:space="preserve">2-1   </w:t>
      </w:r>
      <w:r>
        <w:rPr>
          <w:rFonts w:hint="eastAsia" w:ascii="宋体" w:hAnsi="宋体"/>
          <w:b/>
        </w:rPr>
        <w:t>淮北市多年平均地表水资源频率计算成果表</w:t>
      </w:r>
    </w:p>
    <w:tbl>
      <w:tblPr>
        <w:tblStyle w:val="39"/>
        <w:tblW w:w="9790"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775"/>
        <w:gridCol w:w="1396"/>
        <w:gridCol w:w="1862"/>
        <w:gridCol w:w="805"/>
        <w:gridCol w:w="862"/>
        <w:gridCol w:w="1024"/>
        <w:gridCol w:w="1024"/>
        <w:gridCol w:w="1024"/>
        <w:gridCol w:w="1018"/>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04" w:hRule="atLeast"/>
          <w:jc w:val="center"/>
        </w:trPr>
        <w:tc>
          <w:tcPr>
            <w:tcW w:w="2171" w:type="dxa"/>
            <w:gridSpan w:val="2"/>
            <w:vMerge w:val="restart"/>
            <w:noWrap/>
            <w:vAlign w:val="center"/>
          </w:tcPr>
          <w:p>
            <w:pPr>
              <w:pStyle w:val="72"/>
            </w:pPr>
            <w:r>
              <w:rPr>
                <w:rFonts w:hint="eastAsia"/>
              </w:rPr>
              <w:t>分区</w:t>
            </w:r>
          </w:p>
        </w:tc>
        <w:tc>
          <w:tcPr>
            <w:tcW w:w="3529" w:type="dxa"/>
            <w:gridSpan w:val="3"/>
            <w:noWrap/>
            <w:vAlign w:val="center"/>
          </w:tcPr>
          <w:p>
            <w:pPr>
              <w:pStyle w:val="72"/>
            </w:pPr>
            <w:r>
              <w:rPr>
                <w:rFonts w:hint="eastAsia"/>
              </w:rPr>
              <w:t>统计参数</w:t>
            </w:r>
          </w:p>
        </w:tc>
        <w:tc>
          <w:tcPr>
            <w:tcW w:w="4090" w:type="dxa"/>
            <w:gridSpan w:val="4"/>
            <w:noWrap/>
            <w:vAlign w:val="center"/>
          </w:tcPr>
          <w:p>
            <w:pPr>
              <w:pStyle w:val="72"/>
            </w:pPr>
            <w:r>
              <w:rPr>
                <w:rFonts w:hint="eastAsia"/>
              </w:rPr>
              <w:t>不同频率地表水资源量（亿</w:t>
            </w:r>
            <w:r>
              <w:t>m</w:t>
            </w:r>
            <w:r>
              <w:rPr>
                <w:vertAlign w:val="superscript"/>
              </w:rPr>
              <w:t>3</w:t>
            </w:r>
            <w:r>
              <w:rPr>
                <w:rFonts w:hint="eastAsia"/>
              </w:rPr>
              <w:t>）</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39" w:hRule="atLeast"/>
          <w:jc w:val="center"/>
        </w:trPr>
        <w:tc>
          <w:tcPr>
            <w:tcW w:w="2171" w:type="dxa"/>
            <w:gridSpan w:val="2"/>
            <w:vMerge w:val="continue"/>
            <w:vAlign w:val="center"/>
          </w:tcPr>
          <w:p>
            <w:pPr>
              <w:pStyle w:val="72"/>
            </w:pPr>
          </w:p>
        </w:tc>
        <w:tc>
          <w:tcPr>
            <w:tcW w:w="1862" w:type="dxa"/>
            <w:noWrap/>
            <w:vAlign w:val="center"/>
          </w:tcPr>
          <w:p>
            <w:pPr>
              <w:pStyle w:val="72"/>
            </w:pPr>
            <w:r>
              <w:rPr>
                <w:rFonts w:hint="eastAsia"/>
              </w:rPr>
              <w:t>均值（亿</w:t>
            </w:r>
            <w:r>
              <w:t>m</w:t>
            </w:r>
            <w:r>
              <w:rPr>
                <w:vertAlign w:val="superscript"/>
              </w:rPr>
              <w:t>3</w:t>
            </w:r>
            <w:r>
              <w:rPr>
                <w:rFonts w:hint="eastAsia"/>
              </w:rPr>
              <w:t>）</w:t>
            </w:r>
          </w:p>
        </w:tc>
        <w:tc>
          <w:tcPr>
            <w:tcW w:w="805" w:type="dxa"/>
            <w:noWrap/>
            <w:vAlign w:val="center"/>
          </w:tcPr>
          <w:p>
            <w:pPr>
              <w:pStyle w:val="72"/>
            </w:pPr>
            <w:r>
              <w:t>Cv</w:t>
            </w:r>
          </w:p>
        </w:tc>
        <w:tc>
          <w:tcPr>
            <w:tcW w:w="862" w:type="dxa"/>
            <w:noWrap/>
            <w:vAlign w:val="center"/>
          </w:tcPr>
          <w:p>
            <w:pPr>
              <w:pStyle w:val="72"/>
            </w:pPr>
            <w:r>
              <w:t>Cs/Cv</w:t>
            </w:r>
          </w:p>
        </w:tc>
        <w:tc>
          <w:tcPr>
            <w:tcW w:w="1024" w:type="dxa"/>
            <w:noWrap/>
            <w:vAlign w:val="center"/>
          </w:tcPr>
          <w:p>
            <w:pPr>
              <w:pStyle w:val="72"/>
            </w:pPr>
            <w:r>
              <w:t>20%</w:t>
            </w:r>
          </w:p>
        </w:tc>
        <w:tc>
          <w:tcPr>
            <w:tcW w:w="1024" w:type="dxa"/>
            <w:noWrap/>
            <w:vAlign w:val="center"/>
          </w:tcPr>
          <w:p>
            <w:pPr>
              <w:pStyle w:val="72"/>
            </w:pPr>
            <w:r>
              <w:t>50%</w:t>
            </w:r>
          </w:p>
        </w:tc>
        <w:tc>
          <w:tcPr>
            <w:tcW w:w="1024" w:type="dxa"/>
            <w:noWrap/>
            <w:vAlign w:val="center"/>
          </w:tcPr>
          <w:p>
            <w:pPr>
              <w:pStyle w:val="72"/>
            </w:pPr>
            <w:r>
              <w:t>75%</w:t>
            </w:r>
          </w:p>
        </w:tc>
        <w:tc>
          <w:tcPr>
            <w:tcW w:w="1018" w:type="dxa"/>
            <w:noWrap/>
            <w:vAlign w:val="center"/>
          </w:tcPr>
          <w:p>
            <w:pPr>
              <w:pStyle w:val="72"/>
            </w:pPr>
            <w:r>
              <w:t>95%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4" w:hRule="atLeast"/>
          <w:jc w:val="center"/>
        </w:trPr>
        <w:tc>
          <w:tcPr>
            <w:tcW w:w="2171" w:type="dxa"/>
            <w:gridSpan w:val="2"/>
            <w:noWrap/>
            <w:vAlign w:val="center"/>
          </w:tcPr>
          <w:p>
            <w:pPr>
              <w:pStyle w:val="72"/>
            </w:pPr>
            <w:r>
              <w:rPr>
                <w:rFonts w:hint="eastAsia"/>
              </w:rPr>
              <w:t>淮北城区</w:t>
            </w:r>
          </w:p>
        </w:tc>
        <w:tc>
          <w:tcPr>
            <w:tcW w:w="1862" w:type="dxa"/>
            <w:noWrap/>
            <w:vAlign w:val="center"/>
          </w:tcPr>
          <w:p>
            <w:pPr>
              <w:pStyle w:val="72"/>
            </w:pPr>
            <w:r>
              <w:t>0.811</w:t>
            </w:r>
          </w:p>
        </w:tc>
        <w:tc>
          <w:tcPr>
            <w:tcW w:w="805" w:type="dxa"/>
            <w:noWrap/>
            <w:vAlign w:val="center"/>
          </w:tcPr>
          <w:p>
            <w:pPr>
              <w:pStyle w:val="72"/>
            </w:pPr>
            <w:r>
              <w:t>0.586</w:t>
            </w:r>
          </w:p>
        </w:tc>
        <w:tc>
          <w:tcPr>
            <w:tcW w:w="862" w:type="dxa"/>
            <w:noWrap/>
            <w:vAlign w:val="center"/>
          </w:tcPr>
          <w:p>
            <w:pPr>
              <w:pStyle w:val="72"/>
            </w:pPr>
            <w:r>
              <w:t>2</w:t>
            </w:r>
          </w:p>
        </w:tc>
        <w:tc>
          <w:tcPr>
            <w:tcW w:w="1024" w:type="dxa"/>
            <w:noWrap/>
            <w:vAlign w:val="center"/>
          </w:tcPr>
          <w:p>
            <w:pPr>
              <w:pStyle w:val="72"/>
            </w:pPr>
            <w:r>
              <w:t>1.158</w:t>
            </w:r>
          </w:p>
        </w:tc>
        <w:tc>
          <w:tcPr>
            <w:tcW w:w="1024" w:type="dxa"/>
            <w:noWrap/>
            <w:vAlign w:val="center"/>
          </w:tcPr>
          <w:p>
            <w:pPr>
              <w:pStyle w:val="72"/>
            </w:pPr>
            <w:r>
              <w:t>0.721</w:t>
            </w:r>
          </w:p>
        </w:tc>
        <w:tc>
          <w:tcPr>
            <w:tcW w:w="1024" w:type="dxa"/>
            <w:noWrap/>
            <w:vAlign w:val="center"/>
          </w:tcPr>
          <w:p>
            <w:pPr>
              <w:pStyle w:val="72"/>
            </w:pPr>
            <w:r>
              <w:t>0.459</w:t>
            </w:r>
          </w:p>
        </w:tc>
        <w:tc>
          <w:tcPr>
            <w:tcW w:w="1018" w:type="dxa"/>
            <w:noWrap/>
            <w:vAlign w:val="center"/>
          </w:tcPr>
          <w:p>
            <w:pPr>
              <w:pStyle w:val="72"/>
            </w:pPr>
            <w:r>
              <w:t>0.222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4" w:hRule="atLeast"/>
          <w:jc w:val="center"/>
        </w:trPr>
        <w:tc>
          <w:tcPr>
            <w:tcW w:w="2171" w:type="dxa"/>
            <w:gridSpan w:val="2"/>
            <w:noWrap/>
            <w:vAlign w:val="center"/>
          </w:tcPr>
          <w:p>
            <w:pPr>
              <w:pStyle w:val="72"/>
            </w:pPr>
            <w:r>
              <w:rPr>
                <w:rFonts w:hint="eastAsia"/>
              </w:rPr>
              <w:t>濉溪县</w:t>
            </w:r>
          </w:p>
        </w:tc>
        <w:tc>
          <w:tcPr>
            <w:tcW w:w="1862" w:type="dxa"/>
            <w:noWrap/>
            <w:vAlign w:val="center"/>
          </w:tcPr>
          <w:p>
            <w:pPr>
              <w:pStyle w:val="72"/>
            </w:pPr>
            <w:r>
              <w:t>3.140</w:t>
            </w:r>
          </w:p>
        </w:tc>
        <w:tc>
          <w:tcPr>
            <w:tcW w:w="805" w:type="dxa"/>
            <w:noWrap/>
            <w:vAlign w:val="center"/>
          </w:tcPr>
          <w:p>
            <w:pPr>
              <w:pStyle w:val="72"/>
            </w:pPr>
            <w:r>
              <w:t>0.592</w:t>
            </w:r>
          </w:p>
        </w:tc>
        <w:tc>
          <w:tcPr>
            <w:tcW w:w="862" w:type="dxa"/>
            <w:noWrap/>
            <w:vAlign w:val="center"/>
          </w:tcPr>
          <w:p>
            <w:pPr>
              <w:pStyle w:val="72"/>
            </w:pPr>
            <w:r>
              <w:t>2</w:t>
            </w:r>
          </w:p>
        </w:tc>
        <w:tc>
          <w:tcPr>
            <w:tcW w:w="1024" w:type="dxa"/>
            <w:noWrap/>
            <w:vAlign w:val="center"/>
          </w:tcPr>
          <w:p>
            <w:pPr>
              <w:pStyle w:val="72"/>
            </w:pPr>
            <w:r>
              <w:t>4.497</w:t>
            </w:r>
          </w:p>
        </w:tc>
        <w:tc>
          <w:tcPr>
            <w:tcW w:w="1024" w:type="dxa"/>
            <w:noWrap/>
            <w:vAlign w:val="center"/>
          </w:tcPr>
          <w:p>
            <w:pPr>
              <w:pStyle w:val="72"/>
            </w:pPr>
            <w:r>
              <w:t>2.787</w:t>
            </w:r>
          </w:p>
        </w:tc>
        <w:tc>
          <w:tcPr>
            <w:tcW w:w="1024" w:type="dxa"/>
            <w:noWrap/>
            <w:vAlign w:val="center"/>
          </w:tcPr>
          <w:p>
            <w:pPr>
              <w:pStyle w:val="72"/>
            </w:pPr>
            <w:r>
              <w:t>1.765</w:t>
            </w:r>
          </w:p>
        </w:tc>
        <w:tc>
          <w:tcPr>
            <w:tcW w:w="1018" w:type="dxa"/>
            <w:noWrap/>
            <w:vAlign w:val="center"/>
          </w:tcPr>
          <w:p>
            <w:pPr>
              <w:pStyle w:val="72"/>
            </w:pPr>
            <w:r>
              <w:t>0.835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4" w:hRule="atLeast"/>
          <w:jc w:val="center"/>
        </w:trPr>
        <w:tc>
          <w:tcPr>
            <w:tcW w:w="2171" w:type="dxa"/>
            <w:gridSpan w:val="2"/>
            <w:noWrap/>
            <w:vAlign w:val="center"/>
          </w:tcPr>
          <w:p>
            <w:pPr>
              <w:pStyle w:val="72"/>
            </w:pPr>
            <w:r>
              <w:rPr>
                <w:rFonts w:hint="eastAsia"/>
              </w:rPr>
              <w:t>淮北市</w:t>
            </w:r>
          </w:p>
        </w:tc>
        <w:tc>
          <w:tcPr>
            <w:tcW w:w="1862" w:type="dxa"/>
            <w:noWrap/>
            <w:vAlign w:val="center"/>
          </w:tcPr>
          <w:p>
            <w:pPr>
              <w:pStyle w:val="72"/>
            </w:pPr>
            <w:r>
              <w:t>3.951</w:t>
            </w:r>
          </w:p>
        </w:tc>
        <w:tc>
          <w:tcPr>
            <w:tcW w:w="805" w:type="dxa"/>
            <w:noWrap/>
            <w:vAlign w:val="center"/>
          </w:tcPr>
          <w:p>
            <w:pPr>
              <w:pStyle w:val="72"/>
            </w:pPr>
            <w:r>
              <w:t>0.591</w:t>
            </w:r>
          </w:p>
        </w:tc>
        <w:tc>
          <w:tcPr>
            <w:tcW w:w="862" w:type="dxa"/>
            <w:noWrap/>
            <w:vAlign w:val="center"/>
          </w:tcPr>
          <w:p>
            <w:pPr>
              <w:pStyle w:val="72"/>
            </w:pPr>
            <w:r>
              <w:t>2</w:t>
            </w:r>
          </w:p>
        </w:tc>
        <w:tc>
          <w:tcPr>
            <w:tcW w:w="1024" w:type="dxa"/>
            <w:noWrap/>
            <w:vAlign w:val="center"/>
          </w:tcPr>
          <w:p>
            <w:pPr>
              <w:pStyle w:val="72"/>
            </w:pPr>
            <w:r>
              <w:t>5.665</w:t>
            </w:r>
          </w:p>
        </w:tc>
        <w:tc>
          <w:tcPr>
            <w:tcW w:w="1024" w:type="dxa"/>
            <w:noWrap/>
            <w:vAlign w:val="center"/>
          </w:tcPr>
          <w:p>
            <w:pPr>
              <w:pStyle w:val="72"/>
            </w:pPr>
            <w:r>
              <w:t>3.505</w:t>
            </w:r>
          </w:p>
        </w:tc>
        <w:tc>
          <w:tcPr>
            <w:tcW w:w="1024" w:type="dxa"/>
            <w:noWrap/>
            <w:vAlign w:val="center"/>
          </w:tcPr>
          <w:p>
            <w:pPr>
              <w:pStyle w:val="72"/>
            </w:pPr>
            <w:r>
              <w:t>2.215</w:t>
            </w:r>
          </w:p>
        </w:tc>
        <w:tc>
          <w:tcPr>
            <w:tcW w:w="1018" w:type="dxa"/>
            <w:noWrap/>
            <w:vAlign w:val="center"/>
          </w:tcPr>
          <w:p>
            <w:pPr>
              <w:pStyle w:val="72"/>
            </w:pPr>
            <w:r>
              <w:t>1.041</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04" w:hRule="atLeast"/>
          <w:jc w:val="center"/>
        </w:trPr>
        <w:tc>
          <w:tcPr>
            <w:tcW w:w="775" w:type="dxa"/>
            <w:vMerge w:val="restart"/>
            <w:noWrap/>
            <w:vAlign w:val="center"/>
          </w:tcPr>
          <w:p>
            <w:pPr>
              <w:pStyle w:val="72"/>
            </w:pPr>
            <w:r>
              <w:rPr>
                <w:rFonts w:hint="eastAsia"/>
              </w:rPr>
              <w:t>流域</w:t>
            </w:r>
          </w:p>
          <w:p>
            <w:pPr>
              <w:pStyle w:val="72"/>
            </w:pPr>
            <w:r>
              <w:rPr>
                <w:rFonts w:hint="eastAsia"/>
              </w:rPr>
              <w:t>分区</w:t>
            </w:r>
          </w:p>
        </w:tc>
        <w:tc>
          <w:tcPr>
            <w:tcW w:w="1396" w:type="dxa"/>
            <w:vAlign w:val="center"/>
          </w:tcPr>
          <w:p>
            <w:pPr>
              <w:pStyle w:val="72"/>
            </w:pPr>
            <w:r>
              <w:rPr>
                <w:rFonts w:hint="eastAsia"/>
              </w:rPr>
              <w:t>北区</w:t>
            </w:r>
          </w:p>
        </w:tc>
        <w:tc>
          <w:tcPr>
            <w:tcW w:w="1862" w:type="dxa"/>
            <w:noWrap/>
            <w:vAlign w:val="center"/>
          </w:tcPr>
          <w:p>
            <w:pPr>
              <w:pStyle w:val="72"/>
            </w:pPr>
            <w:r>
              <w:t>0.994</w:t>
            </w:r>
          </w:p>
        </w:tc>
        <w:tc>
          <w:tcPr>
            <w:tcW w:w="805" w:type="dxa"/>
            <w:noWrap/>
            <w:vAlign w:val="center"/>
          </w:tcPr>
          <w:p>
            <w:pPr>
              <w:pStyle w:val="72"/>
            </w:pPr>
            <w:r>
              <w:t>0.589</w:t>
            </w:r>
          </w:p>
        </w:tc>
        <w:tc>
          <w:tcPr>
            <w:tcW w:w="862" w:type="dxa"/>
            <w:noWrap/>
            <w:vAlign w:val="center"/>
          </w:tcPr>
          <w:p>
            <w:pPr>
              <w:pStyle w:val="72"/>
            </w:pPr>
            <w:r>
              <w:t>2</w:t>
            </w:r>
          </w:p>
        </w:tc>
        <w:tc>
          <w:tcPr>
            <w:tcW w:w="1024" w:type="dxa"/>
            <w:noWrap/>
            <w:vAlign w:val="center"/>
          </w:tcPr>
          <w:p>
            <w:pPr>
              <w:pStyle w:val="72"/>
            </w:pPr>
            <w:r>
              <w:t>1.426</w:t>
            </w:r>
          </w:p>
        </w:tc>
        <w:tc>
          <w:tcPr>
            <w:tcW w:w="1024" w:type="dxa"/>
            <w:noWrap/>
            <w:vAlign w:val="center"/>
          </w:tcPr>
          <w:p>
            <w:pPr>
              <w:pStyle w:val="72"/>
            </w:pPr>
            <w:r>
              <w:t>0.885</w:t>
            </w:r>
          </w:p>
        </w:tc>
        <w:tc>
          <w:tcPr>
            <w:tcW w:w="1024" w:type="dxa"/>
            <w:noWrap/>
            <w:vAlign w:val="center"/>
          </w:tcPr>
          <w:p>
            <w:pPr>
              <w:pStyle w:val="72"/>
            </w:pPr>
            <w:r>
              <w:t>0.562</w:t>
            </w:r>
          </w:p>
        </w:tc>
        <w:tc>
          <w:tcPr>
            <w:tcW w:w="1018" w:type="dxa"/>
            <w:noWrap/>
            <w:vAlign w:val="center"/>
          </w:tcPr>
          <w:p>
            <w:pPr>
              <w:pStyle w:val="72"/>
            </w:pPr>
            <w:r>
              <w:t>0.264</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18" w:hRule="atLeast"/>
          <w:jc w:val="center"/>
        </w:trPr>
        <w:tc>
          <w:tcPr>
            <w:tcW w:w="775" w:type="dxa"/>
            <w:vMerge w:val="continue"/>
            <w:noWrap/>
            <w:vAlign w:val="center"/>
          </w:tcPr>
          <w:p>
            <w:pPr>
              <w:pStyle w:val="72"/>
            </w:pPr>
          </w:p>
        </w:tc>
        <w:tc>
          <w:tcPr>
            <w:tcW w:w="1396" w:type="dxa"/>
            <w:vAlign w:val="center"/>
          </w:tcPr>
          <w:p>
            <w:pPr>
              <w:pStyle w:val="72"/>
            </w:pPr>
            <w:r>
              <w:rPr>
                <w:rFonts w:hint="eastAsia"/>
              </w:rPr>
              <w:t>中区</w:t>
            </w:r>
          </w:p>
        </w:tc>
        <w:tc>
          <w:tcPr>
            <w:tcW w:w="1862" w:type="dxa"/>
            <w:noWrap/>
            <w:vAlign w:val="center"/>
          </w:tcPr>
          <w:p>
            <w:pPr>
              <w:pStyle w:val="72"/>
            </w:pPr>
            <w:r>
              <w:t>0.735</w:t>
            </w:r>
          </w:p>
        </w:tc>
        <w:tc>
          <w:tcPr>
            <w:tcW w:w="805" w:type="dxa"/>
            <w:noWrap/>
            <w:vAlign w:val="center"/>
          </w:tcPr>
          <w:p>
            <w:pPr>
              <w:pStyle w:val="72"/>
            </w:pPr>
            <w:r>
              <w:t>0.591</w:t>
            </w:r>
          </w:p>
        </w:tc>
        <w:tc>
          <w:tcPr>
            <w:tcW w:w="862" w:type="dxa"/>
            <w:noWrap/>
            <w:vAlign w:val="center"/>
          </w:tcPr>
          <w:p>
            <w:pPr>
              <w:pStyle w:val="72"/>
            </w:pPr>
            <w:r>
              <w:t>2</w:t>
            </w:r>
          </w:p>
        </w:tc>
        <w:tc>
          <w:tcPr>
            <w:tcW w:w="1024" w:type="dxa"/>
            <w:noWrap/>
            <w:vAlign w:val="center"/>
          </w:tcPr>
          <w:p>
            <w:pPr>
              <w:pStyle w:val="72"/>
            </w:pPr>
            <w:r>
              <w:t>1.055</w:t>
            </w:r>
          </w:p>
        </w:tc>
        <w:tc>
          <w:tcPr>
            <w:tcW w:w="1024" w:type="dxa"/>
            <w:noWrap/>
            <w:vAlign w:val="center"/>
          </w:tcPr>
          <w:p>
            <w:pPr>
              <w:pStyle w:val="72"/>
            </w:pPr>
            <w:r>
              <w:t>0.654</w:t>
            </w:r>
          </w:p>
        </w:tc>
        <w:tc>
          <w:tcPr>
            <w:tcW w:w="1024" w:type="dxa"/>
            <w:noWrap/>
            <w:vAlign w:val="center"/>
          </w:tcPr>
          <w:p>
            <w:pPr>
              <w:pStyle w:val="72"/>
            </w:pPr>
            <w:r>
              <w:t>0.415</w:t>
            </w:r>
          </w:p>
        </w:tc>
        <w:tc>
          <w:tcPr>
            <w:tcW w:w="1018" w:type="dxa"/>
            <w:noWrap/>
            <w:vAlign w:val="center"/>
          </w:tcPr>
          <w:p>
            <w:pPr>
              <w:pStyle w:val="72"/>
            </w:pPr>
            <w:r>
              <w:t>0.195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18" w:hRule="atLeast"/>
          <w:jc w:val="center"/>
        </w:trPr>
        <w:tc>
          <w:tcPr>
            <w:tcW w:w="775" w:type="dxa"/>
            <w:vMerge w:val="continue"/>
            <w:noWrap/>
            <w:vAlign w:val="center"/>
          </w:tcPr>
          <w:p>
            <w:pPr>
              <w:pStyle w:val="72"/>
            </w:pPr>
          </w:p>
        </w:tc>
        <w:tc>
          <w:tcPr>
            <w:tcW w:w="1396" w:type="dxa"/>
            <w:vAlign w:val="center"/>
          </w:tcPr>
          <w:p>
            <w:pPr>
              <w:pStyle w:val="72"/>
            </w:pPr>
            <w:r>
              <w:rPr>
                <w:rFonts w:hint="eastAsia"/>
              </w:rPr>
              <w:t>南区</w:t>
            </w:r>
          </w:p>
        </w:tc>
        <w:tc>
          <w:tcPr>
            <w:tcW w:w="1862" w:type="dxa"/>
            <w:noWrap/>
            <w:vAlign w:val="center"/>
          </w:tcPr>
          <w:p>
            <w:pPr>
              <w:pStyle w:val="72"/>
            </w:pPr>
            <w:r>
              <w:t>2.222</w:t>
            </w:r>
          </w:p>
        </w:tc>
        <w:tc>
          <w:tcPr>
            <w:tcW w:w="805" w:type="dxa"/>
            <w:noWrap/>
            <w:vAlign w:val="center"/>
          </w:tcPr>
          <w:p>
            <w:pPr>
              <w:pStyle w:val="72"/>
            </w:pPr>
            <w:r>
              <w:t>0.593</w:t>
            </w:r>
          </w:p>
        </w:tc>
        <w:tc>
          <w:tcPr>
            <w:tcW w:w="862" w:type="dxa"/>
            <w:noWrap/>
            <w:vAlign w:val="center"/>
          </w:tcPr>
          <w:p>
            <w:pPr>
              <w:pStyle w:val="72"/>
            </w:pPr>
            <w:r>
              <w:t>2</w:t>
            </w:r>
          </w:p>
        </w:tc>
        <w:tc>
          <w:tcPr>
            <w:tcW w:w="1024" w:type="dxa"/>
            <w:noWrap/>
            <w:vAlign w:val="center"/>
          </w:tcPr>
          <w:p>
            <w:pPr>
              <w:pStyle w:val="72"/>
            </w:pPr>
            <w:r>
              <w:t>3.193</w:t>
            </w:r>
          </w:p>
        </w:tc>
        <w:tc>
          <w:tcPr>
            <w:tcW w:w="1024" w:type="dxa"/>
            <w:noWrap/>
            <w:vAlign w:val="center"/>
          </w:tcPr>
          <w:p>
            <w:pPr>
              <w:pStyle w:val="72"/>
            </w:pPr>
            <w:r>
              <w:t>1.978</w:t>
            </w:r>
          </w:p>
        </w:tc>
        <w:tc>
          <w:tcPr>
            <w:tcW w:w="1024" w:type="dxa"/>
            <w:noWrap/>
            <w:vAlign w:val="center"/>
          </w:tcPr>
          <w:p>
            <w:pPr>
              <w:pStyle w:val="72"/>
            </w:pPr>
            <w:r>
              <w:t>1.252</w:t>
            </w:r>
          </w:p>
        </w:tc>
        <w:tc>
          <w:tcPr>
            <w:tcW w:w="1018" w:type="dxa"/>
            <w:noWrap/>
            <w:vAlign w:val="center"/>
          </w:tcPr>
          <w:p>
            <w:pPr>
              <w:pStyle w:val="72"/>
            </w:pPr>
            <w:r>
              <w:t>0.585</w:t>
            </w:r>
          </w:p>
        </w:tc>
      </w:tr>
    </w:tbl>
    <w:p>
      <w:pPr>
        <w:ind w:firstLine="560"/>
      </w:pPr>
      <w:r>
        <w:t>3</w:t>
      </w:r>
      <w:r>
        <w:rPr>
          <w:rFonts w:hint="eastAsia"/>
          <w:bCs/>
        </w:rPr>
        <w:t>、地下水资源量</w:t>
      </w:r>
    </w:p>
    <w:p>
      <w:pPr>
        <w:ind w:firstLine="560"/>
      </w:pPr>
      <w:r>
        <w:t>1</w:t>
      </w:r>
      <w:r>
        <w:rPr>
          <w:rFonts w:hint="eastAsia"/>
        </w:rPr>
        <w:t>）浅层地下水资源量</w:t>
      </w:r>
    </w:p>
    <w:p>
      <w:pPr>
        <w:ind w:firstLine="560"/>
      </w:pPr>
      <w:r>
        <w:rPr>
          <w:rFonts w:hint="eastAsia"/>
        </w:rPr>
        <w:t>淮北市总面积</w:t>
      </w:r>
      <w:r>
        <w:t>2741km</w:t>
      </w:r>
      <w:r>
        <w:rPr>
          <w:vertAlign w:val="superscript"/>
        </w:rPr>
        <w:t>2</w:t>
      </w:r>
      <w:r>
        <w:rPr>
          <w:rFonts w:hint="eastAsia"/>
        </w:rPr>
        <w:t>，其中山丘区面积</w:t>
      </w:r>
      <w:r>
        <w:t>128km</w:t>
      </w:r>
      <w:r>
        <w:rPr>
          <w:vertAlign w:val="superscript"/>
        </w:rPr>
        <w:t>2</w:t>
      </w:r>
      <w:r>
        <w:rPr>
          <w:rFonts w:hint="eastAsia"/>
        </w:rPr>
        <w:t>、占总面积的</w:t>
      </w:r>
      <w:r>
        <w:t>4.7%</w:t>
      </w:r>
      <w:r>
        <w:rPr>
          <w:rFonts w:hint="eastAsia"/>
        </w:rPr>
        <w:t>，平原区面积</w:t>
      </w:r>
      <w:r>
        <w:t>2613km</w:t>
      </w:r>
      <w:r>
        <w:rPr>
          <w:vertAlign w:val="superscript"/>
        </w:rPr>
        <w:t>2</w:t>
      </w:r>
      <w:r>
        <w:rPr>
          <w:rFonts w:hint="eastAsia"/>
        </w:rPr>
        <w:t>、占总面积的</w:t>
      </w:r>
      <w:r>
        <w:t>95.3%</w:t>
      </w:r>
      <w:r>
        <w:rPr>
          <w:rFonts w:hint="eastAsia"/>
        </w:rPr>
        <w:t>。</w:t>
      </w:r>
    </w:p>
    <w:p>
      <w:pPr>
        <w:snapToGrid w:val="0"/>
        <w:ind w:firstLine="560"/>
      </w:pPr>
      <w:r>
        <w:rPr>
          <w:rFonts w:hint="eastAsia"/>
        </w:rPr>
        <w:t>淮北市多年平均浅层地下水资源量为</w:t>
      </w:r>
      <w:r>
        <w:t>5.163</w:t>
      </w:r>
      <w:r>
        <w:rPr>
          <w:rFonts w:hint="eastAsia"/>
        </w:rPr>
        <w:t>亿</w:t>
      </w:r>
      <w:r>
        <w:t>m</w:t>
      </w:r>
      <w:r>
        <w:rPr>
          <w:vertAlign w:val="superscript"/>
        </w:rPr>
        <w:t>3</w:t>
      </w:r>
      <w:r>
        <w:rPr>
          <w:rFonts w:hint="eastAsia"/>
        </w:rPr>
        <w:t>，其中淮北城区为</w:t>
      </w:r>
      <w:r>
        <w:t>1.07</w:t>
      </w:r>
      <w:r>
        <w:rPr>
          <w:rFonts w:hint="eastAsia"/>
        </w:rPr>
        <w:t>亿</w:t>
      </w:r>
      <w:r>
        <w:t>m</w:t>
      </w:r>
      <w:r>
        <w:rPr>
          <w:vertAlign w:val="superscript"/>
        </w:rPr>
        <w:t>3</w:t>
      </w:r>
      <w:r>
        <w:rPr>
          <w:rFonts w:hint="eastAsia"/>
        </w:rPr>
        <w:t>，占总量的</w:t>
      </w:r>
      <w:r>
        <w:t>20.7%</w:t>
      </w:r>
      <w:r>
        <w:rPr>
          <w:rFonts w:hint="eastAsia"/>
        </w:rPr>
        <w:t>；濉溪县为</w:t>
      </w:r>
      <w:r>
        <w:t>4.093</w:t>
      </w:r>
      <w:r>
        <w:rPr>
          <w:rFonts w:hint="eastAsia"/>
        </w:rPr>
        <w:t>亿</w:t>
      </w:r>
      <w:r>
        <w:t>m</w:t>
      </w:r>
      <w:r>
        <w:rPr>
          <w:vertAlign w:val="superscript"/>
        </w:rPr>
        <w:t>3</w:t>
      </w:r>
      <w:r>
        <w:rPr>
          <w:rFonts w:hint="eastAsia"/>
        </w:rPr>
        <w:t>，占总量的</w:t>
      </w:r>
      <w:r>
        <w:t>79.3%</w:t>
      </w:r>
      <w:r>
        <w:rPr>
          <w:rFonts w:hint="eastAsia"/>
        </w:rPr>
        <w:t>。各分区浅层地下水资源量计算成果见表</w:t>
      </w:r>
      <w:r>
        <w:t>2-2</w:t>
      </w:r>
      <w:r>
        <w:rPr>
          <w:rFonts w:hint="eastAsia"/>
        </w:rPr>
        <w:t>。</w:t>
      </w:r>
    </w:p>
    <w:p>
      <w:pPr>
        <w:spacing w:before="120" w:beforeLines="50" w:line="300" w:lineRule="auto"/>
        <w:ind w:firstLine="0" w:firstLineChars="0"/>
        <w:jc w:val="center"/>
        <w:rPr>
          <w:rFonts w:ascii="宋体"/>
          <w:b/>
        </w:rPr>
      </w:pPr>
      <w:r>
        <w:rPr>
          <w:rFonts w:hint="eastAsia" w:ascii="宋体" w:hAnsi="宋体"/>
          <w:b/>
        </w:rPr>
        <w:t>表</w:t>
      </w:r>
      <w:r>
        <w:rPr>
          <w:b/>
          <w:bCs/>
          <w:color w:val="000000"/>
        </w:rPr>
        <w:t>2-2</w:t>
      </w:r>
      <w:r>
        <w:rPr>
          <w:rFonts w:ascii="宋体" w:hAnsi="宋体"/>
          <w:b/>
        </w:rPr>
        <w:t xml:space="preserve">  </w:t>
      </w:r>
      <w:r>
        <w:rPr>
          <w:rFonts w:hint="eastAsia" w:ascii="宋体" w:hAnsi="宋体"/>
          <w:b/>
        </w:rPr>
        <w:t>淮北市多年平均浅层地下水资源量计算成果表</w:t>
      </w:r>
      <w:r>
        <w:rPr>
          <w:rFonts w:ascii="宋体" w:hAnsi="宋体"/>
          <w:b/>
        </w:rPr>
        <w:t xml:space="preserve">  </w:t>
      </w:r>
      <w:r>
        <w:rPr>
          <w:rFonts w:hint="eastAsia" w:ascii="宋体" w:hAnsi="宋体"/>
          <w:b/>
        </w:rPr>
        <w:t>单位：亿</w:t>
      </w:r>
      <w:r>
        <w:rPr>
          <w:rFonts w:ascii="宋体" w:hAnsi="宋体"/>
          <w:b/>
        </w:rPr>
        <w:t>m</w:t>
      </w:r>
      <w:r>
        <w:rPr>
          <w:rFonts w:ascii="宋体" w:hAnsi="宋体"/>
          <w:b/>
          <w:vertAlign w:val="superscript"/>
        </w:rPr>
        <w:t>3</w:t>
      </w:r>
    </w:p>
    <w:tbl>
      <w:tblPr>
        <w:tblStyle w:val="39"/>
        <w:tblW w:w="9817"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50"/>
        <w:gridCol w:w="935"/>
        <w:gridCol w:w="2164"/>
        <w:gridCol w:w="2164"/>
        <w:gridCol w:w="1239"/>
        <w:gridCol w:w="1765"/>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73" w:hRule="atLeast"/>
          <w:jc w:val="center"/>
        </w:trPr>
        <w:tc>
          <w:tcPr>
            <w:tcW w:w="2485" w:type="dxa"/>
            <w:gridSpan w:val="2"/>
            <w:vAlign w:val="center"/>
          </w:tcPr>
          <w:p>
            <w:pPr>
              <w:pStyle w:val="72"/>
            </w:pPr>
            <w:r>
              <w:rPr>
                <w:rFonts w:hint="eastAsia"/>
              </w:rPr>
              <w:t>分区</w:t>
            </w:r>
          </w:p>
        </w:tc>
        <w:tc>
          <w:tcPr>
            <w:tcW w:w="2164" w:type="dxa"/>
            <w:vAlign w:val="center"/>
          </w:tcPr>
          <w:p>
            <w:pPr>
              <w:pStyle w:val="72"/>
            </w:pPr>
            <w:r>
              <w:rPr>
                <w:rFonts w:hint="eastAsia"/>
              </w:rPr>
              <w:t>平原区</w:t>
            </w:r>
          </w:p>
          <w:p>
            <w:pPr>
              <w:pStyle w:val="72"/>
            </w:pPr>
            <w:r>
              <w:rPr>
                <w:rFonts w:hint="eastAsia"/>
              </w:rPr>
              <w:t>地下水资源量</w:t>
            </w:r>
          </w:p>
        </w:tc>
        <w:tc>
          <w:tcPr>
            <w:tcW w:w="2164" w:type="dxa"/>
            <w:vAlign w:val="center"/>
          </w:tcPr>
          <w:p>
            <w:pPr>
              <w:pStyle w:val="72"/>
            </w:pPr>
            <w:r>
              <w:rPr>
                <w:rFonts w:hint="eastAsia"/>
              </w:rPr>
              <w:t>山丘区</w:t>
            </w:r>
          </w:p>
          <w:p>
            <w:pPr>
              <w:pStyle w:val="72"/>
            </w:pPr>
            <w:r>
              <w:rPr>
                <w:rFonts w:hint="eastAsia"/>
              </w:rPr>
              <w:t>地下水资源量</w:t>
            </w:r>
          </w:p>
        </w:tc>
        <w:tc>
          <w:tcPr>
            <w:tcW w:w="1239" w:type="dxa"/>
            <w:vAlign w:val="center"/>
          </w:tcPr>
          <w:p>
            <w:pPr>
              <w:pStyle w:val="72"/>
            </w:pPr>
            <w:r>
              <w:rPr>
                <w:rFonts w:hint="eastAsia"/>
              </w:rPr>
              <w:t>重复量</w:t>
            </w:r>
          </w:p>
        </w:tc>
        <w:tc>
          <w:tcPr>
            <w:tcW w:w="1765" w:type="dxa"/>
            <w:vAlign w:val="center"/>
          </w:tcPr>
          <w:p>
            <w:pPr>
              <w:pStyle w:val="72"/>
            </w:pPr>
            <w:r>
              <w:rPr>
                <w:rFonts w:hint="eastAsia"/>
              </w:rPr>
              <w:t>地下水资源量</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3" w:hRule="atLeast"/>
          <w:jc w:val="center"/>
        </w:trPr>
        <w:tc>
          <w:tcPr>
            <w:tcW w:w="2485" w:type="dxa"/>
            <w:gridSpan w:val="2"/>
            <w:vAlign w:val="center"/>
          </w:tcPr>
          <w:p>
            <w:pPr>
              <w:pStyle w:val="72"/>
            </w:pPr>
            <w:r>
              <w:rPr>
                <w:rFonts w:hint="eastAsia"/>
              </w:rPr>
              <w:t>淮北城区</w:t>
            </w:r>
          </w:p>
        </w:tc>
        <w:tc>
          <w:tcPr>
            <w:tcW w:w="2164" w:type="dxa"/>
            <w:vAlign w:val="center"/>
          </w:tcPr>
          <w:p>
            <w:pPr>
              <w:pStyle w:val="72"/>
            </w:pPr>
            <w:r>
              <w:t>0.954</w:t>
            </w:r>
          </w:p>
        </w:tc>
        <w:tc>
          <w:tcPr>
            <w:tcW w:w="2164" w:type="dxa"/>
            <w:vAlign w:val="center"/>
          </w:tcPr>
          <w:p>
            <w:pPr>
              <w:pStyle w:val="72"/>
            </w:pPr>
            <w:r>
              <w:t>0.21</w:t>
            </w:r>
          </w:p>
        </w:tc>
        <w:tc>
          <w:tcPr>
            <w:tcW w:w="1239" w:type="dxa"/>
            <w:vAlign w:val="center"/>
          </w:tcPr>
          <w:p>
            <w:pPr>
              <w:pStyle w:val="72"/>
            </w:pPr>
            <w:r>
              <w:t>0.094</w:t>
            </w:r>
          </w:p>
        </w:tc>
        <w:tc>
          <w:tcPr>
            <w:tcW w:w="1765" w:type="dxa"/>
            <w:vAlign w:val="center"/>
          </w:tcPr>
          <w:p>
            <w:pPr>
              <w:pStyle w:val="72"/>
            </w:pPr>
            <w:r>
              <w:t>1.07</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3" w:hRule="atLeast"/>
          <w:jc w:val="center"/>
        </w:trPr>
        <w:tc>
          <w:tcPr>
            <w:tcW w:w="2485" w:type="dxa"/>
            <w:gridSpan w:val="2"/>
            <w:vAlign w:val="center"/>
          </w:tcPr>
          <w:p>
            <w:pPr>
              <w:pStyle w:val="72"/>
            </w:pPr>
            <w:r>
              <w:rPr>
                <w:rFonts w:hint="eastAsia"/>
              </w:rPr>
              <w:t>濉溪县</w:t>
            </w:r>
          </w:p>
        </w:tc>
        <w:tc>
          <w:tcPr>
            <w:tcW w:w="2164" w:type="dxa"/>
            <w:vAlign w:val="center"/>
          </w:tcPr>
          <w:p>
            <w:pPr>
              <w:pStyle w:val="72"/>
            </w:pPr>
            <w:r>
              <w:t>4.093</w:t>
            </w:r>
          </w:p>
        </w:tc>
        <w:tc>
          <w:tcPr>
            <w:tcW w:w="2164" w:type="dxa"/>
            <w:vAlign w:val="center"/>
          </w:tcPr>
          <w:p>
            <w:pPr>
              <w:pStyle w:val="72"/>
            </w:pPr>
            <w:r>
              <w:t>/</w:t>
            </w:r>
          </w:p>
        </w:tc>
        <w:tc>
          <w:tcPr>
            <w:tcW w:w="1239" w:type="dxa"/>
            <w:vAlign w:val="center"/>
          </w:tcPr>
          <w:p>
            <w:pPr>
              <w:pStyle w:val="72"/>
            </w:pPr>
            <w:r>
              <w:t>/</w:t>
            </w:r>
          </w:p>
        </w:tc>
        <w:tc>
          <w:tcPr>
            <w:tcW w:w="1765" w:type="dxa"/>
            <w:vAlign w:val="center"/>
          </w:tcPr>
          <w:p>
            <w:pPr>
              <w:pStyle w:val="72"/>
            </w:pPr>
            <w:r>
              <w:t>4.093</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2485" w:type="dxa"/>
            <w:gridSpan w:val="2"/>
            <w:vAlign w:val="center"/>
          </w:tcPr>
          <w:p>
            <w:pPr>
              <w:pStyle w:val="72"/>
            </w:pPr>
            <w:r>
              <w:rPr>
                <w:rFonts w:hint="eastAsia"/>
              </w:rPr>
              <w:t>淮北市</w:t>
            </w:r>
          </w:p>
        </w:tc>
        <w:tc>
          <w:tcPr>
            <w:tcW w:w="2164" w:type="dxa"/>
            <w:vAlign w:val="center"/>
          </w:tcPr>
          <w:p>
            <w:pPr>
              <w:pStyle w:val="72"/>
            </w:pPr>
            <w:r>
              <w:t>5.047</w:t>
            </w:r>
          </w:p>
        </w:tc>
        <w:tc>
          <w:tcPr>
            <w:tcW w:w="2164" w:type="dxa"/>
            <w:vAlign w:val="center"/>
          </w:tcPr>
          <w:p>
            <w:pPr>
              <w:pStyle w:val="72"/>
            </w:pPr>
            <w:r>
              <w:t>0.21</w:t>
            </w:r>
          </w:p>
        </w:tc>
        <w:tc>
          <w:tcPr>
            <w:tcW w:w="1239" w:type="dxa"/>
            <w:vAlign w:val="center"/>
          </w:tcPr>
          <w:p>
            <w:pPr>
              <w:pStyle w:val="72"/>
            </w:pPr>
            <w:r>
              <w:t>0.094</w:t>
            </w:r>
          </w:p>
        </w:tc>
        <w:tc>
          <w:tcPr>
            <w:tcW w:w="1765" w:type="dxa"/>
            <w:vAlign w:val="center"/>
          </w:tcPr>
          <w:p>
            <w:pPr>
              <w:pStyle w:val="72"/>
            </w:pPr>
            <w:r>
              <w:t>5.163</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43" w:hRule="atLeast"/>
          <w:jc w:val="center"/>
        </w:trPr>
        <w:tc>
          <w:tcPr>
            <w:tcW w:w="1550" w:type="dxa"/>
            <w:vMerge w:val="restart"/>
            <w:vAlign w:val="center"/>
          </w:tcPr>
          <w:p>
            <w:pPr>
              <w:pStyle w:val="72"/>
            </w:pPr>
            <w:r>
              <w:rPr>
                <w:rFonts w:hint="eastAsia"/>
              </w:rPr>
              <w:t>流域分区</w:t>
            </w:r>
          </w:p>
        </w:tc>
        <w:tc>
          <w:tcPr>
            <w:tcW w:w="935" w:type="dxa"/>
            <w:vAlign w:val="center"/>
          </w:tcPr>
          <w:p>
            <w:pPr>
              <w:pStyle w:val="72"/>
            </w:pPr>
            <w:r>
              <w:rPr>
                <w:rFonts w:hint="eastAsia"/>
              </w:rPr>
              <w:t>北区</w:t>
            </w:r>
          </w:p>
        </w:tc>
        <w:tc>
          <w:tcPr>
            <w:tcW w:w="2164" w:type="dxa"/>
            <w:vAlign w:val="center"/>
          </w:tcPr>
          <w:p>
            <w:pPr>
              <w:pStyle w:val="72"/>
            </w:pPr>
            <w:r>
              <w:t>1.182</w:t>
            </w:r>
          </w:p>
        </w:tc>
        <w:tc>
          <w:tcPr>
            <w:tcW w:w="2164" w:type="dxa"/>
            <w:vAlign w:val="center"/>
          </w:tcPr>
          <w:p>
            <w:pPr>
              <w:pStyle w:val="72"/>
            </w:pPr>
            <w:r>
              <w:t>0.21</w:t>
            </w:r>
          </w:p>
        </w:tc>
        <w:tc>
          <w:tcPr>
            <w:tcW w:w="1239" w:type="dxa"/>
            <w:vAlign w:val="center"/>
          </w:tcPr>
          <w:p>
            <w:pPr>
              <w:pStyle w:val="72"/>
            </w:pPr>
            <w:r>
              <w:t>0.094</w:t>
            </w:r>
          </w:p>
        </w:tc>
        <w:tc>
          <w:tcPr>
            <w:tcW w:w="1765" w:type="dxa"/>
            <w:vAlign w:val="center"/>
          </w:tcPr>
          <w:p>
            <w:pPr>
              <w:pStyle w:val="72"/>
            </w:pPr>
            <w:r>
              <w:t>1.298</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55" w:hRule="atLeast"/>
          <w:jc w:val="center"/>
        </w:trPr>
        <w:tc>
          <w:tcPr>
            <w:tcW w:w="1550" w:type="dxa"/>
            <w:vMerge w:val="continue"/>
            <w:vAlign w:val="center"/>
          </w:tcPr>
          <w:p>
            <w:pPr>
              <w:pStyle w:val="72"/>
            </w:pPr>
          </w:p>
        </w:tc>
        <w:tc>
          <w:tcPr>
            <w:tcW w:w="935" w:type="dxa"/>
            <w:vAlign w:val="center"/>
          </w:tcPr>
          <w:p>
            <w:pPr>
              <w:pStyle w:val="72"/>
            </w:pPr>
            <w:r>
              <w:rPr>
                <w:rFonts w:hint="eastAsia"/>
              </w:rPr>
              <w:t>中区</w:t>
            </w:r>
          </w:p>
        </w:tc>
        <w:tc>
          <w:tcPr>
            <w:tcW w:w="2164" w:type="dxa"/>
            <w:vAlign w:val="center"/>
          </w:tcPr>
          <w:p>
            <w:pPr>
              <w:pStyle w:val="72"/>
            </w:pPr>
            <w:r>
              <w:t>0.986</w:t>
            </w:r>
          </w:p>
        </w:tc>
        <w:tc>
          <w:tcPr>
            <w:tcW w:w="2164" w:type="dxa"/>
            <w:vAlign w:val="center"/>
          </w:tcPr>
          <w:p>
            <w:pPr>
              <w:pStyle w:val="72"/>
            </w:pPr>
            <w:r>
              <w:t>/</w:t>
            </w:r>
          </w:p>
        </w:tc>
        <w:tc>
          <w:tcPr>
            <w:tcW w:w="1239" w:type="dxa"/>
            <w:vAlign w:val="center"/>
          </w:tcPr>
          <w:p>
            <w:pPr>
              <w:pStyle w:val="72"/>
            </w:pPr>
            <w:r>
              <w:t>/</w:t>
            </w:r>
          </w:p>
        </w:tc>
        <w:tc>
          <w:tcPr>
            <w:tcW w:w="1765" w:type="dxa"/>
            <w:vAlign w:val="center"/>
          </w:tcPr>
          <w:p>
            <w:pPr>
              <w:pStyle w:val="72"/>
            </w:pPr>
            <w:r>
              <w:t>0.986</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55" w:hRule="atLeast"/>
          <w:jc w:val="center"/>
        </w:trPr>
        <w:tc>
          <w:tcPr>
            <w:tcW w:w="1550" w:type="dxa"/>
            <w:vMerge w:val="continue"/>
            <w:vAlign w:val="center"/>
          </w:tcPr>
          <w:p>
            <w:pPr>
              <w:pStyle w:val="72"/>
            </w:pPr>
          </w:p>
        </w:tc>
        <w:tc>
          <w:tcPr>
            <w:tcW w:w="935" w:type="dxa"/>
            <w:vAlign w:val="center"/>
          </w:tcPr>
          <w:p>
            <w:pPr>
              <w:pStyle w:val="72"/>
            </w:pPr>
            <w:r>
              <w:rPr>
                <w:rFonts w:hint="eastAsia"/>
              </w:rPr>
              <w:t>南区</w:t>
            </w:r>
          </w:p>
        </w:tc>
        <w:tc>
          <w:tcPr>
            <w:tcW w:w="2164" w:type="dxa"/>
            <w:vAlign w:val="center"/>
          </w:tcPr>
          <w:p>
            <w:pPr>
              <w:pStyle w:val="72"/>
            </w:pPr>
            <w:r>
              <w:t>2.879</w:t>
            </w:r>
          </w:p>
        </w:tc>
        <w:tc>
          <w:tcPr>
            <w:tcW w:w="2164" w:type="dxa"/>
            <w:vAlign w:val="center"/>
          </w:tcPr>
          <w:p>
            <w:pPr>
              <w:pStyle w:val="72"/>
            </w:pPr>
            <w:r>
              <w:t>/</w:t>
            </w:r>
          </w:p>
        </w:tc>
        <w:tc>
          <w:tcPr>
            <w:tcW w:w="1239" w:type="dxa"/>
            <w:vAlign w:val="center"/>
          </w:tcPr>
          <w:p>
            <w:pPr>
              <w:pStyle w:val="72"/>
            </w:pPr>
            <w:r>
              <w:t>/</w:t>
            </w:r>
          </w:p>
        </w:tc>
        <w:tc>
          <w:tcPr>
            <w:tcW w:w="1765" w:type="dxa"/>
            <w:vAlign w:val="center"/>
          </w:tcPr>
          <w:p>
            <w:pPr>
              <w:pStyle w:val="72"/>
            </w:pPr>
            <w:r>
              <w:t>2.879</w:t>
            </w:r>
          </w:p>
        </w:tc>
      </w:tr>
    </w:tbl>
    <w:p>
      <w:pPr>
        <w:ind w:firstLine="560"/>
      </w:pPr>
      <w:r>
        <w:t>2</w:t>
      </w:r>
      <w:r>
        <w:rPr>
          <w:rFonts w:hint="eastAsia"/>
        </w:rPr>
        <w:t>）岩溶水资源量</w:t>
      </w:r>
    </w:p>
    <w:p>
      <w:pPr>
        <w:ind w:firstLine="560"/>
      </w:pPr>
      <w:r>
        <w:rPr>
          <w:rFonts w:hint="eastAsia"/>
        </w:rPr>
        <w:t>用水均衡法计算，淮北市岩溶水资源量为</w:t>
      </w:r>
      <w:r>
        <w:t>11548</w:t>
      </w:r>
      <w:r>
        <w:rPr>
          <w:rFonts w:hint="eastAsia"/>
        </w:rPr>
        <w:t>万</w:t>
      </w:r>
      <w:r>
        <w:t>m</w:t>
      </w:r>
      <w:r>
        <w:rPr>
          <w:vertAlign w:val="superscript"/>
        </w:rPr>
        <w:t>3</w:t>
      </w:r>
      <w:r>
        <w:t>/a</w:t>
      </w:r>
      <w:r>
        <w:rPr>
          <w:rFonts w:hint="eastAsia"/>
        </w:rPr>
        <w:t>、折合</w:t>
      </w:r>
      <w:r>
        <w:t>31.6</w:t>
      </w:r>
      <w:r>
        <w:rPr>
          <w:rFonts w:hint="eastAsia"/>
        </w:rPr>
        <w:t>万</w:t>
      </w:r>
      <w:r>
        <w:t>m</w:t>
      </w:r>
      <w:r>
        <w:rPr>
          <w:vertAlign w:val="superscript"/>
        </w:rPr>
        <w:t>3</w:t>
      </w:r>
      <w:r>
        <w:t>/d</w:t>
      </w:r>
      <w:r>
        <w:rPr>
          <w:rFonts w:hint="eastAsia"/>
        </w:rPr>
        <w:t>，其中降雨入渗补给量、越流补给量、侧向补给量分别占水资源量的</w:t>
      </w:r>
      <w:r>
        <w:t>33.7%</w:t>
      </w:r>
      <w:r>
        <w:rPr>
          <w:rFonts w:hint="eastAsia"/>
        </w:rPr>
        <w:t>、</w:t>
      </w:r>
      <w:r>
        <w:t>56.8%</w:t>
      </w:r>
      <w:r>
        <w:rPr>
          <w:rFonts w:hint="eastAsia"/>
        </w:rPr>
        <w:t>、</w:t>
      </w:r>
      <w:r>
        <w:t>9.6%</w:t>
      </w:r>
      <w:r>
        <w:rPr>
          <w:rFonts w:hint="eastAsia"/>
        </w:rPr>
        <w:t>。</w:t>
      </w:r>
    </w:p>
    <w:p>
      <w:pPr>
        <w:ind w:firstLine="560"/>
      </w:pPr>
      <w:r>
        <w:t>3</w:t>
      </w:r>
      <w:r>
        <w:rPr>
          <w:rFonts w:hint="eastAsia"/>
        </w:rPr>
        <w:t>）中深层孔隙水资源量</w:t>
      </w:r>
    </w:p>
    <w:p>
      <w:pPr>
        <w:ind w:firstLine="560"/>
      </w:pPr>
      <w:r>
        <w:rPr>
          <w:rFonts w:hint="eastAsia"/>
        </w:rPr>
        <w:t>淮北市中深层孔隙地下水主要分布于肖濉新河西南广大平原地区，呈</w:t>
      </w:r>
      <w:r>
        <w:t>NW-SE</w:t>
      </w:r>
      <w:r>
        <w:rPr>
          <w:rFonts w:hint="eastAsia"/>
        </w:rPr>
        <w:t>向的</w:t>
      </w:r>
      <w:r>
        <w:t>5</w:t>
      </w:r>
      <w:r>
        <w:rPr>
          <w:rFonts w:hint="eastAsia"/>
        </w:rPr>
        <w:t>个古河道方式分布。中深层孔隙水资源量共计</w:t>
      </w:r>
      <w:r>
        <w:t>5481.9</w:t>
      </w:r>
      <w:r>
        <w:rPr>
          <w:rFonts w:hint="eastAsia"/>
        </w:rPr>
        <w:t>万</w:t>
      </w:r>
      <w:r>
        <w:t>m</w:t>
      </w:r>
      <w:r>
        <w:rPr>
          <w:vertAlign w:val="superscript"/>
        </w:rPr>
        <w:t>3</w:t>
      </w:r>
      <w:r>
        <w:t>/a</w:t>
      </w:r>
      <w:r>
        <w:rPr>
          <w:rFonts w:hint="eastAsia"/>
        </w:rPr>
        <w:t>、折合近</w:t>
      </w:r>
      <w:r>
        <w:t>15.0</w:t>
      </w:r>
      <w:r>
        <w:rPr>
          <w:rFonts w:hint="eastAsia"/>
        </w:rPr>
        <w:t>万</w:t>
      </w:r>
      <w:r>
        <w:t>m</w:t>
      </w:r>
      <w:r>
        <w:rPr>
          <w:vertAlign w:val="superscript"/>
        </w:rPr>
        <w:t>3</w:t>
      </w:r>
      <w:r>
        <w:t>/d</w:t>
      </w:r>
      <w:r>
        <w:rPr>
          <w:rFonts w:hint="eastAsia"/>
        </w:rPr>
        <w:t>，其中越流补给量、弹性释放量、侧向补给量分别占中深层孔隙地下水资源量的</w:t>
      </w:r>
      <w:r>
        <w:t>90.8%</w:t>
      </w:r>
      <w:r>
        <w:rPr>
          <w:rFonts w:hint="eastAsia"/>
        </w:rPr>
        <w:t>、</w:t>
      </w:r>
      <w:r>
        <w:t>7.2%</w:t>
      </w:r>
      <w:r>
        <w:rPr>
          <w:rFonts w:hint="eastAsia"/>
        </w:rPr>
        <w:t>、</w:t>
      </w:r>
      <w:r>
        <w:t>2.0%</w:t>
      </w:r>
      <w:r>
        <w:rPr>
          <w:rFonts w:hint="eastAsia"/>
        </w:rPr>
        <w:t>。</w:t>
      </w:r>
    </w:p>
    <w:p>
      <w:pPr>
        <w:ind w:firstLine="560"/>
      </w:pPr>
      <w:r>
        <w:t>4</w:t>
      </w:r>
      <w:r>
        <w:rPr>
          <w:rFonts w:hint="eastAsia"/>
        </w:rPr>
        <w:t>、水资源总量</w:t>
      </w:r>
    </w:p>
    <w:p>
      <w:pPr>
        <w:spacing w:before="120" w:beforeLines="50" w:line="300" w:lineRule="auto"/>
        <w:ind w:firstLine="560"/>
      </w:pPr>
      <w:r>
        <w:rPr>
          <w:rFonts w:hint="eastAsia"/>
        </w:rPr>
        <w:t>淮北市水资源总量计算成果见表</w:t>
      </w:r>
      <w:r>
        <w:t>2-3</w:t>
      </w:r>
      <w:r>
        <w:rPr>
          <w:rFonts w:hint="eastAsia"/>
        </w:rPr>
        <w:t>。</w:t>
      </w:r>
    </w:p>
    <w:p>
      <w:pPr>
        <w:spacing w:before="120" w:beforeLines="50" w:line="300" w:lineRule="auto"/>
        <w:ind w:firstLine="562"/>
        <w:jc w:val="center"/>
        <w:rPr>
          <w:rFonts w:ascii="宋体"/>
          <w:b/>
        </w:rPr>
      </w:pPr>
      <w:r>
        <w:rPr>
          <w:rFonts w:hint="eastAsia" w:ascii="宋体" w:hAnsi="宋体"/>
          <w:b/>
        </w:rPr>
        <w:t>表</w:t>
      </w:r>
      <w:r>
        <w:rPr>
          <w:rFonts w:ascii="宋体" w:hAnsi="宋体"/>
          <w:b/>
        </w:rPr>
        <w:t xml:space="preserve">2-3   </w:t>
      </w:r>
      <w:r>
        <w:rPr>
          <w:rFonts w:hint="eastAsia" w:ascii="宋体" w:hAnsi="宋体"/>
          <w:b/>
        </w:rPr>
        <w:t>淮北市多年平均水资源总量计算成果表</w:t>
      </w:r>
      <w:r>
        <w:rPr>
          <w:rFonts w:ascii="宋体" w:hAnsi="宋体"/>
          <w:b/>
        </w:rPr>
        <w:t xml:space="preserve">  </w:t>
      </w:r>
      <w:r>
        <w:rPr>
          <w:rFonts w:hint="eastAsia" w:ascii="宋体" w:hAnsi="宋体"/>
          <w:b/>
        </w:rPr>
        <w:t>单位：亿</w:t>
      </w:r>
      <w:r>
        <w:rPr>
          <w:rFonts w:ascii="宋体" w:hAnsi="宋体"/>
          <w:b/>
        </w:rPr>
        <w:t>m</w:t>
      </w:r>
      <w:r>
        <w:rPr>
          <w:rFonts w:ascii="宋体" w:hAnsi="宋体"/>
          <w:b/>
          <w:vertAlign w:val="superscript"/>
        </w:rPr>
        <w:t>3</w:t>
      </w:r>
    </w:p>
    <w:tbl>
      <w:tblPr>
        <w:tblStyle w:val="39"/>
        <w:tblW w:w="9976"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653"/>
        <w:gridCol w:w="942"/>
        <w:gridCol w:w="924"/>
        <w:gridCol w:w="928"/>
        <w:gridCol w:w="924"/>
        <w:gridCol w:w="924"/>
        <w:gridCol w:w="928"/>
        <w:gridCol w:w="1508"/>
        <w:gridCol w:w="1002"/>
        <w:gridCol w:w="1243"/>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92" w:hRule="atLeast"/>
          <w:jc w:val="center"/>
        </w:trPr>
        <w:tc>
          <w:tcPr>
            <w:tcW w:w="1595" w:type="dxa"/>
            <w:gridSpan w:val="2"/>
            <w:vMerge w:val="restart"/>
            <w:vAlign w:val="center"/>
          </w:tcPr>
          <w:p>
            <w:pPr>
              <w:pStyle w:val="72"/>
            </w:pPr>
            <w:r>
              <w:rPr>
                <w:rFonts w:hint="eastAsia"/>
              </w:rPr>
              <w:t>分区</w:t>
            </w:r>
          </w:p>
        </w:tc>
        <w:tc>
          <w:tcPr>
            <w:tcW w:w="1852" w:type="dxa"/>
            <w:gridSpan w:val="2"/>
            <w:vAlign w:val="center"/>
          </w:tcPr>
          <w:p>
            <w:pPr>
              <w:pStyle w:val="72"/>
            </w:pPr>
            <w:r>
              <w:rPr>
                <w:rFonts w:hint="eastAsia"/>
              </w:rPr>
              <w:t>地表</w:t>
            </w:r>
          </w:p>
          <w:p>
            <w:pPr>
              <w:pStyle w:val="72"/>
            </w:pPr>
            <w:r>
              <w:rPr>
                <w:rFonts w:hint="eastAsia"/>
              </w:rPr>
              <w:t>水资源量</w:t>
            </w:r>
          </w:p>
        </w:tc>
        <w:tc>
          <w:tcPr>
            <w:tcW w:w="2776" w:type="dxa"/>
            <w:gridSpan w:val="3"/>
            <w:vAlign w:val="center"/>
          </w:tcPr>
          <w:p>
            <w:pPr>
              <w:pStyle w:val="72"/>
            </w:pPr>
            <w:r>
              <w:rPr>
                <w:rFonts w:hint="eastAsia"/>
              </w:rPr>
              <w:t>浅层地下水</w:t>
            </w:r>
          </w:p>
          <w:p>
            <w:pPr>
              <w:pStyle w:val="72"/>
            </w:pPr>
            <w:r>
              <w:rPr>
                <w:rFonts w:hint="eastAsia"/>
              </w:rPr>
              <w:t>降雨入渗补给量</w:t>
            </w:r>
          </w:p>
        </w:tc>
        <w:tc>
          <w:tcPr>
            <w:tcW w:w="1508" w:type="dxa"/>
            <w:vMerge w:val="restart"/>
            <w:vAlign w:val="center"/>
          </w:tcPr>
          <w:p>
            <w:pPr>
              <w:pStyle w:val="72"/>
            </w:pPr>
            <w:r>
              <w:rPr>
                <w:rFonts w:hint="eastAsia"/>
              </w:rPr>
              <w:t>岩溶裂隙水降雨入渗补给量</w:t>
            </w:r>
          </w:p>
        </w:tc>
        <w:tc>
          <w:tcPr>
            <w:tcW w:w="1002" w:type="dxa"/>
            <w:vMerge w:val="restart"/>
            <w:vAlign w:val="center"/>
          </w:tcPr>
          <w:p>
            <w:pPr>
              <w:pStyle w:val="72"/>
            </w:pPr>
            <w:r>
              <w:rPr>
                <w:rFonts w:hint="eastAsia"/>
              </w:rPr>
              <w:t>重复量</w:t>
            </w:r>
          </w:p>
        </w:tc>
        <w:tc>
          <w:tcPr>
            <w:tcW w:w="1243" w:type="dxa"/>
            <w:vMerge w:val="restart"/>
            <w:vAlign w:val="center"/>
          </w:tcPr>
          <w:p>
            <w:pPr>
              <w:pStyle w:val="72"/>
            </w:pPr>
            <w:r>
              <w:rPr>
                <w:rFonts w:hint="eastAsia"/>
              </w:rPr>
              <w:t>水资源</w:t>
            </w:r>
          </w:p>
          <w:p>
            <w:pPr>
              <w:pStyle w:val="72"/>
            </w:pPr>
            <w:r>
              <w:rPr>
                <w:rFonts w:hint="eastAsia"/>
              </w:rPr>
              <w:t>总量</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9" w:hRule="atLeast"/>
          <w:jc w:val="center"/>
        </w:trPr>
        <w:tc>
          <w:tcPr>
            <w:tcW w:w="1595" w:type="dxa"/>
            <w:gridSpan w:val="2"/>
            <w:vMerge w:val="continue"/>
            <w:vAlign w:val="center"/>
          </w:tcPr>
          <w:p>
            <w:pPr>
              <w:pStyle w:val="72"/>
            </w:pPr>
          </w:p>
        </w:tc>
        <w:tc>
          <w:tcPr>
            <w:tcW w:w="924" w:type="dxa"/>
            <w:vAlign w:val="center"/>
          </w:tcPr>
          <w:p>
            <w:pPr>
              <w:pStyle w:val="72"/>
            </w:pPr>
            <w:r>
              <w:t>mm</w:t>
            </w:r>
          </w:p>
        </w:tc>
        <w:tc>
          <w:tcPr>
            <w:tcW w:w="928" w:type="dxa"/>
            <w:vAlign w:val="center"/>
          </w:tcPr>
          <w:p>
            <w:pPr>
              <w:pStyle w:val="72"/>
            </w:pPr>
            <w:r>
              <w:rPr>
                <w:rFonts w:hint="eastAsia"/>
              </w:rPr>
              <w:t>亿</w:t>
            </w:r>
            <w:r>
              <w:t>m</w:t>
            </w:r>
            <w:r>
              <w:rPr>
                <w:vertAlign w:val="superscript"/>
              </w:rPr>
              <w:t>3</w:t>
            </w:r>
          </w:p>
        </w:tc>
        <w:tc>
          <w:tcPr>
            <w:tcW w:w="924" w:type="dxa"/>
            <w:vAlign w:val="center"/>
          </w:tcPr>
          <w:p>
            <w:pPr>
              <w:pStyle w:val="72"/>
            </w:pPr>
            <w:r>
              <w:rPr>
                <w:rFonts w:hint="eastAsia"/>
              </w:rPr>
              <w:t>平原</w:t>
            </w:r>
          </w:p>
        </w:tc>
        <w:tc>
          <w:tcPr>
            <w:tcW w:w="924" w:type="dxa"/>
            <w:vAlign w:val="center"/>
          </w:tcPr>
          <w:p>
            <w:pPr>
              <w:pStyle w:val="72"/>
            </w:pPr>
            <w:r>
              <w:rPr>
                <w:rFonts w:hint="eastAsia"/>
              </w:rPr>
              <w:t>山区</w:t>
            </w:r>
          </w:p>
        </w:tc>
        <w:tc>
          <w:tcPr>
            <w:tcW w:w="928" w:type="dxa"/>
            <w:vAlign w:val="center"/>
          </w:tcPr>
          <w:p>
            <w:pPr>
              <w:pStyle w:val="72"/>
            </w:pPr>
            <w:r>
              <w:rPr>
                <w:rFonts w:hint="eastAsia"/>
              </w:rPr>
              <w:t>小计</w:t>
            </w:r>
          </w:p>
        </w:tc>
        <w:tc>
          <w:tcPr>
            <w:tcW w:w="1508" w:type="dxa"/>
            <w:vMerge w:val="continue"/>
            <w:vAlign w:val="center"/>
          </w:tcPr>
          <w:p>
            <w:pPr>
              <w:pStyle w:val="72"/>
            </w:pPr>
          </w:p>
        </w:tc>
        <w:tc>
          <w:tcPr>
            <w:tcW w:w="1002" w:type="dxa"/>
            <w:vMerge w:val="continue"/>
            <w:vAlign w:val="center"/>
          </w:tcPr>
          <w:p>
            <w:pPr>
              <w:pStyle w:val="72"/>
            </w:pPr>
          </w:p>
        </w:tc>
        <w:tc>
          <w:tcPr>
            <w:tcW w:w="1243" w:type="dxa"/>
            <w:vMerge w:val="continue"/>
            <w:vAlign w:val="center"/>
          </w:tcPr>
          <w:p>
            <w:pPr>
              <w:pStyle w:val="72"/>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44" w:hRule="atLeast"/>
          <w:jc w:val="center"/>
        </w:trPr>
        <w:tc>
          <w:tcPr>
            <w:tcW w:w="1595" w:type="dxa"/>
            <w:gridSpan w:val="2"/>
            <w:vAlign w:val="center"/>
          </w:tcPr>
          <w:p>
            <w:pPr>
              <w:pStyle w:val="72"/>
            </w:pPr>
            <w:r>
              <w:rPr>
                <w:rFonts w:hint="eastAsia"/>
              </w:rPr>
              <w:t>淮北城区</w:t>
            </w:r>
          </w:p>
        </w:tc>
        <w:tc>
          <w:tcPr>
            <w:tcW w:w="924" w:type="dxa"/>
            <w:vAlign w:val="center"/>
          </w:tcPr>
          <w:p>
            <w:pPr>
              <w:pStyle w:val="72"/>
            </w:pPr>
            <w:r>
              <w:t>149.4</w:t>
            </w:r>
          </w:p>
        </w:tc>
        <w:tc>
          <w:tcPr>
            <w:tcW w:w="928" w:type="dxa"/>
            <w:vAlign w:val="center"/>
          </w:tcPr>
          <w:p>
            <w:pPr>
              <w:pStyle w:val="72"/>
            </w:pPr>
            <w:r>
              <w:t>0.811</w:t>
            </w:r>
          </w:p>
        </w:tc>
        <w:tc>
          <w:tcPr>
            <w:tcW w:w="924" w:type="dxa"/>
            <w:vAlign w:val="center"/>
          </w:tcPr>
          <w:p>
            <w:pPr>
              <w:pStyle w:val="72"/>
            </w:pPr>
            <w:r>
              <w:t>0.673</w:t>
            </w:r>
          </w:p>
        </w:tc>
        <w:tc>
          <w:tcPr>
            <w:tcW w:w="924" w:type="dxa"/>
            <w:vAlign w:val="center"/>
          </w:tcPr>
          <w:p>
            <w:pPr>
              <w:pStyle w:val="72"/>
            </w:pPr>
            <w:r>
              <w:t>0.278</w:t>
            </w:r>
          </w:p>
        </w:tc>
        <w:tc>
          <w:tcPr>
            <w:tcW w:w="928" w:type="dxa"/>
            <w:vAlign w:val="center"/>
          </w:tcPr>
          <w:p>
            <w:pPr>
              <w:pStyle w:val="72"/>
            </w:pPr>
            <w:r>
              <w:t>0.951</w:t>
            </w:r>
          </w:p>
        </w:tc>
        <w:tc>
          <w:tcPr>
            <w:tcW w:w="1508" w:type="dxa"/>
            <w:vAlign w:val="center"/>
          </w:tcPr>
          <w:p>
            <w:pPr>
              <w:pStyle w:val="72"/>
            </w:pPr>
            <w:r>
              <w:t>0.389</w:t>
            </w:r>
          </w:p>
        </w:tc>
        <w:tc>
          <w:tcPr>
            <w:tcW w:w="1002" w:type="dxa"/>
            <w:vAlign w:val="center"/>
          </w:tcPr>
          <w:p>
            <w:pPr>
              <w:pStyle w:val="72"/>
            </w:pPr>
            <w:r>
              <w:t>0.162</w:t>
            </w:r>
          </w:p>
        </w:tc>
        <w:tc>
          <w:tcPr>
            <w:tcW w:w="1243" w:type="dxa"/>
            <w:vAlign w:val="center"/>
          </w:tcPr>
          <w:p>
            <w:pPr>
              <w:pStyle w:val="72"/>
            </w:pPr>
            <w:r>
              <w:t>1.989</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44" w:hRule="atLeast"/>
          <w:jc w:val="center"/>
        </w:trPr>
        <w:tc>
          <w:tcPr>
            <w:tcW w:w="1595" w:type="dxa"/>
            <w:gridSpan w:val="2"/>
            <w:vAlign w:val="center"/>
          </w:tcPr>
          <w:p>
            <w:pPr>
              <w:pStyle w:val="72"/>
            </w:pPr>
            <w:r>
              <w:rPr>
                <w:rFonts w:hint="eastAsia"/>
              </w:rPr>
              <w:t>濉溪县</w:t>
            </w:r>
          </w:p>
        </w:tc>
        <w:tc>
          <w:tcPr>
            <w:tcW w:w="924" w:type="dxa"/>
            <w:vAlign w:val="center"/>
          </w:tcPr>
          <w:p>
            <w:pPr>
              <w:pStyle w:val="72"/>
            </w:pPr>
            <w:r>
              <w:t>142.9</w:t>
            </w:r>
          </w:p>
        </w:tc>
        <w:tc>
          <w:tcPr>
            <w:tcW w:w="928" w:type="dxa"/>
            <w:vAlign w:val="center"/>
          </w:tcPr>
          <w:p>
            <w:pPr>
              <w:pStyle w:val="72"/>
            </w:pPr>
            <w:r>
              <w:t>3.14</w:t>
            </w:r>
          </w:p>
        </w:tc>
        <w:tc>
          <w:tcPr>
            <w:tcW w:w="924" w:type="dxa"/>
            <w:vAlign w:val="center"/>
          </w:tcPr>
          <w:p>
            <w:pPr>
              <w:pStyle w:val="72"/>
            </w:pPr>
            <w:r>
              <w:t>3.84</w:t>
            </w:r>
          </w:p>
        </w:tc>
        <w:tc>
          <w:tcPr>
            <w:tcW w:w="924" w:type="dxa"/>
            <w:vAlign w:val="center"/>
          </w:tcPr>
          <w:p>
            <w:pPr>
              <w:pStyle w:val="72"/>
            </w:pPr>
            <w:r>
              <w:t>/</w:t>
            </w:r>
          </w:p>
        </w:tc>
        <w:tc>
          <w:tcPr>
            <w:tcW w:w="928" w:type="dxa"/>
            <w:vAlign w:val="center"/>
          </w:tcPr>
          <w:p>
            <w:pPr>
              <w:pStyle w:val="72"/>
            </w:pPr>
            <w:r>
              <w:t>3.84</w:t>
            </w:r>
          </w:p>
        </w:tc>
        <w:tc>
          <w:tcPr>
            <w:tcW w:w="1508" w:type="dxa"/>
            <w:vAlign w:val="center"/>
          </w:tcPr>
          <w:p>
            <w:pPr>
              <w:pStyle w:val="72"/>
            </w:pPr>
            <w:r>
              <w:t>/</w:t>
            </w:r>
          </w:p>
        </w:tc>
        <w:tc>
          <w:tcPr>
            <w:tcW w:w="1002" w:type="dxa"/>
            <w:vAlign w:val="center"/>
          </w:tcPr>
          <w:p>
            <w:pPr>
              <w:pStyle w:val="72"/>
            </w:pPr>
            <w:r>
              <w:t>0.628</w:t>
            </w:r>
          </w:p>
        </w:tc>
        <w:tc>
          <w:tcPr>
            <w:tcW w:w="1243" w:type="dxa"/>
            <w:vAlign w:val="center"/>
          </w:tcPr>
          <w:p>
            <w:pPr>
              <w:pStyle w:val="72"/>
            </w:pPr>
            <w:r>
              <w:t>6.352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44" w:hRule="atLeast"/>
          <w:jc w:val="center"/>
        </w:trPr>
        <w:tc>
          <w:tcPr>
            <w:tcW w:w="1595" w:type="dxa"/>
            <w:gridSpan w:val="2"/>
            <w:vAlign w:val="center"/>
          </w:tcPr>
          <w:p>
            <w:pPr>
              <w:pStyle w:val="72"/>
            </w:pPr>
            <w:r>
              <w:rPr>
                <w:rFonts w:hint="eastAsia"/>
              </w:rPr>
              <w:t>淮北市</w:t>
            </w:r>
          </w:p>
        </w:tc>
        <w:tc>
          <w:tcPr>
            <w:tcW w:w="924" w:type="dxa"/>
            <w:vAlign w:val="center"/>
          </w:tcPr>
          <w:p>
            <w:pPr>
              <w:pStyle w:val="72"/>
            </w:pPr>
            <w:r>
              <w:t>144.2</w:t>
            </w:r>
          </w:p>
        </w:tc>
        <w:tc>
          <w:tcPr>
            <w:tcW w:w="928" w:type="dxa"/>
            <w:vAlign w:val="center"/>
          </w:tcPr>
          <w:p>
            <w:pPr>
              <w:pStyle w:val="72"/>
            </w:pPr>
            <w:r>
              <w:t>3.951</w:t>
            </w:r>
          </w:p>
        </w:tc>
        <w:tc>
          <w:tcPr>
            <w:tcW w:w="924" w:type="dxa"/>
            <w:vAlign w:val="center"/>
          </w:tcPr>
          <w:p>
            <w:pPr>
              <w:pStyle w:val="72"/>
            </w:pPr>
            <w:r>
              <w:t>4.513</w:t>
            </w:r>
          </w:p>
        </w:tc>
        <w:tc>
          <w:tcPr>
            <w:tcW w:w="924" w:type="dxa"/>
            <w:vAlign w:val="center"/>
          </w:tcPr>
          <w:p>
            <w:pPr>
              <w:pStyle w:val="72"/>
            </w:pPr>
            <w:r>
              <w:t>0.278</w:t>
            </w:r>
          </w:p>
        </w:tc>
        <w:tc>
          <w:tcPr>
            <w:tcW w:w="928" w:type="dxa"/>
            <w:vAlign w:val="center"/>
          </w:tcPr>
          <w:p>
            <w:pPr>
              <w:pStyle w:val="72"/>
            </w:pPr>
            <w:r>
              <w:t>4.791</w:t>
            </w:r>
          </w:p>
        </w:tc>
        <w:tc>
          <w:tcPr>
            <w:tcW w:w="1508" w:type="dxa"/>
            <w:vAlign w:val="center"/>
          </w:tcPr>
          <w:p>
            <w:pPr>
              <w:pStyle w:val="72"/>
            </w:pPr>
            <w:r>
              <w:t>0.389</w:t>
            </w:r>
          </w:p>
        </w:tc>
        <w:tc>
          <w:tcPr>
            <w:tcW w:w="1002" w:type="dxa"/>
            <w:vAlign w:val="center"/>
          </w:tcPr>
          <w:p>
            <w:pPr>
              <w:pStyle w:val="72"/>
            </w:pPr>
            <w:r>
              <w:t>0.790</w:t>
            </w:r>
          </w:p>
        </w:tc>
        <w:tc>
          <w:tcPr>
            <w:tcW w:w="1243" w:type="dxa"/>
            <w:vAlign w:val="center"/>
          </w:tcPr>
          <w:p>
            <w:pPr>
              <w:pStyle w:val="72"/>
            </w:pPr>
            <w:r>
              <w:t>8.341</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44" w:hRule="atLeast"/>
          <w:jc w:val="center"/>
        </w:trPr>
        <w:tc>
          <w:tcPr>
            <w:tcW w:w="653" w:type="dxa"/>
            <w:vMerge w:val="restart"/>
            <w:vAlign w:val="center"/>
          </w:tcPr>
          <w:p>
            <w:pPr>
              <w:pStyle w:val="72"/>
            </w:pPr>
            <w:r>
              <w:rPr>
                <w:rFonts w:hint="eastAsia"/>
              </w:rPr>
              <w:t>流域</w:t>
            </w:r>
          </w:p>
          <w:p>
            <w:pPr>
              <w:pStyle w:val="72"/>
            </w:pPr>
            <w:r>
              <w:rPr>
                <w:rFonts w:hint="eastAsia"/>
              </w:rPr>
              <w:t>分区</w:t>
            </w:r>
          </w:p>
        </w:tc>
        <w:tc>
          <w:tcPr>
            <w:tcW w:w="942" w:type="dxa"/>
            <w:vAlign w:val="center"/>
          </w:tcPr>
          <w:p>
            <w:pPr>
              <w:pStyle w:val="72"/>
            </w:pPr>
            <w:r>
              <w:rPr>
                <w:rFonts w:hint="eastAsia"/>
              </w:rPr>
              <w:t>北区</w:t>
            </w:r>
          </w:p>
        </w:tc>
        <w:tc>
          <w:tcPr>
            <w:tcW w:w="924" w:type="dxa"/>
            <w:vAlign w:val="center"/>
          </w:tcPr>
          <w:p>
            <w:pPr>
              <w:pStyle w:val="72"/>
            </w:pPr>
            <w:r>
              <w:t>148.6</w:t>
            </w:r>
          </w:p>
        </w:tc>
        <w:tc>
          <w:tcPr>
            <w:tcW w:w="928" w:type="dxa"/>
            <w:noWrap/>
            <w:vAlign w:val="center"/>
          </w:tcPr>
          <w:p>
            <w:pPr>
              <w:pStyle w:val="72"/>
            </w:pPr>
            <w:r>
              <w:t>0.994</w:t>
            </w:r>
          </w:p>
        </w:tc>
        <w:tc>
          <w:tcPr>
            <w:tcW w:w="924" w:type="dxa"/>
            <w:vAlign w:val="center"/>
          </w:tcPr>
          <w:p>
            <w:pPr>
              <w:pStyle w:val="72"/>
            </w:pPr>
            <w:r>
              <w:t>0.89</w:t>
            </w:r>
          </w:p>
        </w:tc>
        <w:tc>
          <w:tcPr>
            <w:tcW w:w="924" w:type="dxa"/>
            <w:vAlign w:val="center"/>
          </w:tcPr>
          <w:p>
            <w:pPr>
              <w:pStyle w:val="72"/>
            </w:pPr>
            <w:r>
              <w:t>0.278</w:t>
            </w:r>
          </w:p>
        </w:tc>
        <w:tc>
          <w:tcPr>
            <w:tcW w:w="928" w:type="dxa"/>
            <w:vAlign w:val="center"/>
          </w:tcPr>
          <w:p>
            <w:pPr>
              <w:pStyle w:val="72"/>
            </w:pPr>
            <w:r>
              <w:t>1.168</w:t>
            </w:r>
          </w:p>
        </w:tc>
        <w:tc>
          <w:tcPr>
            <w:tcW w:w="1508" w:type="dxa"/>
            <w:vAlign w:val="center"/>
          </w:tcPr>
          <w:p>
            <w:pPr>
              <w:pStyle w:val="72"/>
            </w:pPr>
            <w:r>
              <w:t>0.389</w:t>
            </w:r>
          </w:p>
        </w:tc>
        <w:tc>
          <w:tcPr>
            <w:tcW w:w="1002" w:type="dxa"/>
            <w:vAlign w:val="center"/>
          </w:tcPr>
          <w:p>
            <w:pPr>
              <w:pStyle w:val="72"/>
            </w:pPr>
            <w:r>
              <w:t>0.199</w:t>
            </w:r>
          </w:p>
        </w:tc>
        <w:tc>
          <w:tcPr>
            <w:tcW w:w="1243" w:type="dxa"/>
            <w:vAlign w:val="center"/>
          </w:tcPr>
          <w:p>
            <w:pPr>
              <w:pStyle w:val="72"/>
            </w:pPr>
            <w:r>
              <w:t>2.352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9" w:hRule="atLeast"/>
          <w:jc w:val="center"/>
        </w:trPr>
        <w:tc>
          <w:tcPr>
            <w:tcW w:w="653" w:type="dxa"/>
            <w:vMerge w:val="continue"/>
            <w:vAlign w:val="center"/>
          </w:tcPr>
          <w:p>
            <w:pPr>
              <w:pStyle w:val="72"/>
            </w:pPr>
          </w:p>
        </w:tc>
        <w:tc>
          <w:tcPr>
            <w:tcW w:w="942" w:type="dxa"/>
            <w:vAlign w:val="center"/>
          </w:tcPr>
          <w:p>
            <w:pPr>
              <w:pStyle w:val="72"/>
            </w:pPr>
            <w:r>
              <w:rPr>
                <w:rFonts w:hint="eastAsia"/>
              </w:rPr>
              <w:t>中区</w:t>
            </w:r>
          </w:p>
        </w:tc>
        <w:tc>
          <w:tcPr>
            <w:tcW w:w="924" w:type="dxa"/>
            <w:vAlign w:val="center"/>
          </w:tcPr>
          <w:p>
            <w:pPr>
              <w:pStyle w:val="72"/>
            </w:pPr>
            <w:r>
              <w:t>137.9</w:t>
            </w:r>
          </w:p>
        </w:tc>
        <w:tc>
          <w:tcPr>
            <w:tcW w:w="928" w:type="dxa"/>
            <w:noWrap/>
            <w:vAlign w:val="center"/>
          </w:tcPr>
          <w:p>
            <w:pPr>
              <w:pStyle w:val="72"/>
            </w:pPr>
            <w:r>
              <w:t>0.735</w:t>
            </w:r>
          </w:p>
        </w:tc>
        <w:tc>
          <w:tcPr>
            <w:tcW w:w="924" w:type="dxa"/>
            <w:vAlign w:val="center"/>
          </w:tcPr>
          <w:p>
            <w:pPr>
              <w:pStyle w:val="72"/>
            </w:pPr>
            <w:r>
              <w:t>0.941</w:t>
            </w:r>
          </w:p>
        </w:tc>
        <w:tc>
          <w:tcPr>
            <w:tcW w:w="924" w:type="dxa"/>
            <w:vAlign w:val="center"/>
          </w:tcPr>
          <w:p>
            <w:pPr>
              <w:pStyle w:val="72"/>
            </w:pPr>
            <w:r>
              <w:t>/</w:t>
            </w:r>
          </w:p>
        </w:tc>
        <w:tc>
          <w:tcPr>
            <w:tcW w:w="928" w:type="dxa"/>
            <w:vAlign w:val="center"/>
          </w:tcPr>
          <w:p>
            <w:pPr>
              <w:pStyle w:val="72"/>
            </w:pPr>
            <w:r>
              <w:t>0.941</w:t>
            </w:r>
          </w:p>
        </w:tc>
        <w:tc>
          <w:tcPr>
            <w:tcW w:w="1508" w:type="dxa"/>
            <w:vAlign w:val="center"/>
          </w:tcPr>
          <w:p>
            <w:pPr>
              <w:pStyle w:val="72"/>
            </w:pPr>
            <w:r>
              <w:t>/</w:t>
            </w:r>
          </w:p>
        </w:tc>
        <w:tc>
          <w:tcPr>
            <w:tcW w:w="1002" w:type="dxa"/>
            <w:vAlign w:val="center"/>
          </w:tcPr>
          <w:p>
            <w:pPr>
              <w:pStyle w:val="72"/>
            </w:pPr>
            <w:r>
              <w:t>0.147</w:t>
            </w:r>
          </w:p>
        </w:tc>
        <w:tc>
          <w:tcPr>
            <w:tcW w:w="1243" w:type="dxa"/>
            <w:vAlign w:val="center"/>
          </w:tcPr>
          <w:p>
            <w:pPr>
              <w:pStyle w:val="72"/>
            </w:pPr>
            <w:r>
              <w:t>1.529</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89" w:hRule="atLeast"/>
          <w:jc w:val="center"/>
        </w:trPr>
        <w:tc>
          <w:tcPr>
            <w:tcW w:w="653" w:type="dxa"/>
            <w:vMerge w:val="continue"/>
            <w:vAlign w:val="center"/>
          </w:tcPr>
          <w:p>
            <w:pPr>
              <w:pStyle w:val="72"/>
            </w:pPr>
          </w:p>
        </w:tc>
        <w:tc>
          <w:tcPr>
            <w:tcW w:w="942" w:type="dxa"/>
            <w:vAlign w:val="center"/>
          </w:tcPr>
          <w:p>
            <w:pPr>
              <w:pStyle w:val="72"/>
            </w:pPr>
            <w:r>
              <w:rPr>
                <w:rFonts w:hint="eastAsia"/>
              </w:rPr>
              <w:t>南区</w:t>
            </w:r>
          </w:p>
        </w:tc>
        <w:tc>
          <w:tcPr>
            <w:tcW w:w="924" w:type="dxa"/>
            <w:vAlign w:val="center"/>
          </w:tcPr>
          <w:p>
            <w:pPr>
              <w:pStyle w:val="72"/>
            </w:pPr>
            <w:r>
              <w:t>144.4</w:t>
            </w:r>
          </w:p>
        </w:tc>
        <w:tc>
          <w:tcPr>
            <w:tcW w:w="928" w:type="dxa"/>
            <w:noWrap/>
            <w:vAlign w:val="center"/>
          </w:tcPr>
          <w:p>
            <w:pPr>
              <w:pStyle w:val="72"/>
            </w:pPr>
            <w:r>
              <w:t>2.222</w:t>
            </w:r>
          </w:p>
        </w:tc>
        <w:tc>
          <w:tcPr>
            <w:tcW w:w="924" w:type="dxa"/>
            <w:vAlign w:val="center"/>
          </w:tcPr>
          <w:p>
            <w:pPr>
              <w:pStyle w:val="72"/>
            </w:pPr>
            <w:r>
              <w:t>2.682</w:t>
            </w:r>
          </w:p>
        </w:tc>
        <w:tc>
          <w:tcPr>
            <w:tcW w:w="924" w:type="dxa"/>
            <w:vAlign w:val="center"/>
          </w:tcPr>
          <w:p>
            <w:pPr>
              <w:pStyle w:val="72"/>
            </w:pPr>
            <w:r>
              <w:t>/</w:t>
            </w:r>
          </w:p>
        </w:tc>
        <w:tc>
          <w:tcPr>
            <w:tcW w:w="928" w:type="dxa"/>
            <w:vAlign w:val="center"/>
          </w:tcPr>
          <w:p>
            <w:pPr>
              <w:pStyle w:val="72"/>
            </w:pPr>
            <w:r>
              <w:t>2.682</w:t>
            </w:r>
          </w:p>
        </w:tc>
        <w:tc>
          <w:tcPr>
            <w:tcW w:w="1508" w:type="dxa"/>
            <w:vAlign w:val="center"/>
          </w:tcPr>
          <w:p>
            <w:pPr>
              <w:pStyle w:val="72"/>
            </w:pPr>
            <w:r>
              <w:t>/</w:t>
            </w:r>
          </w:p>
        </w:tc>
        <w:tc>
          <w:tcPr>
            <w:tcW w:w="1002" w:type="dxa"/>
            <w:vAlign w:val="center"/>
          </w:tcPr>
          <w:p>
            <w:pPr>
              <w:pStyle w:val="72"/>
            </w:pPr>
            <w:r>
              <w:t>0.444</w:t>
            </w:r>
          </w:p>
        </w:tc>
        <w:tc>
          <w:tcPr>
            <w:tcW w:w="1243" w:type="dxa"/>
            <w:vAlign w:val="center"/>
          </w:tcPr>
          <w:p>
            <w:pPr>
              <w:pStyle w:val="72"/>
            </w:pPr>
            <w:r>
              <w:t>4.460</w:t>
            </w:r>
          </w:p>
        </w:tc>
      </w:tr>
    </w:tbl>
    <w:p>
      <w:pPr>
        <w:ind w:firstLine="560"/>
      </w:pPr>
      <w:r>
        <w:t>5</w:t>
      </w:r>
      <w:r>
        <w:rPr>
          <w:rFonts w:hint="eastAsia"/>
        </w:rPr>
        <w:t>、出入境水资源量</w:t>
      </w:r>
    </w:p>
    <w:p>
      <w:pPr>
        <w:ind w:firstLine="560"/>
      </w:pPr>
      <w:r>
        <w:rPr>
          <w:rFonts w:hint="eastAsia"/>
        </w:rPr>
        <w:t>淮北市多年平均入境水量</w:t>
      </w:r>
      <w:r>
        <w:t>4.22</w:t>
      </w:r>
      <w:r>
        <w:rPr>
          <w:rFonts w:hint="eastAsia"/>
        </w:rPr>
        <w:t>亿</w:t>
      </w:r>
      <w:r>
        <w:t>m</w:t>
      </w:r>
      <w:r>
        <w:rPr>
          <w:vertAlign w:val="superscript"/>
        </w:rPr>
        <w:t>3</w:t>
      </w:r>
      <w:r>
        <w:rPr>
          <w:rFonts w:hint="eastAsia"/>
        </w:rPr>
        <w:t>，出境水量</w:t>
      </w:r>
      <w:r>
        <w:t>6.89</w:t>
      </w:r>
      <w:r>
        <w:rPr>
          <w:rFonts w:hint="eastAsia"/>
        </w:rPr>
        <w:t>亿</w:t>
      </w:r>
      <w:r>
        <w:t>m</w:t>
      </w:r>
      <w:r>
        <w:rPr>
          <w:vertAlign w:val="superscript"/>
        </w:rPr>
        <w:t>3</w:t>
      </w:r>
      <w:r>
        <w:rPr>
          <w:rFonts w:hint="eastAsia"/>
        </w:rPr>
        <w:t>。淮北市多年平均出入境水量成果表见表</w:t>
      </w:r>
      <w:r>
        <w:t>2-4</w:t>
      </w:r>
      <w:r>
        <w:rPr>
          <w:rFonts w:hint="eastAsia"/>
        </w:rPr>
        <w:t>。</w:t>
      </w:r>
    </w:p>
    <w:p>
      <w:pPr>
        <w:spacing w:before="120" w:beforeLines="50" w:line="300" w:lineRule="auto"/>
        <w:ind w:firstLine="0" w:firstLineChars="0"/>
        <w:jc w:val="center"/>
        <w:rPr>
          <w:rFonts w:ascii="宋体"/>
          <w:b/>
        </w:rPr>
      </w:pPr>
      <w:r>
        <w:rPr>
          <w:rFonts w:hint="eastAsia" w:ascii="宋体" w:hAnsi="宋体"/>
          <w:b/>
          <w:szCs w:val="21"/>
        </w:rPr>
        <w:t>表</w:t>
      </w:r>
      <w:r>
        <w:rPr>
          <w:b/>
          <w:bCs/>
          <w:color w:val="000000"/>
          <w:szCs w:val="21"/>
        </w:rPr>
        <w:t>2-4</w:t>
      </w:r>
      <w:r>
        <w:rPr>
          <w:rFonts w:ascii="宋体" w:hAnsi="宋体"/>
          <w:b/>
          <w:szCs w:val="21"/>
        </w:rPr>
        <w:t xml:space="preserve"> </w:t>
      </w:r>
      <w:r>
        <w:rPr>
          <w:rFonts w:ascii="宋体" w:hAnsi="宋体"/>
          <w:b/>
        </w:rPr>
        <w:t xml:space="preserve">  </w:t>
      </w:r>
      <w:r>
        <w:rPr>
          <w:rFonts w:hint="eastAsia" w:ascii="宋体" w:hAnsi="宋体"/>
          <w:b/>
        </w:rPr>
        <w:t>淮北市多年平均出入境水量成果表</w:t>
      </w:r>
    </w:p>
    <w:tbl>
      <w:tblPr>
        <w:tblStyle w:val="39"/>
        <w:tblW w:w="8698"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2758"/>
        <w:gridCol w:w="1485"/>
        <w:gridCol w:w="1485"/>
        <w:gridCol w:w="1485"/>
        <w:gridCol w:w="1485"/>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2758" w:type="dxa"/>
            <w:noWrap/>
            <w:vAlign w:val="center"/>
          </w:tcPr>
          <w:p>
            <w:pPr>
              <w:pStyle w:val="72"/>
            </w:pPr>
            <w:r>
              <w:rPr>
                <w:rFonts w:hint="eastAsia"/>
              </w:rPr>
              <w:t>项</w:t>
            </w:r>
            <w:r>
              <w:t xml:space="preserve">  </w:t>
            </w:r>
            <w:r>
              <w:rPr>
                <w:rFonts w:hint="eastAsia"/>
              </w:rPr>
              <w:t>目</w:t>
            </w:r>
          </w:p>
        </w:tc>
        <w:tc>
          <w:tcPr>
            <w:tcW w:w="1485" w:type="dxa"/>
            <w:noWrap/>
            <w:vAlign w:val="center"/>
          </w:tcPr>
          <w:p>
            <w:pPr>
              <w:pStyle w:val="72"/>
            </w:pPr>
            <w:r>
              <w:rPr>
                <w:rFonts w:hint="eastAsia"/>
              </w:rPr>
              <w:t>南区</w:t>
            </w:r>
          </w:p>
        </w:tc>
        <w:tc>
          <w:tcPr>
            <w:tcW w:w="1485" w:type="dxa"/>
            <w:noWrap/>
            <w:vAlign w:val="center"/>
          </w:tcPr>
          <w:p>
            <w:pPr>
              <w:pStyle w:val="72"/>
            </w:pPr>
            <w:r>
              <w:rPr>
                <w:rFonts w:hint="eastAsia"/>
              </w:rPr>
              <w:t>中区</w:t>
            </w:r>
          </w:p>
        </w:tc>
        <w:tc>
          <w:tcPr>
            <w:tcW w:w="1485" w:type="dxa"/>
            <w:noWrap/>
            <w:vAlign w:val="center"/>
          </w:tcPr>
          <w:p>
            <w:pPr>
              <w:pStyle w:val="72"/>
            </w:pPr>
            <w:r>
              <w:rPr>
                <w:rFonts w:hint="eastAsia"/>
              </w:rPr>
              <w:t>北区</w:t>
            </w:r>
          </w:p>
        </w:tc>
        <w:tc>
          <w:tcPr>
            <w:tcW w:w="1485" w:type="dxa"/>
            <w:noWrap/>
            <w:vAlign w:val="center"/>
          </w:tcPr>
          <w:p>
            <w:pPr>
              <w:pStyle w:val="72"/>
            </w:pPr>
            <w:r>
              <w:rPr>
                <w:rFonts w:hint="eastAsia"/>
              </w:rPr>
              <w:t>淮北市</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2758" w:type="dxa"/>
            <w:noWrap/>
            <w:vAlign w:val="center"/>
          </w:tcPr>
          <w:p>
            <w:pPr>
              <w:pStyle w:val="72"/>
            </w:pPr>
            <w:r>
              <w:rPr>
                <w:rFonts w:hint="eastAsia"/>
              </w:rPr>
              <w:t>入境水量（亿</w:t>
            </w:r>
            <w:r>
              <w:t>m</w:t>
            </w:r>
            <w:r>
              <w:rPr>
                <w:vertAlign w:val="superscript"/>
              </w:rPr>
              <w:t>3</w:t>
            </w:r>
            <w:r>
              <w:rPr>
                <w:rFonts w:hint="eastAsia"/>
              </w:rPr>
              <w:t>）</w:t>
            </w:r>
          </w:p>
        </w:tc>
        <w:tc>
          <w:tcPr>
            <w:tcW w:w="1485" w:type="dxa"/>
            <w:noWrap/>
            <w:vAlign w:val="center"/>
          </w:tcPr>
          <w:p>
            <w:pPr>
              <w:pStyle w:val="72"/>
            </w:pPr>
            <w:r>
              <w:t>2.79</w:t>
            </w:r>
          </w:p>
        </w:tc>
        <w:tc>
          <w:tcPr>
            <w:tcW w:w="1485" w:type="dxa"/>
            <w:noWrap/>
            <w:vAlign w:val="center"/>
          </w:tcPr>
          <w:p>
            <w:pPr>
              <w:pStyle w:val="72"/>
            </w:pPr>
            <w:r>
              <w:t>0.53</w:t>
            </w:r>
          </w:p>
        </w:tc>
        <w:tc>
          <w:tcPr>
            <w:tcW w:w="1485" w:type="dxa"/>
            <w:noWrap/>
            <w:vAlign w:val="center"/>
          </w:tcPr>
          <w:p>
            <w:pPr>
              <w:pStyle w:val="72"/>
            </w:pPr>
            <w:r>
              <w:t>0.9</w:t>
            </w:r>
          </w:p>
        </w:tc>
        <w:tc>
          <w:tcPr>
            <w:tcW w:w="1485" w:type="dxa"/>
            <w:noWrap/>
            <w:vAlign w:val="center"/>
          </w:tcPr>
          <w:p>
            <w:pPr>
              <w:pStyle w:val="72"/>
            </w:pPr>
            <w:r>
              <w:t>4.22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2758" w:type="dxa"/>
            <w:noWrap/>
            <w:vAlign w:val="center"/>
          </w:tcPr>
          <w:p>
            <w:pPr>
              <w:pStyle w:val="72"/>
            </w:pPr>
            <w:r>
              <w:rPr>
                <w:rFonts w:hint="eastAsia"/>
              </w:rPr>
              <w:t>出境水量（亿</w:t>
            </w:r>
            <w:r>
              <w:t>m</w:t>
            </w:r>
            <w:r>
              <w:rPr>
                <w:vertAlign w:val="superscript"/>
              </w:rPr>
              <w:t>3</w:t>
            </w:r>
            <w:r>
              <w:rPr>
                <w:rFonts w:hint="eastAsia"/>
              </w:rPr>
              <w:t>）</w:t>
            </w:r>
          </w:p>
        </w:tc>
        <w:tc>
          <w:tcPr>
            <w:tcW w:w="1485" w:type="dxa"/>
            <w:noWrap/>
            <w:vAlign w:val="center"/>
          </w:tcPr>
          <w:p>
            <w:pPr>
              <w:pStyle w:val="72"/>
            </w:pPr>
            <w:r>
              <w:t>4.19</w:t>
            </w:r>
          </w:p>
        </w:tc>
        <w:tc>
          <w:tcPr>
            <w:tcW w:w="1485" w:type="dxa"/>
            <w:noWrap/>
            <w:vAlign w:val="center"/>
          </w:tcPr>
          <w:p>
            <w:pPr>
              <w:pStyle w:val="72"/>
            </w:pPr>
            <w:r>
              <w:t>1.52</w:t>
            </w:r>
          </w:p>
        </w:tc>
        <w:tc>
          <w:tcPr>
            <w:tcW w:w="1485" w:type="dxa"/>
            <w:noWrap/>
            <w:vAlign w:val="center"/>
          </w:tcPr>
          <w:p>
            <w:pPr>
              <w:pStyle w:val="72"/>
            </w:pPr>
            <w:r>
              <w:t>1.18</w:t>
            </w:r>
          </w:p>
        </w:tc>
        <w:tc>
          <w:tcPr>
            <w:tcW w:w="1485" w:type="dxa"/>
            <w:noWrap/>
            <w:vAlign w:val="center"/>
          </w:tcPr>
          <w:p>
            <w:pPr>
              <w:pStyle w:val="72"/>
            </w:pPr>
            <w:r>
              <w:t>6.89</w:t>
            </w:r>
          </w:p>
        </w:tc>
      </w:tr>
    </w:tbl>
    <w:p>
      <w:pPr>
        <w:ind w:firstLine="560"/>
      </w:pPr>
      <w:r>
        <w:t>6</w:t>
      </w:r>
      <w:r>
        <w:rPr>
          <w:rFonts w:hint="eastAsia"/>
        </w:rPr>
        <w:t>、水资源可利用量</w:t>
      </w:r>
    </w:p>
    <w:p>
      <w:pPr>
        <w:ind w:firstLine="560"/>
      </w:pPr>
      <w:r>
        <w:t>1</w:t>
      </w:r>
      <w:r>
        <w:rPr>
          <w:rFonts w:hint="eastAsia"/>
        </w:rPr>
        <w:t>）地表水可利用量</w:t>
      </w:r>
    </w:p>
    <w:p>
      <w:pPr>
        <w:snapToGrid w:val="0"/>
        <w:ind w:firstLine="560"/>
      </w:pPr>
      <w:r>
        <w:rPr>
          <w:rFonts w:hint="eastAsia"/>
        </w:rPr>
        <w:t>淮北市地表水资源可利用量为</w:t>
      </w:r>
      <w:r>
        <w:t>1.304</w:t>
      </w:r>
      <w:r>
        <w:rPr>
          <w:rFonts w:hint="eastAsia"/>
        </w:rPr>
        <w:t>亿</w:t>
      </w:r>
      <w:r>
        <w:t>m</w:t>
      </w:r>
      <w:r>
        <w:rPr>
          <w:vertAlign w:val="superscript"/>
        </w:rPr>
        <w:t>3</w:t>
      </w:r>
      <w:r>
        <w:rPr>
          <w:rFonts w:hint="eastAsia"/>
        </w:rPr>
        <w:t>，其中淮北城区为</w:t>
      </w:r>
      <w:r>
        <w:t>0.268</w:t>
      </w:r>
      <w:r>
        <w:rPr>
          <w:rFonts w:hint="eastAsia"/>
        </w:rPr>
        <w:t>亿</w:t>
      </w:r>
      <w:r>
        <w:t>m</w:t>
      </w:r>
      <w:r>
        <w:rPr>
          <w:vertAlign w:val="superscript"/>
        </w:rPr>
        <w:t>3</w:t>
      </w:r>
      <w:r>
        <w:rPr>
          <w:rFonts w:hint="eastAsia"/>
        </w:rPr>
        <w:t>、占淮北市地表水资源可利用总量的</w:t>
      </w:r>
      <w:r>
        <w:t>20.6%</w:t>
      </w:r>
      <w:r>
        <w:rPr>
          <w:rFonts w:hint="eastAsia"/>
        </w:rPr>
        <w:t>，濉溪县为</w:t>
      </w:r>
      <w:r>
        <w:t>1.036</w:t>
      </w:r>
      <w:r>
        <w:rPr>
          <w:rFonts w:hint="eastAsia"/>
        </w:rPr>
        <w:t>亿</w:t>
      </w:r>
      <w:r>
        <w:t>m</w:t>
      </w:r>
      <w:r>
        <w:rPr>
          <w:vertAlign w:val="superscript"/>
        </w:rPr>
        <w:t>3</w:t>
      </w:r>
      <w:r>
        <w:rPr>
          <w:rFonts w:hint="eastAsia"/>
        </w:rPr>
        <w:t>、占总量的</w:t>
      </w:r>
      <w:r>
        <w:t>79.4%</w:t>
      </w:r>
      <w:r>
        <w:rPr>
          <w:rFonts w:hint="eastAsia"/>
        </w:rPr>
        <w:t>。淮北市地表水资源可利用量计算成果见表</w:t>
      </w:r>
      <w:r>
        <w:t>2-5</w:t>
      </w:r>
      <w:r>
        <w:rPr>
          <w:rFonts w:hint="eastAsia"/>
        </w:rPr>
        <w:t>。</w:t>
      </w:r>
    </w:p>
    <w:p>
      <w:pPr>
        <w:spacing w:before="120" w:beforeLines="50" w:line="300" w:lineRule="auto"/>
        <w:ind w:firstLine="0" w:firstLineChars="0"/>
        <w:jc w:val="center"/>
        <w:rPr>
          <w:rFonts w:ascii="宋体"/>
          <w:b/>
        </w:rPr>
      </w:pPr>
      <w:r>
        <w:rPr>
          <w:rFonts w:hint="eastAsia" w:ascii="宋体" w:hAnsi="宋体"/>
          <w:b/>
        </w:rPr>
        <w:t>表</w:t>
      </w:r>
      <w:r>
        <w:rPr>
          <w:rFonts w:ascii="宋体" w:hAnsi="宋体"/>
          <w:b/>
        </w:rPr>
        <w:t xml:space="preserve">2-5    </w:t>
      </w:r>
      <w:r>
        <w:rPr>
          <w:rFonts w:hint="eastAsia" w:ascii="宋体" w:hAnsi="宋体"/>
          <w:b/>
        </w:rPr>
        <w:t>淮北市地表水资源可利用量计算成果</w:t>
      </w:r>
      <w:r>
        <w:rPr>
          <w:rFonts w:ascii="宋体" w:hAnsi="宋体"/>
          <w:b/>
          <w:szCs w:val="21"/>
        </w:rPr>
        <w:t xml:space="preserve">   </w:t>
      </w:r>
      <w:r>
        <w:rPr>
          <w:rFonts w:ascii="宋体" w:hAnsi="宋体"/>
          <w:b/>
        </w:rPr>
        <w:t xml:space="preserve">  </w:t>
      </w:r>
      <w:r>
        <w:rPr>
          <w:rFonts w:hint="eastAsia" w:ascii="宋体" w:hAnsi="宋体"/>
          <w:b/>
        </w:rPr>
        <w:t>单位：亿</w:t>
      </w:r>
      <w:r>
        <w:rPr>
          <w:rFonts w:ascii="宋体" w:hAnsi="宋体"/>
          <w:b/>
        </w:rPr>
        <w:t>m</w:t>
      </w:r>
      <w:r>
        <w:rPr>
          <w:rFonts w:ascii="宋体" w:hAnsi="宋体"/>
          <w:b/>
          <w:vertAlign w:val="superscript"/>
        </w:rPr>
        <w:t>3</w:t>
      </w:r>
    </w:p>
    <w:tbl>
      <w:tblPr>
        <w:tblStyle w:val="39"/>
        <w:tblW w:w="9809"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837"/>
        <w:gridCol w:w="1440"/>
        <w:gridCol w:w="2854"/>
        <w:gridCol w:w="3678"/>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00" w:hRule="atLeast"/>
          <w:jc w:val="center"/>
        </w:trPr>
        <w:tc>
          <w:tcPr>
            <w:tcW w:w="3277" w:type="dxa"/>
            <w:gridSpan w:val="2"/>
            <w:vAlign w:val="center"/>
          </w:tcPr>
          <w:p>
            <w:pPr>
              <w:pStyle w:val="72"/>
            </w:pPr>
            <w:r>
              <w:rPr>
                <w:rFonts w:hint="eastAsia"/>
              </w:rPr>
              <w:t>分</w:t>
            </w:r>
            <w:r>
              <w:t xml:space="preserve">    </w:t>
            </w:r>
            <w:r>
              <w:rPr>
                <w:rFonts w:hint="eastAsia"/>
              </w:rPr>
              <w:t>区</w:t>
            </w:r>
          </w:p>
        </w:tc>
        <w:tc>
          <w:tcPr>
            <w:tcW w:w="2854" w:type="dxa"/>
            <w:vAlign w:val="center"/>
          </w:tcPr>
          <w:p>
            <w:pPr>
              <w:pStyle w:val="72"/>
            </w:pPr>
            <w:r>
              <w:rPr>
                <w:rFonts w:hint="eastAsia"/>
              </w:rPr>
              <w:t>地表水资源量</w:t>
            </w:r>
          </w:p>
        </w:tc>
        <w:tc>
          <w:tcPr>
            <w:tcW w:w="3678" w:type="dxa"/>
            <w:vAlign w:val="center"/>
          </w:tcPr>
          <w:p>
            <w:pPr>
              <w:pStyle w:val="72"/>
            </w:pPr>
            <w:r>
              <w:rPr>
                <w:rFonts w:hint="eastAsia"/>
              </w:rPr>
              <w:t>地表水资源可利用量</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00" w:hRule="atLeast"/>
          <w:jc w:val="center"/>
        </w:trPr>
        <w:tc>
          <w:tcPr>
            <w:tcW w:w="3277" w:type="dxa"/>
            <w:gridSpan w:val="2"/>
            <w:vAlign w:val="center"/>
          </w:tcPr>
          <w:p>
            <w:pPr>
              <w:pStyle w:val="72"/>
            </w:pPr>
            <w:r>
              <w:rPr>
                <w:rFonts w:hint="eastAsia"/>
              </w:rPr>
              <w:t>淮北城区</w:t>
            </w:r>
          </w:p>
        </w:tc>
        <w:tc>
          <w:tcPr>
            <w:tcW w:w="2854" w:type="dxa"/>
            <w:vAlign w:val="center"/>
          </w:tcPr>
          <w:p>
            <w:pPr>
              <w:pStyle w:val="72"/>
            </w:pPr>
            <w:r>
              <w:t>0.811</w:t>
            </w:r>
          </w:p>
        </w:tc>
        <w:tc>
          <w:tcPr>
            <w:tcW w:w="3678" w:type="dxa"/>
            <w:noWrap/>
            <w:vAlign w:val="center"/>
          </w:tcPr>
          <w:p>
            <w:pPr>
              <w:pStyle w:val="72"/>
            </w:pPr>
            <w:r>
              <w:t xml:space="preserve">0.268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00" w:hRule="atLeast"/>
          <w:jc w:val="center"/>
        </w:trPr>
        <w:tc>
          <w:tcPr>
            <w:tcW w:w="3277" w:type="dxa"/>
            <w:gridSpan w:val="2"/>
            <w:vAlign w:val="center"/>
          </w:tcPr>
          <w:p>
            <w:pPr>
              <w:pStyle w:val="72"/>
            </w:pPr>
            <w:r>
              <w:rPr>
                <w:rFonts w:hint="eastAsia"/>
              </w:rPr>
              <w:t>濉溪县</w:t>
            </w:r>
          </w:p>
        </w:tc>
        <w:tc>
          <w:tcPr>
            <w:tcW w:w="2854" w:type="dxa"/>
            <w:vAlign w:val="center"/>
          </w:tcPr>
          <w:p>
            <w:pPr>
              <w:pStyle w:val="72"/>
            </w:pPr>
            <w:r>
              <w:t>3.140</w:t>
            </w:r>
          </w:p>
        </w:tc>
        <w:tc>
          <w:tcPr>
            <w:tcW w:w="3678" w:type="dxa"/>
            <w:noWrap/>
            <w:vAlign w:val="center"/>
          </w:tcPr>
          <w:p>
            <w:pPr>
              <w:pStyle w:val="72"/>
            </w:pPr>
            <w:r>
              <w:t xml:space="preserve">1.036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78" w:hRule="atLeast"/>
          <w:jc w:val="center"/>
        </w:trPr>
        <w:tc>
          <w:tcPr>
            <w:tcW w:w="3277" w:type="dxa"/>
            <w:gridSpan w:val="2"/>
            <w:vAlign w:val="center"/>
          </w:tcPr>
          <w:p>
            <w:pPr>
              <w:pStyle w:val="72"/>
            </w:pPr>
            <w:r>
              <w:rPr>
                <w:rFonts w:hint="eastAsia"/>
              </w:rPr>
              <w:t>淮北市</w:t>
            </w:r>
          </w:p>
        </w:tc>
        <w:tc>
          <w:tcPr>
            <w:tcW w:w="2854" w:type="dxa"/>
            <w:vAlign w:val="center"/>
          </w:tcPr>
          <w:p>
            <w:pPr>
              <w:pStyle w:val="72"/>
            </w:pPr>
            <w:r>
              <w:t>3.951</w:t>
            </w:r>
          </w:p>
        </w:tc>
        <w:tc>
          <w:tcPr>
            <w:tcW w:w="3678" w:type="dxa"/>
            <w:noWrap/>
            <w:vAlign w:val="center"/>
          </w:tcPr>
          <w:p>
            <w:pPr>
              <w:pStyle w:val="72"/>
            </w:pPr>
            <w:r>
              <w:t xml:space="preserve">1.304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00" w:hRule="atLeast"/>
          <w:jc w:val="center"/>
        </w:trPr>
        <w:tc>
          <w:tcPr>
            <w:tcW w:w="1837" w:type="dxa"/>
            <w:vMerge w:val="restart"/>
            <w:vAlign w:val="center"/>
          </w:tcPr>
          <w:p>
            <w:pPr>
              <w:pStyle w:val="72"/>
            </w:pPr>
            <w:r>
              <w:rPr>
                <w:rFonts w:hint="eastAsia"/>
              </w:rPr>
              <w:t>流域分区</w:t>
            </w:r>
          </w:p>
        </w:tc>
        <w:tc>
          <w:tcPr>
            <w:tcW w:w="1440" w:type="dxa"/>
            <w:vAlign w:val="center"/>
          </w:tcPr>
          <w:p>
            <w:pPr>
              <w:pStyle w:val="72"/>
            </w:pPr>
            <w:r>
              <w:rPr>
                <w:rFonts w:hint="eastAsia"/>
              </w:rPr>
              <w:t>北区</w:t>
            </w:r>
          </w:p>
        </w:tc>
        <w:tc>
          <w:tcPr>
            <w:tcW w:w="2854" w:type="dxa"/>
            <w:noWrap/>
            <w:vAlign w:val="center"/>
          </w:tcPr>
          <w:p>
            <w:pPr>
              <w:pStyle w:val="72"/>
            </w:pPr>
            <w:r>
              <w:t>0.994</w:t>
            </w:r>
          </w:p>
        </w:tc>
        <w:tc>
          <w:tcPr>
            <w:tcW w:w="3678" w:type="dxa"/>
            <w:noWrap/>
            <w:vAlign w:val="center"/>
          </w:tcPr>
          <w:p>
            <w:pPr>
              <w:pStyle w:val="72"/>
            </w:pPr>
            <w:r>
              <w:t xml:space="preserve">0.328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00" w:hRule="atLeast"/>
          <w:jc w:val="center"/>
        </w:trPr>
        <w:tc>
          <w:tcPr>
            <w:tcW w:w="1837" w:type="dxa"/>
            <w:vMerge w:val="continue"/>
            <w:vAlign w:val="center"/>
          </w:tcPr>
          <w:p>
            <w:pPr>
              <w:pStyle w:val="72"/>
            </w:pPr>
          </w:p>
        </w:tc>
        <w:tc>
          <w:tcPr>
            <w:tcW w:w="1440" w:type="dxa"/>
            <w:vAlign w:val="center"/>
          </w:tcPr>
          <w:p>
            <w:pPr>
              <w:pStyle w:val="72"/>
            </w:pPr>
            <w:r>
              <w:rPr>
                <w:rFonts w:hint="eastAsia"/>
              </w:rPr>
              <w:t>中区</w:t>
            </w:r>
          </w:p>
        </w:tc>
        <w:tc>
          <w:tcPr>
            <w:tcW w:w="2854" w:type="dxa"/>
            <w:noWrap/>
            <w:vAlign w:val="center"/>
          </w:tcPr>
          <w:p>
            <w:pPr>
              <w:pStyle w:val="72"/>
            </w:pPr>
            <w:r>
              <w:t>0.735</w:t>
            </w:r>
          </w:p>
        </w:tc>
        <w:tc>
          <w:tcPr>
            <w:tcW w:w="3678" w:type="dxa"/>
            <w:noWrap/>
            <w:vAlign w:val="center"/>
          </w:tcPr>
          <w:p>
            <w:pPr>
              <w:pStyle w:val="72"/>
            </w:pPr>
            <w:r>
              <w:t xml:space="preserve">0.243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00" w:hRule="atLeast"/>
          <w:jc w:val="center"/>
        </w:trPr>
        <w:tc>
          <w:tcPr>
            <w:tcW w:w="1837" w:type="dxa"/>
            <w:vMerge w:val="continue"/>
            <w:vAlign w:val="center"/>
          </w:tcPr>
          <w:p>
            <w:pPr>
              <w:pStyle w:val="72"/>
            </w:pPr>
          </w:p>
        </w:tc>
        <w:tc>
          <w:tcPr>
            <w:tcW w:w="1440" w:type="dxa"/>
            <w:vAlign w:val="center"/>
          </w:tcPr>
          <w:p>
            <w:pPr>
              <w:pStyle w:val="72"/>
            </w:pPr>
            <w:r>
              <w:rPr>
                <w:rFonts w:hint="eastAsia"/>
              </w:rPr>
              <w:t>南区</w:t>
            </w:r>
          </w:p>
        </w:tc>
        <w:tc>
          <w:tcPr>
            <w:tcW w:w="2854" w:type="dxa"/>
            <w:noWrap/>
            <w:vAlign w:val="center"/>
          </w:tcPr>
          <w:p>
            <w:pPr>
              <w:pStyle w:val="72"/>
            </w:pPr>
            <w:r>
              <w:t>2.222</w:t>
            </w:r>
          </w:p>
        </w:tc>
        <w:tc>
          <w:tcPr>
            <w:tcW w:w="3678" w:type="dxa"/>
            <w:noWrap/>
            <w:vAlign w:val="center"/>
          </w:tcPr>
          <w:p>
            <w:pPr>
              <w:pStyle w:val="72"/>
            </w:pPr>
            <w:r>
              <w:t xml:space="preserve">0.733 </w:t>
            </w:r>
          </w:p>
        </w:tc>
      </w:tr>
    </w:tbl>
    <w:p>
      <w:pPr>
        <w:ind w:firstLine="560"/>
      </w:pPr>
      <w:r>
        <w:t>2</w:t>
      </w:r>
      <w:r>
        <w:rPr>
          <w:rFonts w:hint="eastAsia"/>
        </w:rPr>
        <w:t>）地下水可开采量</w:t>
      </w:r>
    </w:p>
    <w:p>
      <w:pPr>
        <w:snapToGrid w:val="0"/>
        <w:ind w:firstLine="560"/>
        <w:rPr>
          <w:rFonts w:ascii="Romantic" w:hAnsi="Romantic"/>
        </w:rPr>
      </w:pPr>
      <w:r>
        <w:rPr>
          <w:rFonts w:ascii="Romantic" w:hAnsi="Romantic"/>
        </w:rPr>
        <w:t>淮北市多年平均浅层地下水可开采系数</w:t>
      </w:r>
      <w:r>
        <w:rPr>
          <w:rFonts w:hint="eastAsia" w:ascii="宋体"/>
        </w:rPr>
        <w:t>ρ</w:t>
      </w:r>
      <w:r>
        <w:rPr>
          <w:rFonts w:ascii="Romantic" w:hAnsi="Romantic"/>
        </w:rPr>
        <w:t>取，平原区浅层地下水的可开采量为亿</w:t>
      </w:r>
      <w:r>
        <w:rPr>
          <w:rFonts w:ascii="Romantic" w:hAnsi="Romantic"/>
          <w:vertAlign w:val="superscript"/>
        </w:rPr>
        <w:t></w:t>
      </w:r>
      <w:r>
        <w:rPr>
          <w:rFonts w:ascii="Romantic" w:hAnsi="Romantic"/>
        </w:rPr>
        <w:t>。</w:t>
      </w:r>
    </w:p>
    <w:p>
      <w:pPr>
        <w:snapToGrid w:val="0"/>
        <w:ind w:firstLine="560"/>
        <w:rPr>
          <w:rFonts w:ascii="Romantic" w:hAnsi="Romantic"/>
        </w:rPr>
      </w:pPr>
      <w:r>
        <w:rPr>
          <w:rFonts w:hint="eastAsia"/>
        </w:rPr>
        <w:t>淮北市多年平均浅层地下水资源可开采量计算成果见表</w:t>
      </w:r>
      <w:r>
        <w:t>1.3-5</w:t>
      </w:r>
      <w:r>
        <w:rPr>
          <w:rFonts w:hint="eastAsia"/>
        </w:rPr>
        <w:t>、淮北市多年平均岩溶裂隙水资源可开采量成果见</w:t>
      </w:r>
      <w:r>
        <w:t>2-6</w:t>
      </w:r>
      <w:r>
        <w:rPr>
          <w:rFonts w:hint="eastAsia"/>
        </w:rPr>
        <w:t>。</w:t>
      </w:r>
    </w:p>
    <w:p>
      <w:pPr>
        <w:spacing w:before="120" w:beforeLines="50" w:line="300" w:lineRule="auto"/>
        <w:ind w:firstLine="0" w:firstLineChars="0"/>
        <w:jc w:val="center"/>
        <w:rPr>
          <w:rFonts w:ascii="宋体"/>
          <w:b/>
          <w:sz w:val="21"/>
        </w:rPr>
      </w:pPr>
      <w:r>
        <w:rPr>
          <w:rFonts w:hint="eastAsia" w:ascii="宋体" w:hAnsi="宋体"/>
          <w:b/>
          <w:szCs w:val="21"/>
        </w:rPr>
        <w:t>表</w:t>
      </w:r>
      <w:r>
        <w:rPr>
          <w:rFonts w:ascii="宋体" w:hAnsi="宋体"/>
          <w:b/>
          <w:szCs w:val="21"/>
        </w:rPr>
        <w:t xml:space="preserve">2-6 </w:t>
      </w:r>
      <w:r>
        <w:rPr>
          <w:rFonts w:hint="eastAsia" w:ascii="宋体" w:hAnsi="宋体"/>
          <w:b/>
          <w:szCs w:val="21"/>
        </w:rPr>
        <w:t>淮北市多年平均浅层地下水资源可开采量计算成果表</w:t>
      </w:r>
      <w:r>
        <w:rPr>
          <w:rFonts w:ascii="宋体" w:hAnsi="宋体"/>
          <w:b/>
          <w:szCs w:val="21"/>
        </w:rPr>
        <w:t xml:space="preserve">  </w:t>
      </w:r>
      <w:r>
        <w:rPr>
          <w:rFonts w:hint="eastAsia" w:ascii="宋体" w:hAnsi="宋体"/>
          <w:b/>
        </w:rPr>
        <w:t>单位：亿</w:t>
      </w:r>
      <w:r>
        <w:rPr>
          <w:rFonts w:ascii="宋体" w:hAnsi="宋体"/>
          <w:b/>
        </w:rPr>
        <w:t>m</w:t>
      </w:r>
      <w:r>
        <w:rPr>
          <w:rFonts w:ascii="宋体" w:hAnsi="宋体"/>
          <w:b/>
          <w:vertAlign w:val="superscript"/>
        </w:rPr>
        <w:t>3</w:t>
      </w:r>
    </w:p>
    <w:tbl>
      <w:tblPr>
        <w:tblStyle w:val="39"/>
        <w:tblW w:w="9876"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081"/>
        <w:gridCol w:w="1323"/>
        <w:gridCol w:w="3506"/>
        <w:gridCol w:w="3966"/>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64" w:hRule="atLeast"/>
          <w:tblHeader/>
          <w:jc w:val="center"/>
        </w:trPr>
        <w:tc>
          <w:tcPr>
            <w:tcW w:w="2404" w:type="dxa"/>
            <w:gridSpan w:val="2"/>
            <w:vAlign w:val="center"/>
          </w:tcPr>
          <w:p>
            <w:pPr>
              <w:pStyle w:val="72"/>
            </w:pPr>
            <w:r>
              <w:rPr>
                <w:rFonts w:hint="eastAsia"/>
              </w:rPr>
              <w:t>分</w:t>
            </w:r>
            <w:r>
              <w:t xml:space="preserve">  </w:t>
            </w:r>
            <w:r>
              <w:rPr>
                <w:rFonts w:hint="eastAsia"/>
              </w:rPr>
              <w:t>区</w:t>
            </w:r>
          </w:p>
        </w:tc>
        <w:tc>
          <w:tcPr>
            <w:tcW w:w="3506" w:type="dxa"/>
            <w:vAlign w:val="center"/>
          </w:tcPr>
          <w:p>
            <w:pPr>
              <w:pStyle w:val="72"/>
            </w:pPr>
            <w:r>
              <w:rPr>
                <w:rFonts w:hint="eastAsia"/>
              </w:rPr>
              <w:t>地下水总补给量</w:t>
            </w:r>
          </w:p>
        </w:tc>
        <w:tc>
          <w:tcPr>
            <w:tcW w:w="3966" w:type="dxa"/>
            <w:vAlign w:val="center"/>
          </w:tcPr>
          <w:p>
            <w:pPr>
              <w:pStyle w:val="72"/>
            </w:pPr>
            <w:r>
              <w:rPr>
                <w:rFonts w:hint="eastAsia"/>
              </w:rPr>
              <w:t>地下水资源可利用量</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2404" w:type="dxa"/>
            <w:gridSpan w:val="2"/>
            <w:vAlign w:val="center"/>
          </w:tcPr>
          <w:p>
            <w:pPr>
              <w:pStyle w:val="72"/>
            </w:pPr>
            <w:r>
              <w:rPr>
                <w:rFonts w:hint="eastAsia"/>
              </w:rPr>
              <w:t>淮北城区</w:t>
            </w:r>
          </w:p>
        </w:tc>
        <w:tc>
          <w:tcPr>
            <w:tcW w:w="3506" w:type="dxa"/>
            <w:vAlign w:val="bottom"/>
          </w:tcPr>
          <w:p>
            <w:pPr>
              <w:pStyle w:val="72"/>
            </w:pPr>
            <w:r>
              <w:t>0.957</w:t>
            </w:r>
          </w:p>
        </w:tc>
        <w:tc>
          <w:tcPr>
            <w:tcW w:w="3966" w:type="dxa"/>
            <w:vAlign w:val="center"/>
          </w:tcPr>
          <w:p>
            <w:pPr>
              <w:pStyle w:val="72"/>
            </w:pPr>
            <w:r>
              <w:t>0.541</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2404" w:type="dxa"/>
            <w:gridSpan w:val="2"/>
            <w:vAlign w:val="center"/>
          </w:tcPr>
          <w:p>
            <w:pPr>
              <w:pStyle w:val="72"/>
            </w:pPr>
            <w:r>
              <w:rPr>
                <w:rFonts w:hint="eastAsia"/>
              </w:rPr>
              <w:t>濉溪县</w:t>
            </w:r>
          </w:p>
        </w:tc>
        <w:tc>
          <w:tcPr>
            <w:tcW w:w="3506" w:type="dxa"/>
            <w:vAlign w:val="bottom"/>
          </w:tcPr>
          <w:p>
            <w:pPr>
              <w:pStyle w:val="72"/>
            </w:pPr>
            <w:r>
              <w:t>4.135</w:t>
            </w:r>
          </w:p>
        </w:tc>
        <w:tc>
          <w:tcPr>
            <w:tcW w:w="3966" w:type="dxa"/>
            <w:vAlign w:val="center"/>
          </w:tcPr>
          <w:p>
            <w:pPr>
              <w:pStyle w:val="72"/>
            </w:pPr>
            <w:r>
              <w:t>2.336</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2404" w:type="dxa"/>
            <w:gridSpan w:val="2"/>
            <w:vAlign w:val="center"/>
          </w:tcPr>
          <w:p>
            <w:pPr>
              <w:pStyle w:val="72"/>
            </w:pPr>
            <w:r>
              <w:rPr>
                <w:rFonts w:hint="eastAsia"/>
              </w:rPr>
              <w:t>淮北市</w:t>
            </w:r>
          </w:p>
        </w:tc>
        <w:tc>
          <w:tcPr>
            <w:tcW w:w="3506" w:type="dxa"/>
            <w:vAlign w:val="center"/>
          </w:tcPr>
          <w:p>
            <w:pPr>
              <w:pStyle w:val="72"/>
            </w:pPr>
            <w:r>
              <w:t>5.093</w:t>
            </w:r>
          </w:p>
        </w:tc>
        <w:tc>
          <w:tcPr>
            <w:tcW w:w="3966" w:type="dxa"/>
            <w:vAlign w:val="center"/>
          </w:tcPr>
          <w:p>
            <w:pPr>
              <w:pStyle w:val="72"/>
            </w:pPr>
            <w:r>
              <w:t>2.878</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78" w:hRule="atLeast"/>
          <w:jc w:val="center"/>
        </w:trPr>
        <w:tc>
          <w:tcPr>
            <w:tcW w:w="1081" w:type="dxa"/>
            <w:vMerge w:val="restart"/>
            <w:vAlign w:val="center"/>
          </w:tcPr>
          <w:p>
            <w:pPr>
              <w:pStyle w:val="72"/>
            </w:pPr>
            <w:r>
              <w:rPr>
                <w:rFonts w:hint="eastAsia"/>
              </w:rPr>
              <w:t>流域</w:t>
            </w:r>
          </w:p>
          <w:p>
            <w:pPr>
              <w:pStyle w:val="72"/>
            </w:pPr>
            <w:r>
              <w:rPr>
                <w:rFonts w:hint="eastAsia"/>
              </w:rPr>
              <w:t>分区</w:t>
            </w:r>
          </w:p>
        </w:tc>
        <w:tc>
          <w:tcPr>
            <w:tcW w:w="1323" w:type="dxa"/>
            <w:vAlign w:val="center"/>
          </w:tcPr>
          <w:p>
            <w:pPr>
              <w:pStyle w:val="72"/>
            </w:pPr>
            <w:r>
              <w:rPr>
                <w:rFonts w:hint="eastAsia"/>
              </w:rPr>
              <w:t>北区</w:t>
            </w:r>
          </w:p>
        </w:tc>
        <w:tc>
          <w:tcPr>
            <w:tcW w:w="3506" w:type="dxa"/>
            <w:vAlign w:val="center"/>
          </w:tcPr>
          <w:p>
            <w:pPr>
              <w:pStyle w:val="72"/>
            </w:pPr>
            <w:r>
              <w:t xml:space="preserve">1.190 </w:t>
            </w:r>
          </w:p>
        </w:tc>
        <w:tc>
          <w:tcPr>
            <w:tcW w:w="3966" w:type="dxa"/>
            <w:noWrap/>
            <w:vAlign w:val="center"/>
          </w:tcPr>
          <w:p>
            <w:pPr>
              <w:pStyle w:val="72"/>
            </w:pPr>
            <w:r>
              <w:t xml:space="preserve">0.672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78" w:hRule="atLeast"/>
          <w:jc w:val="center"/>
        </w:trPr>
        <w:tc>
          <w:tcPr>
            <w:tcW w:w="1081" w:type="dxa"/>
            <w:vMerge w:val="continue"/>
            <w:vAlign w:val="center"/>
          </w:tcPr>
          <w:p>
            <w:pPr>
              <w:pStyle w:val="72"/>
            </w:pPr>
          </w:p>
        </w:tc>
        <w:tc>
          <w:tcPr>
            <w:tcW w:w="1323" w:type="dxa"/>
            <w:vAlign w:val="center"/>
          </w:tcPr>
          <w:p>
            <w:pPr>
              <w:pStyle w:val="72"/>
            </w:pPr>
            <w:r>
              <w:rPr>
                <w:rFonts w:hint="eastAsia"/>
              </w:rPr>
              <w:t>中区</w:t>
            </w:r>
          </w:p>
        </w:tc>
        <w:tc>
          <w:tcPr>
            <w:tcW w:w="3506" w:type="dxa"/>
            <w:vAlign w:val="center"/>
          </w:tcPr>
          <w:p>
            <w:pPr>
              <w:pStyle w:val="72"/>
            </w:pPr>
            <w:r>
              <w:t xml:space="preserve">1.013 </w:t>
            </w:r>
          </w:p>
        </w:tc>
        <w:tc>
          <w:tcPr>
            <w:tcW w:w="3966" w:type="dxa"/>
            <w:noWrap/>
            <w:vAlign w:val="center"/>
          </w:tcPr>
          <w:p>
            <w:pPr>
              <w:pStyle w:val="72"/>
            </w:pPr>
            <w:r>
              <w:t xml:space="preserve">0.572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92" w:hRule="atLeast"/>
          <w:jc w:val="center"/>
        </w:trPr>
        <w:tc>
          <w:tcPr>
            <w:tcW w:w="1081" w:type="dxa"/>
            <w:vMerge w:val="continue"/>
            <w:vAlign w:val="center"/>
          </w:tcPr>
          <w:p>
            <w:pPr>
              <w:pStyle w:val="72"/>
            </w:pPr>
          </w:p>
        </w:tc>
        <w:tc>
          <w:tcPr>
            <w:tcW w:w="1323" w:type="dxa"/>
            <w:vAlign w:val="center"/>
          </w:tcPr>
          <w:p>
            <w:pPr>
              <w:pStyle w:val="72"/>
            </w:pPr>
            <w:r>
              <w:rPr>
                <w:rFonts w:hint="eastAsia"/>
              </w:rPr>
              <w:t>南区</w:t>
            </w:r>
          </w:p>
        </w:tc>
        <w:tc>
          <w:tcPr>
            <w:tcW w:w="3506" w:type="dxa"/>
            <w:vAlign w:val="center"/>
          </w:tcPr>
          <w:p>
            <w:pPr>
              <w:pStyle w:val="72"/>
            </w:pPr>
            <w:r>
              <w:t xml:space="preserve">2.890 </w:t>
            </w:r>
          </w:p>
        </w:tc>
        <w:tc>
          <w:tcPr>
            <w:tcW w:w="3966" w:type="dxa"/>
            <w:noWrap/>
            <w:vAlign w:val="center"/>
          </w:tcPr>
          <w:p>
            <w:pPr>
              <w:pStyle w:val="72"/>
            </w:pPr>
            <w:r>
              <w:t xml:space="preserve">1.633 </w:t>
            </w:r>
          </w:p>
        </w:tc>
      </w:tr>
    </w:tbl>
    <w:p>
      <w:pPr>
        <w:spacing w:before="120" w:beforeLines="50" w:line="300" w:lineRule="auto"/>
        <w:ind w:firstLine="0" w:firstLineChars="0"/>
        <w:jc w:val="center"/>
        <w:rPr>
          <w:rFonts w:ascii="宋体" w:hAnsi="宋体"/>
          <w:b/>
          <w:szCs w:val="21"/>
        </w:rPr>
      </w:pPr>
      <w:r>
        <w:rPr>
          <w:rFonts w:hint="eastAsia" w:ascii="宋体" w:hAnsi="宋体"/>
          <w:b/>
          <w:szCs w:val="21"/>
        </w:rPr>
        <w:t>表</w:t>
      </w:r>
      <w:r>
        <w:rPr>
          <w:rFonts w:ascii="宋体" w:hAnsi="宋体"/>
          <w:b/>
          <w:szCs w:val="21"/>
        </w:rPr>
        <w:t xml:space="preserve">2-7  </w:t>
      </w:r>
      <w:r>
        <w:rPr>
          <w:rFonts w:hint="eastAsia" w:ascii="宋体" w:hAnsi="宋体"/>
          <w:b/>
          <w:szCs w:val="21"/>
        </w:rPr>
        <w:t>淮北市多年平均岩溶裂隙水资源可开采量</w:t>
      </w:r>
      <w:r>
        <w:rPr>
          <w:rFonts w:ascii="宋体" w:hAnsi="宋体"/>
          <w:b/>
          <w:szCs w:val="21"/>
        </w:rPr>
        <w:t xml:space="preserve">  </w:t>
      </w:r>
      <w:r>
        <w:rPr>
          <w:rFonts w:hint="eastAsia" w:ascii="宋体" w:hAnsi="宋体"/>
          <w:b/>
          <w:szCs w:val="21"/>
        </w:rPr>
        <w:t>单位：万</w:t>
      </w:r>
      <w:r>
        <w:rPr>
          <w:rFonts w:ascii="宋体" w:hAnsi="宋体"/>
          <w:b/>
          <w:szCs w:val="21"/>
        </w:rPr>
        <w:t>m</w:t>
      </w:r>
      <w:r>
        <w:rPr>
          <w:rFonts w:ascii="宋体" w:hAnsi="宋体"/>
          <w:b/>
          <w:szCs w:val="21"/>
          <w:vertAlign w:val="superscript"/>
        </w:rPr>
        <w:t>3</w:t>
      </w:r>
    </w:p>
    <w:tbl>
      <w:tblPr>
        <w:tblStyle w:val="39"/>
        <w:tblW w:w="9761"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3253"/>
        <w:gridCol w:w="3254"/>
        <w:gridCol w:w="3254"/>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3253" w:type="dxa"/>
            <w:vAlign w:val="center"/>
          </w:tcPr>
          <w:p>
            <w:pPr>
              <w:pStyle w:val="72"/>
            </w:pPr>
            <w:r>
              <w:rPr>
                <w:rFonts w:hint="eastAsia"/>
              </w:rPr>
              <w:t>名</w:t>
            </w:r>
            <w:r>
              <w:t xml:space="preserve">  </w:t>
            </w:r>
            <w:r>
              <w:rPr>
                <w:rFonts w:hint="eastAsia"/>
              </w:rPr>
              <w:t>称</w:t>
            </w:r>
          </w:p>
        </w:tc>
        <w:tc>
          <w:tcPr>
            <w:tcW w:w="3254" w:type="dxa"/>
            <w:vAlign w:val="center"/>
          </w:tcPr>
          <w:p>
            <w:pPr>
              <w:pStyle w:val="72"/>
            </w:pPr>
            <w:r>
              <w:rPr>
                <w:rFonts w:hint="eastAsia"/>
              </w:rPr>
              <w:t>总</w:t>
            </w:r>
            <w:r>
              <w:t xml:space="preserve">  </w:t>
            </w:r>
            <w:r>
              <w:rPr>
                <w:rFonts w:hint="eastAsia"/>
              </w:rPr>
              <w:t>量</w:t>
            </w:r>
          </w:p>
        </w:tc>
        <w:tc>
          <w:tcPr>
            <w:tcW w:w="3254" w:type="dxa"/>
            <w:vAlign w:val="center"/>
          </w:tcPr>
          <w:p>
            <w:pPr>
              <w:pStyle w:val="72"/>
            </w:pPr>
            <w:r>
              <w:rPr>
                <w:rFonts w:hint="eastAsia"/>
              </w:rPr>
              <w:t>可开采量</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3253" w:type="dxa"/>
            <w:vAlign w:val="center"/>
          </w:tcPr>
          <w:p>
            <w:pPr>
              <w:pStyle w:val="72"/>
            </w:pPr>
            <w:r>
              <w:rPr>
                <w:rFonts w:hint="eastAsia"/>
              </w:rPr>
              <w:t>相山濉溪水源地</w:t>
            </w:r>
          </w:p>
        </w:tc>
        <w:tc>
          <w:tcPr>
            <w:tcW w:w="3254" w:type="dxa"/>
            <w:vAlign w:val="center"/>
          </w:tcPr>
          <w:p>
            <w:pPr>
              <w:pStyle w:val="72"/>
            </w:pPr>
            <w:r>
              <w:t>4123</w:t>
            </w:r>
          </w:p>
        </w:tc>
        <w:tc>
          <w:tcPr>
            <w:tcW w:w="3254" w:type="dxa"/>
            <w:noWrap/>
            <w:vAlign w:val="center"/>
          </w:tcPr>
          <w:p>
            <w:pPr>
              <w:pStyle w:val="72"/>
            </w:pPr>
            <w:r>
              <w:t xml:space="preserve">2969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3253" w:type="dxa"/>
            <w:vAlign w:val="center"/>
          </w:tcPr>
          <w:p>
            <w:pPr>
              <w:pStyle w:val="72"/>
            </w:pPr>
            <w:r>
              <w:rPr>
                <w:rFonts w:hint="eastAsia"/>
              </w:rPr>
              <w:t>徐楼水源地</w:t>
            </w:r>
          </w:p>
        </w:tc>
        <w:tc>
          <w:tcPr>
            <w:tcW w:w="3254" w:type="dxa"/>
            <w:vAlign w:val="center"/>
          </w:tcPr>
          <w:p>
            <w:pPr>
              <w:pStyle w:val="72"/>
            </w:pPr>
            <w:r>
              <w:t>1608</w:t>
            </w:r>
          </w:p>
        </w:tc>
        <w:tc>
          <w:tcPr>
            <w:tcW w:w="3254" w:type="dxa"/>
            <w:noWrap/>
            <w:vAlign w:val="center"/>
          </w:tcPr>
          <w:p>
            <w:pPr>
              <w:pStyle w:val="72"/>
            </w:pPr>
            <w:r>
              <w:t xml:space="preserve">1126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3253" w:type="dxa"/>
            <w:vAlign w:val="center"/>
          </w:tcPr>
          <w:p>
            <w:pPr>
              <w:pStyle w:val="72"/>
            </w:pPr>
            <w:r>
              <w:rPr>
                <w:rFonts w:hint="eastAsia"/>
              </w:rPr>
              <w:t>二电厂水源地</w:t>
            </w:r>
          </w:p>
        </w:tc>
        <w:tc>
          <w:tcPr>
            <w:tcW w:w="3254" w:type="dxa"/>
            <w:vAlign w:val="center"/>
          </w:tcPr>
          <w:p>
            <w:pPr>
              <w:pStyle w:val="72"/>
            </w:pPr>
            <w:r>
              <w:t>5818</w:t>
            </w:r>
          </w:p>
        </w:tc>
        <w:tc>
          <w:tcPr>
            <w:tcW w:w="3254" w:type="dxa"/>
            <w:noWrap/>
            <w:vAlign w:val="center"/>
          </w:tcPr>
          <w:p>
            <w:pPr>
              <w:pStyle w:val="72"/>
            </w:pPr>
            <w:r>
              <w:t xml:space="preserve">4189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3253" w:type="dxa"/>
            <w:noWrap/>
            <w:vAlign w:val="center"/>
          </w:tcPr>
          <w:p>
            <w:pPr>
              <w:pStyle w:val="72"/>
            </w:pPr>
            <w:r>
              <w:rPr>
                <w:rFonts w:hint="eastAsia"/>
              </w:rPr>
              <w:t>合计</w:t>
            </w:r>
          </w:p>
        </w:tc>
        <w:tc>
          <w:tcPr>
            <w:tcW w:w="3254" w:type="dxa"/>
            <w:vAlign w:val="center"/>
          </w:tcPr>
          <w:p>
            <w:pPr>
              <w:pStyle w:val="72"/>
            </w:pPr>
            <w:r>
              <w:t>11548</w:t>
            </w:r>
          </w:p>
        </w:tc>
        <w:tc>
          <w:tcPr>
            <w:tcW w:w="3254" w:type="dxa"/>
            <w:noWrap/>
            <w:vAlign w:val="center"/>
          </w:tcPr>
          <w:p>
            <w:pPr>
              <w:pStyle w:val="72"/>
            </w:pPr>
            <w:r>
              <w:t xml:space="preserve">8283 </w:t>
            </w:r>
          </w:p>
        </w:tc>
      </w:tr>
    </w:tbl>
    <w:p>
      <w:pPr>
        <w:ind w:firstLine="560"/>
      </w:pPr>
      <w:r>
        <w:t>3</w:t>
      </w:r>
      <w:r>
        <w:rPr>
          <w:rFonts w:hint="eastAsia"/>
        </w:rPr>
        <w:t>）水资源可利用总量</w:t>
      </w:r>
    </w:p>
    <w:p>
      <w:pPr>
        <w:snapToGrid w:val="0"/>
        <w:ind w:firstLine="560"/>
      </w:pPr>
      <w:r>
        <w:rPr>
          <w:rFonts w:hint="eastAsia"/>
        </w:rPr>
        <w:t>淮北市多年平均水资源可利用量为</w:t>
      </w:r>
      <w:r>
        <w:t>4.082</w:t>
      </w:r>
      <w:r>
        <w:rPr>
          <w:rFonts w:hint="eastAsia"/>
        </w:rPr>
        <w:t>亿</w:t>
      </w:r>
      <w:r>
        <w:t>m</w:t>
      </w:r>
      <w:r>
        <w:rPr>
          <w:vertAlign w:val="superscript"/>
        </w:rPr>
        <w:t>3</w:t>
      </w:r>
      <w:r>
        <w:rPr>
          <w:rFonts w:hint="eastAsia"/>
        </w:rPr>
        <w:t>，水资源可利用率为</w:t>
      </w:r>
      <w:r>
        <w:t>48.9%</w:t>
      </w:r>
      <w:r>
        <w:rPr>
          <w:rFonts w:hint="eastAsia"/>
        </w:rPr>
        <w:t>。其中地表水可利用量为</w:t>
      </w:r>
      <w:r>
        <w:t>1.304</w:t>
      </w:r>
      <w:r>
        <w:rPr>
          <w:rFonts w:hint="eastAsia"/>
        </w:rPr>
        <w:t>亿</w:t>
      </w:r>
      <w:r>
        <w:t>m</w:t>
      </w:r>
      <w:r>
        <w:rPr>
          <w:vertAlign w:val="superscript"/>
        </w:rPr>
        <w:t>3</w:t>
      </w:r>
      <w:r>
        <w:rPr>
          <w:rFonts w:hint="eastAsia"/>
        </w:rPr>
        <w:t>，占水资源可利用量的</w:t>
      </w:r>
      <w:r>
        <w:t>31.9%</w:t>
      </w:r>
      <w:r>
        <w:rPr>
          <w:rFonts w:hint="eastAsia"/>
        </w:rPr>
        <w:t>，水资源可利用率为</w:t>
      </w:r>
      <w:r>
        <w:t>33.0%</w:t>
      </w:r>
      <w:r>
        <w:rPr>
          <w:rFonts w:hint="eastAsia"/>
        </w:rPr>
        <w:t>；浅层地下水可开采量为</w:t>
      </w:r>
      <w:r>
        <w:t>2.878</w:t>
      </w:r>
      <w:r>
        <w:rPr>
          <w:rFonts w:hint="eastAsia"/>
        </w:rPr>
        <w:t>亿</w:t>
      </w:r>
      <w:r>
        <w:t>m</w:t>
      </w:r>
      <w:r>
        <w:rPr>
          <w:vertAlign w:val="superscript"/>
        </w:rPr>
        <w:t>3</w:t>
      </w:r>
      <w:r>
        <w:rPr>
          <w:rFonts w:hint="eastAsia"/>
        </w:rPr>
        <w:t>，占水资源可利用量的</w:t>
      </w:r>
      <w:r>
        <w:t>70.5%</w:t>
      </w:r>
      <w:r>
        <w:rPr>
          <w:rFonts w:hint="eastAsia"/>
        </w:rPr>
        <w:t>，水资源可开采率为</w:t>
      </w:r>
      <w:r>
        <w:t>56.5%</w:t>
      </w:r>
      <w:r>
        <w:rPr>
          <w:rFonts w:hint="eastAsia"/>
        </w:rPr>
        <w:t>；岩溶裂隙水资源可开采量为</w:t>
      </w:r>
      <w:r>
        <w:t>0.828</w:t>
      </w:r>
      <w:r>
        <w:rPr>
          <w:rFonts w:hint="eastAsia"/>
        </w:rPr>
        <w:t>亿</w:t>
      </w:r>
      <w:r>
        <w:t>m</w:t>
      </w:r>
      <w:r>
        <w:rPr>
          <w:vertAlign w:val="superscript"/>
        </w:rPr>
        <w:t>3</w:t>
      </w:r>
      <w:r>
        <w:rPr>
          <w:rFonts w:hint="eastAsia"/>
        </w:rPr>
        <w:t>，占水资源可利用量的</w:t>
      </w:r>
      <w:r>
        <w:t>20.3%</w:t>
      </w:r>
      <w:r>
        <w:rPr>
          <w:rFonts w:hint="eastAsia"/>
        </w:rPr>
        <w:t>，水资源可开采率为</w:t>
      </w:r>
      <w:r>
        <w:t>71.7%</w:t>
      </w:r>
      <w:r>
        <w:rPr>
          <w:rFonts w:hint="eastAsia"/>
        </w:rPr>
        <w:t>；重复计算量为</w:t>
      </w:r>
      <w:r>
        <w:t>0.928</w:t>
      </w:r>
      <w:r>
        <w:rPr>
          <w:rFonts w:hint="eastAsia"/>
        </w:rPr>
        <w:t>亿</w:t>
      </w:r>
      <w:r>
        <w:t>m</w:t>
      </w:r>
      <w:r>
        <w:rPr>
          <w:vertAlign w:val="superscript"/>
        </w:rPr>
        <w:t>3</w:t>
      </w:r>
      <w:r>
        <w:rPr>
          <w:rFonts w:hint="eastAsia"/>
        </w:rPr>
        <w:t>，占水资源可利用量的</w:t>
      </w:r>
      <w:r>
        <w:t>22.7%</w:t>
      </w:r>
      <w:r>
        <w:rPr>
          <w:rFonts w:hint="eastAsia"/>
        </w:rPr>
        <w:t>。淮北市水资源可利用量计算成果见表</w:t>
      </w:r>
      <w:r>
        <w:t>2-8</w:t>
      </w:r>
      <w:r>
        <w:rPr>
          <w:rFonts w:hint="eastAsia"/>
        </w:rPr>
        <w:t>。</w:t>
      </w:r>
    </w:p>
    <w:p>
      <w:pPr>
        <w:spacing w:before="120" w:beforeLines="50" w:line="300" w:lineRule="auto"/>
        <w:ind w:firstLine="559" w:firstLineChars="199"/>
        <w:jc w:val="center"/>
        <w:rPr>
          <w:rFonts w:ascii="宋体"/>
          <w:b/>
        </w:rPr>
      </w:pPr>
      <w:r>
        <w:rPr>
          <w:rFonts w:hint="eastAsia" w:ascii="宋体" w:hAnsi="宋体"/>
          <w:b/>
        </w:rPr>
        <w:t>表</w:t>
      </w:r>
      <w:r>
        <w:rPr>
          <w:b/>
          <w:bCs/>
          <w:color w:val="000000"/>
        </w:rPr>
        <w:t>2-8</w:t>
      </w:r>
      <w:r>
        <w:rPr>
          <w:b/>
          <w:bCs/>
          <w:color w:val="000000"/>
          <w:sz w:val="32"/>
        </w:rPr>
        <w:t xml:space="preserve"> </w:t>
      </w:r>
      <w:r>
        <w:rPr>
          <w:rFonts w:ascii="宋体" w:hAnsi="宋体"/>
          <w:b/>
        </w:rPr>
        <w:t xml:space="preserve">  </w:t>
      </w:r>
      <w:r>
        <w:rPr>
          <w:rFonts w:hint="eastAsia" w:ascii="宋体" w:hAnsi="宋体"/>
          <w:b/>
        </w:rPr>
        <w:t>淮北市水资源可利用量计算成果表</w:t>
      </w:r>
      <w:r>
        <w:rPr>
          <w:rFonts w:ascii="宋体" w:hAnsi="宋体"/>
          <w:b/>
        </w:rPr>
        <w:t xml:space="preserve">   </w:t>
      </w:r>
      <w:r>
        <w:rPr>
          <w:rFonts w:hint="eastAsia" w:ascii="宋体" w:hAnsi="宋体"/>
          <w:b/>
        </w:rPr>
        <w:t>单位：亿</w:t>
      </w:r>
      <w:r>
        <w:rPr>
          <w:rFonts w:ascii="宋体" w:hAnsi="宋体"/>
          <w:b/>
        </w:rPr>
        <w:t>m</w:t>
      </w:r>
      <w:r>
        <w:rPr>
          <w:rFonts w:ascii="宋体" w:hAnsi="宋体"/>
          <w:b/>
          <w:vertAlign w:val="superscript"/>
        </w:rPr>
        <w:t>3</w:t>
      </w:r>
    </w:p>
    <w:tbl>
      <w:tblPr>
        <w:tblStyle w:val="39"/>
        <w:tblW w:w="9408"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737"/>
        <w:gridCol w:w="897"/>
        <w:gridCol w:w="1276"/>
        <w:gridCol w:w="1984"/>
        <w:gridCol w:w="1985"/>
        <w:gridCol w:w="1275"/>
        <w:gridCol w:w="1254"/>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1028" w:hRule="atLeast"/>
          <w:tblHeader/>
          <w:jc w:val="center"/>
        </w:trPr>
        <w:tc>
          <w:tcPr>
            <w:tcW w:w="1634" w:type="dxa"/>
            <w:gridSpan w:val="2"/>
            <w:noWrap/>
            <w:vAlign w:val="center"/>
          </w:tcPr>
          <w:p>
            <w:pPr>
              <w:pStyle w:val="72"/>
            </w:pPr>
            <w:r>
              <w:rPr>
                <w:rFonts w:hint="eastAsia"/>
              </w:rPr>
              <w:t>分区</w:t>
            </w:r>
          </w:p>
        </w:tc>
        <w:tc>
          <w:tcPr>
            <w:tcW w:w="1276" w:type="dxa"/>
            <w:noWrap/>
            <w:vAlign w:val="center"/>
          </w:tcPr>
          <w:p>
            <w:pPr>
              <w:pStyle w:val="72"/>
            </w:pPr>
            <w:r>
              <w:rPr>
                <w:rFonts w:hint="eastAsia"/>
              </w:rPr>
              <w:t>地表水资源可利用量</w:t>
            </w:r>
          </w:p>
        </w:tc>
        <w:tc>
          <w:tcPr>
            <w:tcW w:w="1984" w:type="dxa"/>
            <w:noWrap/>
            <w:vAlign w:val="center"/>
          </w:tcPr>
          <w:p>
            <w:pPr>
              <w:pStyle w:val="72"/>
            </w:pPr>
            <w:r>
              <w:rPr>
                <w:rFonts w:hint="eastAsia"/>
              </w:rPr>
              <w:t>浅层地下水资源可开采量</w:t>
            </w:r>
          </w:p>
        </w:tc>
        <w:tc>
          <w:tcPr>
            <w:tcW w:w="1985" w:type="dxa"/>
            <w:noWrap/>
            <w:vAlign w:val="center"/>
          </w:tcPr>
          <w:p>
            <w:pPr>
              <w:pStyle w:val="72"/>
            </w:pPr>
            <w:r>
              <w:rPr>
                <w:rFonts w:hint="eastAsia"/>
              </w:rPr>
              <w:t>岩溶裂隙水资源可开采量</w:t>
            </w:r>
          </w:p>
        </w:tc>
        <w:tc>
          <w:tcPr>
            <w:tcW w:w="1275" w:type="dxa"/>
            <w:noWrap/>
            <w:vAlign w:val="center"/>
          </w:tcPr>
          <w:p>
            <w:pPr>
              <w:pStyle w:val="72"/>
            </w:pPr>
            <w:r>
              <w:rPr>
                <w:rFonts w:hint="eastAsia"/>
              </w:rPr>
              <w:t>重复计算量</w:t>
            </w:r>
          </w:p>
        </w:tc>
        <w:tc>
          <w:tcPr>
            <w:tcW w:w="1254" w:type="dxa"/>
            <w:noWrap/>
            <w:vAlign w:val="center"/>
          </w:tcPr>
          <w:p>
            <w:pPr>
              <w:pStyle w:val="72"/>
            </w:pPr>
            <w:r>
              <w:rPr>
                <w:rFonts w:hint="eastAsia"/>
              </w:rPr>
              <w:t>可利用总量</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73" w:hRule="atLeast"/>
          <w:jc w:val="center"/>
        </w:trPr>
        <w:tc>
          <w:tcPr>
            <w:tcW w:w="1634" w:type="dxa"/>
            <w:gridSpan w:val="2"/>
            <w:noWrap/>
            <w:vAlign w:val="center"/>
          </w:tcPr>
          <w:p>
            <w:pPr>
              <w:pStyle w:val="72"/>
            </w:pPr>
            <w:r>
              <w:rPr>
                <w:rFonts w:hint="eastAsia"/>
              </w:rPr>
              <w:t>淮北城区</w:t>
            </w:r>
          </w:p>
        </w:tc>
        <w:tc>
          <w:tcPr>
            <w:tcW w:w="1276" w:type="dxa"/>
            <w:noWrap/>
            <w:vAlign w:val="center"/>
          </w:tcPr>
          <w:p>
            <w:pPr>
              <w:pStyle w:val="72"/>
            </w:pPr>
            <w:r>
              <w:t>0.268</w:t>
            </w:r>
          </w:p>
        </w:tc>
        <w:tc>
          <w:tcPr>
            <w:tcW w:w="1984" w:type="dxa"/>
            <w:noWrap/>
            <w:vAlign w:val="center"/>
          </w:tcPr>
          <w:p>
            <w:pPr>
              <w:pStyle w:val="72"/>
            </w:pPr>
            <w:r>
              <w:t>0.541</w:t>
            </w:r>
          </w:p>
        </w:tc>
        <w:tc>
          <w:tcPr>
            <w:tcW w:w="1985" w:type="dxa"/>
            <w:noWrap/>
            <w:vAlign w:val="center"/>
          </w:tcPr>
          <w:p>
            <w:pPr>
              <w:pStyle w:val="72"/>
            </w:pPr>
            <w:r>
              <w:t>0.661</w:t>
            </w:r>
          </w:p>
        </w:tc>
        <w:tc>
          <w:tcPr>
            <w:tcW w:w="1275" w:type="dxa"/>
            <w:noWrap/>
            <w:vAlign w:val="center"/>
          </w:tcPr>
          <w:p>
            <w:pPr>
              <w:pStyle w:val="72"/>
            </w:pPr>
            <w:r>
              <w:t>0.521</w:t>
            </w:r>
          </w:p>
        </w:tc>
        <w:tc>
          <w:tcPr>
            <w:tcW w:w="1254" w:type="dxa"/>
            <w:noWrap/>
            <w:vAlign w:val="center"/>
          </w:tcPr>
          <w:p>
            <w:pPr>
              <w:pStyle w:val="72"/>
            </w:pPr>
            <w:r>
              <w:t>0.949</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73" w:hRule="atLeast"/>
          <w:jc w:val="center"/>
        </w:trPr>
        <w:tc>
          <w:tcPr>
            <w:tcW w:w="1634" w:type="dxa"/>
            <w:gridSpan w:val="2"/>
            <w:noWrap/>
            <w:vAlign w:val="center"/>
          </w:tcPr>
          <w:p>
            <w:pPr>
              <w:pStyle w:val="72"/>
            </w:pPr>
            <w:r>
              <w:rPr>
                <w:rFonts w:hint="eastAsia"/>
              </w:rPr>
              <w:t>濉溪县</w:t>
            </w:r>
          </w:p>
        </w:tc>
        <w:tc>
          <w:tcPr>
            <w:tcW w:w="1276" w:type="dxa"/>
            <w:noWrap/>
            <w:vAlign w:val="center"/>
          </w:tcPr>
          <w:p>
            <w:pPr>
              <w:pStyle w:val="72"/>
            </w:pPr>
            <w:r>
              <w:t>1.036</w:t>
            </w:r>
          </w:p>
        </w:tc>
        <w:tc>
          <w:tcPr>
            <w:tcW w:w="1984" w:type="dxa"/>
            <w:noWrap/>
            <w:vAlign w:val="center"/>
          </w:tcPr>
          <w:p>
            <w:pPr>
              <w:pStyle w:val="72"/>
            </w:pPr>
            <w:r>
              <w:t>2.336</w:t>
            </w:r>
          </w:p>
        </w:tc>
        <w:tc>
          <w:tcPr>
            <w:tcW w:w="1985" w:type="dxa"/>
            <w:noWrap/>
            <w:vAlign w:val="center"/>
          </w:tcPr>
          <w:p>
            <w:pPr>
              <w:pStyle w:val="72"/>
            </w:pPr>
            <w:r>
              <w:t>0.168</w:t>
            </w:r>
          </w:p>
        </w:tc>
        <w:tc>
          <w:tcPr>
            <w:tcW w:w="1275" w:type="dxa"/>
            <w:noWrap/>
            <w:vAlign w:val="center"/>
          </w:tcPr>
          <w:p>
            <w:pPr>
              <w:pStyle w:val="72"/>
            </w:pPr>
            <w:r>
              <w:t>0.407</w:t>
            </w:r>
          </w:p>
        </w:tc>
        <w:tc>
          <w:tcPr>
            <w:tcW w:w="1254" w:type="dxa"/>
            <w:noWrap/>
            <w:vAlign w:val="center"/>
          </w:tcPr>
          <w:p>
            <w:pPr>
              <w:pStyle w:val="72"/>
            </w:pPr>
            <w:r>
              <w:t>3.133</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58" w:hRule="atLeast"/>
          <w:jc w:val="center"/>
        </w:trPr>
        <w:tc>
          <w:tcPr>
            <w:tcW w:w="1634" w:type="dxa"/>
            <w:gridSpan w:val="2"/>
            <w:noWrap/>
            <w:vAlign w:val="center"/>
          </w:tcPr>
          <w:p>
            <w:pPr>
              <w:pStyle w:val="72"/>
            </w:pPr>
            <w:r>
              <w:rPr>
                <w:rFonts w:hint="eastAsia"/>
              </w:rPr>
              <w:t>淮北市</w:t>
            </w:r>
          </w:p>
        </w:tc>
        <w:tc>
          <w:tcPr>
            <w:tcW w:w="1276" w:type="dxa"/>
            <w:noWrap/>
            <w:vAlign w:val="center"/>
          </w:tcPr>
          <w:p>
            <w:pPr>
              <w:pStyle w:val="72"/>
            </w:pPr>
            <w:r>
              <w:t>1.304</w:t>
            </w:r>
          </w:p>
        </w:tc>
        <w:tc>
          <w:tcPr>
            <w:tcW w:w="1984" w:type="dxa"/>
            <w:noWrap/>
            <w:vAlign w:val="center"/>
          </w:tcPr>
          <w:p>
            <w:pPr>
              <w:pStyle w:val="72"/>
            </w:pPr>
            <w:r>
              <w:t>2.878</w:t>
            </w:r>
          </w:p>
        </w:tc>
        <w:tc>
          <w:tcPr>
            <w:tcW w:w="1985" w:type="dxa"/>
            <w:noWrap/>
            <w:vAlign w:val="center"/>
          </w:tcPr>
          <w:p>
            <w:pPr>
              <w:pStyle w:val="72"/>
            </w:pPr>
            <w:r>
              <w:t>0.828</w:t>
            </w:r>
          </w:p>
        </w:tc>
        <w:tc>
          <w:tcPr>
            <w:tcW w:w="1275" w:type="dxa"/>
            <w:noWrap/>
            <w:vAlign w:val="center"/>
          </w:tcPr>
          <w:p>
            <w:pPr>
              <w:pStyle w:val="72"/>
            </w:pPr>
            <w:r>
              <w:t>0.928</w:t>
            </w:r>
          </w:p>
        </w:tc>
        <w:tc>
          <w:tcPr>
            <w:tcW w:w="1254" w:type="dxa"/>
            <w:noWrap/>
            <w:vAlign w:val="center"/>
          </w:tcPr>
          <w:p>
            <w:pPr>
              <w:pStyle w:val="72"/>
            </w:pPr>
            <w:r>
              <w:t>4.082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73" w:hRule="atLeast"/>
          <w:jc w:val="center"/>
        </w:trPr>
        <w:tc>
          <w:tcPr>
            <w:tcW w:w="737" w:type="dxa"/>
            <w:vMerge w:val="restart"/>
            <w:noWrap/>
            <w:vAlign w:val="center"/>
          </w:tcPr>
          <w:p>
            <w:pPr>
              <w:pStyle w:val="72"/>
            </w:pPr>
            <w:r>
              <w:rPr>
                <w:rFonts w:hint="eastAsia"/>
              </w:rPr>
              <w:t>流域分区</w:t>
            </w:r>
          </w:p>
        </w:tc>
        <w:tc>
          <w:tcPr>
            <w:tcW w:w="897" w:type="dxa"/>
            <w:vAlign w:val="center"/>
          </w:tcPr>
          <w:p>
            <w:pPr>
              <w:pStyle w:val="72"/>
            </w:pPr>
            <w:r>
              <w:rPr>
                <w:rFonts w:hint="eastAsia"/>
              </w:rPr>
              <w:t>北区</w:t>
            </w:r>
          </w:p>
        </w:tc>
        <w:tc>
          <w:tcPr>
            <w:tcW w:w="1276" w:type="dxa"/>
            <w:noWrap/>
            <w:vAlign w:val="center"/>
          </w:tcPr>
          <w:p>
            <w:pPr>
              <w:pStyle w:val="72"/>
            </w:pPr>
            <w:r>
              <w:t>0.328</w:t>
            </w:r>
          </w:p>
        </w:tc>
        <w:tc>
          <w:tcPr>
            <w:tcW w:w="1984" w:type="dxa"/>
            <w:noWrap/>
            <w:vAlign w:val="center"/>
          </w:tcPr>
          <w:p>
            <w:pPr>
              <w:pStyle w:val="72"/>
            </w:pPr>
            <w:r>
              <w:t>0.672</w:t>
            </w:r>
          </w:p>
        </w:tc>
        <w:tc>
          <w:tcPr>
            <w:tcW w:w="1985" w:type="dxa"/>
            <w:noWrap/>
            <w:vAlign w:val="center"/>
          </w:tcPr>
          <w:p>
            <w:pPr>
              <w:pStyle w:val="72"/>
            </w:pPr>
            <w:r>
              <w:t>0.690</w:t>
            </w:r>
          </w:p>
        </w:tc>
        <w:tc>
          <w:tcPr>
            <w:tcW w:w="1275" w:type="dxa"/>
            <w:noWrap/>
            <w:vAlign w:val="center"/>
          </w:tcPr>
          <w:p>
            <w:pPr>
              <w:pStyle w:val="72"/>
            </w:pPr>
            <w:r>
              <w:t>0.563</w:t>
            </w:r>
          </w:p>
        </w:tc>
        <w:tc>
          <w:tcPr>
            <w:tcW w:w="1254" w:type="dxa"/>
            <w:noWrap/>
            <w:vAlign w:val="center"/>
          </w:tcPr>
          <w:p>
            <w:pPr>
              <w:pStyle w:val="72"/>
            </w:pPr>
            <w:r>
              <w:t>1.127</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89" w:hRule="atLeast"/>
          <w:jc w:val="center"/>
        </w:trPr>
        <w:tc>
          <w:tcPr>
            <w:tcW w:w="737" w:type="dxa"/>
            <w:vMerge w:val="continue"/>
            <w:noWrap/>
            <w:vAlign w:val="center"/>
          </w:tcPr>
          <w:p>
            <w:pPr>
              <w:pStyle w:val="72"/>
            </w:pPr>
          </w:p>
        </w:tc>
        <w:tc>
          <w:tcPr>
            <w:tcW w:w="897" w:type="dxa"/>
            <w:vAlign w:val="center"/>
          </w:tcPr>
          <w:p>
            <w:pPr>
              <w:pStyle w:val="72"/>
            </w:pPr>
            <w:r>
              <w:rPr>
                <w:rFonts w:hint="eastAsia"/>
              </w:rPr>
              <w:t>中区</w:t>
            </w:r>
          </w:p>
        </w:tc>
        <w:tc>
          <w:tcPr>
            <w:tcW w:w="1276" w:type="dxa"/>
            <w:noWrap/>
            <w:vAlign w:val="center"/>
          </w:tcPr>
          <w:p>
            <w:pPr>
              <w:pStyle w:val="72"/>
            </w:pPr>
            <w:r>
              <w:t>0.243</w:t>
            </w:r>
          </w:p>
        </w:tc>
        <w:tc>
          <w:tcPr>
            <w:tcW w:w="1984" w:type="dxa"/>
            <w:noWrap/>
            <w:vAlign w:val="center"/>
          </w:tcPr>
          <w:p>
            <w:pPr>
              <w:pStyle w:val="72"/>
            </w:pPr>
            <w:r>
              <w:t>0.572</w:t>
            </w:r>
          </w:p>
        </w:tc>
        <w:tc>
          <w:tcPr>
            <w:tcW w:w="1985" w:type="dxa"/>
            <w:noWrap/>
            <w:vAlign w:val="center"/>
          </w:tcPr>
          <w:p>
            <w:pPr>
              <w:pStyle w:val="72"/>
            </w:pPr>
            <w:r>
              <w:t>0.103</w:t>
            </w:r>
          </w:p>
        </w:tc>
        <w:tc>
          <w:tcPr>
            <w:tcW w:w="1275" w:type="dxa"/>
            <w:noWrap/>
            <w:vAlign w:val="center"/>
          </w:tcPr>
          <w:p>
            <w:pPr>
              <w:pStyle w:val="72"/>
            </w:pPr>
            <w:r>
              <w:t>0.159</w:t>
            </w:r>
          </w:p>
        </w:tc>
        <w:tc>
          <w:tcPr>
            <w:tcW w:w="1254" w:type="dxa"/>
            <w:noWrap/>
            <w:vAlign w:val="center"/>
          </w:tcPr>
          <w:p>
            <w:pPr>
              <w:pStyle w:val="72"/>
            </w:pPr>
            <w:r>
              <w:t>0.759</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389" w:hRule="atLeast"/>
          <w:jc w:val="center"/>
        </w:trPr>
        <w:tc>
          <w:tcPr>
            <w:tcW w:w="737" w:type="dxa"/>
            <w:vMerge w:val="continue"/>
            <w:noWrap/>
            <w:vAlign w:val="center"/>
          </w:tcPr>
          <w:p>
            <w:pPr>
              <w:pStyle w:val="72"/>
            </w:pPr>
          </w:p>
        </w:tc>
        <w:tc>
          <w:tcPr>
            <w:tcW w:w="897" w:type="dxa"/>
            <w:vAlign w:val="center"/>
          </w:tcPr>
          <w:p>
            <w:pPr>
              <w:pStyle w:val="72"/>
            </w:pPr>
            <w:r>
              <w:rPr>
                <w:rFonts w:hint="eastAsia"/>
              </w:rPr>
              <w:t>南区</w:t>
            </w:r>
          </w:p>
        </w:tc>
        <w:tc>
          <w:tcPr>
            <w:tcW w:w="1276" w:type="dxa"/>
            <w:noWrap/>
            <w:vAlign w:val="center"/>
          </w:tcPr>
          <w:p>
            <w:pPr>
              <w:pStyle w:val="72"/>
            </w:pPr>
            <w:r>
              <w:t>0.733</w:t>
            </w:r>
          </w:p>
        </w:tc>
        <w:tc>
          <w:tcPr>
            <w:tcW w:w="1984" w:type="dxa"/>
            <w:noWrap/>
            <w:vAlign w:val="center"/>
          </w:tcPr>
          <w:p>
            <w:pPr>
              <w:pStyle w:val="72"/>
            </w:pPr>
            <w:r>
              <w:t>1.633</w:t>
            </w:r>
          </w:p>
        </w:tc>
        <w:tc>
          <w:tcPr>
            <w:tcW w:w="1985" w:type="dxa"/>
            <w:noWrap/>
            <w:vAlign w:val="center"/>
          </w:tcPr>
          <w:p>
            <w:pPr>
              <w:pStyle w:val="72"/>
            </w:pPr>
            <w:r>
              <w:t>0.035</w:t>
            </w:r>
          </w:p>
        </w:tc>
        <w:tc>
          <w:tcPr>
            <w:tcW w:w="1275" w:type="dxa"/>
            <w:noWrap/>
            <w:vAlign w:val="center"/>
          </w:tcPr>
          <w:p>
            <w:pPr>
              <w:pStyle w:val="72"/>
            </w:pPr>
            <w:r>
              <w:t>0.206</w:t>
            </w:r>
          </w:p>
        </w:tc>
        <w:tc>
          <w:tcPr>
            <w:tcW w:w="1254" w:type="dxa"/>
            <w:noWrap/>
            <w:vAlign w:val="center"/>
          </w:tcPr>
          <w:p>
            <w:pPr>
              <w:pStyle w:val="72"/>
            </w:pPr>
            <w:r>
              <w:t>2.196</w:t>
            </w:r>
          </w:p>
        </w:tc>
      </w:tr>
    </w:tbl>
    <w:p>
      <w:pPr>
        <w:pStyle w:val="3"/>
        <w:spacing w:before="120" w:after="60" w:line="360" w:lineRule="auto"/>
        <w:ind w:firstLine="602"/>
        <w:rPr>
          <w:rFonts w:ascii="Times New Roman" w:hAnsi="Times New Roman"/>
        </w:rPr>
      </w:pPr>
      <w:bookmarkStart w:id="85" w:name="_Toc8032512"/>
      <w:r>
        <w:rPr>
          <w:rFonts w:hint="eastAsia" w:ascii="Times New Roman" w:hAnsi="Times New Roman"/>
        </w:rPr>
        <w:t>2.2水环境质量概况</w:t>
      </w:r>
      <w:bookmarkEnd w:id="85"/>
    </w:p>
    <w:p>
      <w:pPr>
        <w:ind w:firstLine="560"/>
      </w:pPr>
      <w:r>
        <w:t>1</w:t>
      </w:r>
      <w:r>
        <w:rPr>
          <w:rFonts w:hint="eastAsia"/>
        </w:rPr>
        <w:t>、地表水水质</w:t>
      </w:r>
    </w:p>
    <w:p>
      <w:pPr>
        <w:ind w:firstLine="560"/>
      </w:pPr>
      <w:r>
        <w:t>2015</w:t>
      </w:r>
      <w:r>
        <w:rPr>
          <w:rFonts w:hint="eastAsia"/>
        </w:rPr>
        <w:t>年共对浍河、南沱河、萧濉新河、澥河、王引河、洪碱河、岱河、龙河、闸河等</w:t>
      </w:r>
      <w:r>
        <w:t>9</w:t>
      </w:r>
      <w:r>
        <w:rPr>
          <w:rFonts w:hint="eastAsia"/>
        </w:rPr>
        <w:t>条河流</w:t>
      </w:r>
      <w:r>
        <w:t>17</w:t>
      </w:r>
      <w:r>
        <w:rPr>
          <w:rFonts w:hint="eastAsia"/>
        </w:rPr>
        <w:t>个断面进行监测。其中，浍河、南沱河、萧濉新河</w:t>
      </w:r>
      <w:r>
        <w:t>1</w:t>
      </w:r>
      <w:r>
        <w:rPr>
          <w:rFonts w:hint="eastAsia" w:ascii="宋体" w:hAnsi="宋体"/>
        </w:rPr>
        <w:t>～</w:t>
      </w:r>
      <w:r>
        <w:t>12</w:t>
      </w:r>
      <w:r>
        <w:rPr>
          <w:rFonts w:hint="eastAsia"/>
        </w:rPr>
        <w:t>月每月监测一次，洪碱河</w:t>
      </w:r>
      <w:r>
        <w:t>7</w:t>
      </w:r>
      <w:r>
        <w:rPr>
          <w:rFonts w:hint="eastAsia" w:ascii="宋体" w:hAnsi="宋体"/>
        </w:rPr>
        <w:t>～</w:t>
      </w:r>
      <w:r>
        <w:t>12</w:t>
      </w:r>
      <w:r>
        <w:rPr>
          <w:rFonts w:hint="eastAsia"/>
        </w:rPr>
        <w:t>月每月监测</w:t>
      </w:r>
      <w:r>
        <w:t>1</w:t>
      </w:r>
      <w:r>
        <w:rPr>
          <w:rFonts w:hint="eastAsia"/>
        </w:rPr>
        <w:t>次，龙河和闸河</w:t>
      </w:r>
      <w:r>
        <w:t>4</w:t>
      </w:r>
      <w:r>
        <w:rPr>
          <w:rFonts w:hint="eastAsia"/>
        </w:rPr>
        <w:t>月、</w:t>
      </w:r>
      <w:r>
        <w:t>9</w:t>
      </w:r>
      <w:r>
        <w:rPr>
          <w:rFonts w:hint="eastAsia"/>
        </w:rPr>
        <w:t>月、</w:t>
      </w:r>
      <w:r>
        <w:t>11</w:t>
      </w:r>
      <w:r>
        <w:rPr>
          <w:rFonts w:hint="eastAsia"/>
        </w:rPr>
        <w:t>月和</w:t>
      </w:r>
      <w:r>
        <w:t>12</w:t>
      </w:r>
      <w:r>
        <w:rPr>
          <w:rFonts w:hint="eastAsia"/>
        </w:rPr>
        <w:t>月各监测</w:t>
      </w:r>
      <w:r>
        <w:t>1</w:t>
      </w:r>
      <w:r>
        <w:rPr>
          <w:rFonts w:hint="eastAsia"/>
        </w:rPr>
        <w:t>次，其他河流</w:t>
      </w:r>
      <w:r>
        <w:t>11</w:t>
      </w:r>
      <w:r>
        <w:rPr>
          <w:rFonts w:hint="eastAsia"/>
        </w:rPr>
        <w:t>月和</w:t>
      </w:r>
      <w:r>
        <w:t>12</w:t>
      </w:r>
      <w:r>
        <w:rPr>
          <w:rFonts w:hint="eastAsia"/>
        </w:rPr>
        <w:t>月各监测</w:t>
      </w:r>
      <w:r>
        <w:t>1</w:t>
      </w:r>
      <w:r>
        <w:rPr>
          <w:rFonts w:hint="eastAsia"/>
        </w:rPr>
        <w:t>次。</w:t>
      </w:r>
    </w:p>
    <w:p>
      <w:pPr>
        <w:ind w:firstLine="560"/>
      </w:pPr>
      <w:r>
        <w:rPr>
          <w:rFonts w:hint="eastAsia"/>
        </w:rPr>
        <w:t>淮北市主要河流</w:t>
      </w:r>
      <w:r>
        <w:t>2015</w:t>
      </w:r>
      <w:r>
        <w:rPr>
          <w:rFonts w:hint="eastAsia"/>
        </w:rPr>
        <w:t>年水质情况见下表</w:t>
      </w:r>
      <w:r>
        <w:t>2-9</w:t>
      </w:r>
      <w:r>
        <w:rPr>
          <w:rFonts w:hint="eastAsia"/>
        </w:rPr>
        <w:t>。</w:t>
      </w:r>
    </w:p>
    <w:p>
      <w:pPr>
        <w:ind w:firstLine="0" w:firstLineChars="0"/>
        <w:jc w:val="center"/>
        <w:rPr>
          <w:rFonts w:ascii="宋体" w:hAnsi="宋体"/>
          <w:b/>
          <w:szCs w:val="21"/>
        </w:rPr>
      </w:pPr>
      <w:r>
        <w:rPr>
          <w:rFonts w:hint="eastAsia" w:ascii="宋体" w:hAnsi="宋体"/>
          <w:b/>
          <w:szCs w:val="21"/>
        </w:rPr>
        <w:t>表</w:t>
      </w:r>
      <w:r>
        <w:rPr>
          <w:rFonts w:ascii="宋体" w:hAnsi="宋体"/>
          <w:b/>
          <w:szCs w:val="21"/>
        </w:rPr>
        <w:t>2-9   2015</w:t>
      </w:r>
      <w:r>
        <w:rPr>
          <w:rFonts w:hint="eastAsia" w:ascii="宋体" w:hAnsi="宋体"/>
          <w:b/>
          <w:szCs w:val="21"/>
        </w:rPr>
        <w:t>年淮北市主要河流水质状况表</w:t>
      </w:r>
    </w:p>
    <w:tbl>
      <w:tblPr>
        <w:tblStyle w:val="39"/>
        <w:tblW w:w="9923" w:type="dxa"/>
        <w:tblInd w:w="-176"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418"/>
        <w:gridCol w:w="1418"/>
        <w:gridCol w:w="1276"/>
        <w:gridCol w:w="1134"/>
        <w:gridCol w:w="850"/>
        <w:gridCol w:w="992"/>
        <w:gridCol w:w="2835"/>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217" w:hRule="atLeast"/>
        </w:trPr>
        <w:tc>
          <w:tcPr>
            <w:tcW w:w="1418" w:type="dxa"/>
            <w:vMerge w:val="restart"/>
            <w:vAlign w:val="center"/>
          </w:tcPr>
          <w:p>
            <w:pPr>
              <w:pStyle w:val="72"/>
            </w:pPr>
            <w:r>
              <w:rPr>
                <w:rFonts w:hint="eastAsia"/>
              </w:rPr>
              <w:t>河流名称</w:t>
            </w:r>
          </w:p>
        </w:tc>
        <w:tc>
          <w:tcPr>
            <w:tcW w:w="5670" w:type="dxa"/>
            <w:gridSpan w:val="5"/>
            <w:vAlign w:val="center"/>
          </w:tcPr>
          <w:p>
            <w:pPr>
              <w:pStyle w:val="72"/>
            </w:pPr>
            <w:r>
              <w:rPr>
                <w:rFonts w:hint="eastAsia"/>
              </w:rPr>
              <w:t>全面水质评价河长（</w:t>
            </w:r>
            <w:r>
              <w:t>km</w:t>
            </w:r>
            <w:r>
              <w:rPr>
                <w:rFonts w:hint="eastAsia"/>
              </w:rPr>
              <w:t>）</w:t>
            </w:r>
          </w:p>
        </w:tc>
        <w:tc>
          <w:tcPr>
            <w:tcW w:w="2835" w:type="dxa"/>
            <w:vMerge w:val="restart"/>
            <w:vAlign w:val="center"/>
          </w:tcPr>
          <w:p>
            <w:pPr>
              <w:pStyle w:val="72"/>
            </w:pPr>
            <w:r>
              <w:rPr>
                <w:rFonts w:hint="eastAsia"/>
              </w:rPr>
              <w:t>主要超标项目</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276" w:hRule="atLeast"/>
        </w:trPr>
        <w:tc>
          <w:tcPr>
            <w:tcW w:w="1418" w:type="dxa"/>
            <w:vMerge w:val="continue"/>
            <w:vAlign w:val="center"/>
          </w:tcPr>
          <w:p>
            <w:pPr>
              <w:pStyle w:val="72"/>
            </w:pPr>
          </w:p>
        </w:tc>
        <w:tc>
          <w:tcPr>
            <w:tcW w:w="1418" w:type="dxa"/>
            <w:vAlign w:val="center"/>
          </w:tcPr>
          <w:p>
            <w:pPr>
              <w:pStyle w:val="72"/>
            </w:pPr>
            <w:r>
              <w:rPr>
                <w:rFonts w:hint="eastAsia"/>
              </w:rPr>
              <w:t>评价河长</w:t>
            </w:r>
          </w:p>
        </w:tc>
        <w:tc>
          <w:tcPr>
            <w:tcW w:w="1276" w:type="dxa"/>
            <w:vAlign w:val="center"/>
          </w:tcPr>
          <w:p>
            <w:pPr>
              <w:pStyle w:val="72"/>
            </w:pPr>
            <w:r>
              <w:rPr>
                <w:rFonts w:hint="eastAsia" w:ascii="宋体" w:hAnsi="宋体"/>
              </w:rPr>
              <w:t>Ⅱ～Ⅲ</w:t>
            </w:r>
          </w:p>
        </w:tc>
        <w:tc>
          <w:tcPr>
            <w:tcW w:w="1134" w:type="dxa"/>
            <w:vAlign w:val="center"/>
          </w:tcPr>
          <w:p>
            <w:pPr>
              <w:pStyle w:val="72"/>
            </w:pPr>
            <w:r>
              <w:rPr>
                <w:rFonts w:hint="eastAsia" w:ascii="宋体" w:hAnsi="宋体"/>
              </w:rPr>
              <w:t>Ⅳ</w:t>
            </w:r>
          </w:p>
        </w:tc>
        <w:tc>
          <w:tcPr>
            <w:tcW w:w="850" w:type="dxa"/>
            <w:vAlign w:val="center"/>
          </w:tcPr>
          <w:p>
            <w:pPr>
              <w:pStyle w:val="72"/>
            </w:pPr>
            <w:r>
              <w:rPr>
                <w:rFonts w:hint="eastAsia" w:ascii="宋体" w:hAnsi="宋体"/>
              </w:rPr>
              <w:t>Ⅴ</w:t>
            </w:r>
          </w:p>
        </w:tc>
        <w:tc>
          <w:tcPr>
            <w:tcW w:w="992" w:type="dxa"/>
            <w:vAlign w:val="center"/>
          </w:tcPr>
          <w:p>
            <w:pPr>
              <w:pStyle w:val="72"/>
            </w:pPr>
            <w:r>
              <w:rPr>
                <w:rFonts w:hint="eastAsia"/>
              </w:rPr>
              <w:t>劣</w:t>
            </w:r>
            <w:r>
              <w:rPr>
                <w:rFonts w:hint="eastAsia" w:ascii="宋体" w:hAnsi="宋体"/>
              </w:rPr>
              <w:t>Ⅴ</w:t>
            </w:r>
          </w:p>
        </w:tc>
        <w:tc>
          <w:tcPr>
            <w:tcW w:w="2835" w:type="dxa"/>
            <w:vMerge w:val="continue"/>
            <w:vAlign w:val="center"/>
          </w:tcPr>
          <w:p>
            <w:pPr>
              <w:pStyle w:val="72"/>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1154" w:hRule="atLeast"/>
        </w:trPr>
        <w:tc>
          <w:tcPr>
            <w:tcW w:w="1418" w:type="dxa"/>
            <w:vAlign w:val="center"/>
          </w:tcPr>
          <w:p>
            <w:pPr>
              <w:pStyle w:val="72"/>
            </w:pPr>
            <w:r>
              <w:rPr>
                <w:rFonts w:hint="eastAsia"/>
              </w:rPr>
              <w:t>浍河</w:t>
            </w:r>
          </w:p>
        </w:tc>
        <w:tc>
          <w:tcPr>
            <w:tcW w:w="1418" w:type="dxa"/>
            <w:vAlign w:val="center"/>
          </w:tcPr>
          <w:p>
            <w:pPr>
              <w:pStyle w:val="72"/>
            </w:pPr>
            <w:r>
              <w:t>64.0</w:t>
            </w:r>
          </w:p>
        </w:tc>
        <w:tc>
          <w:tcPr>
            <w:tcW w:w="1276" w:type="dxa"/>
            <w:vAlign w:val="center"/>
          </w:tcPr>
          <w:p>
            <w:pPr>
              <w:pStyle w:val="72"/>
            </w:pPr>
            <w:r>
              <w:t>0</w:t>
            </w:r>
          </w:p>
        </w:tc>
        <w:tc>
          <w:tcPr>
            <w:tcW w:w="1134" w:type="dxa"/>
            <w:vAlign w:val="center"/>
          </w:tcPr>
          <w:p>
            <w:pPr>
              <w:pStyle w:val="72"/>
            </w:pPr>
            <w:r>
              <w:t>17.8</w:t>
            </w:r>
          </w:p>
        </w:tc>
        <w:tc>
          <w:tcPr>
            <w:tcW w:w="850" w:type="dxa"/>
            <w:vAlign w:val="center"/>
          </w:tcPr>
          <w:p>
            <w:pPr>
              <w:pStyle w:val="72"/>
            </w:pPr>
            <w:r>
              <w:t>31.2</w:t>
            </w:r>
          </w:p>
        </w:tc>
        <w:tc>
          <w:tcPr>
            <w:tcW w:w="992" w:type="dxa"/>
            <w:vAlign w:val="center"/>
          </w:tcPr>
          <w:p>
            <w:pPr>
              <w:pStyle w:val="72"/>
            </w:pPr>
            <w:r>
              <w:t>15.0</w:t>
            </w:r>
          </w:p>
        </w:tc>
        <w:tc>
          <w:tcPr>
            <w:tcW w:w="2835" w:type="dxa"/>
            <w:vAlign w:val="center"/>
          </w:tcPr>
          <w:p>
            <w:pPr>
              <w:pStyle w:val="72"/>
            </w:pPr>
            <w:r>
              <w:t>BOD</w:t>
            </w:r>
            <w:r>
              <w:rPr>
                <w:vertAlign w:val="subscript"/>
              </w:rPr>
              <w:t>5</w:t>
            </w:r>
            <w:r>
              <w:rPr>
                <w:rFonts w:hint="eastAsia"/>
              </w:rPr>
              <w:t>、氟化物、总磷、</w:t>
            </w:r>
            <w:r>
              <w:t>CODcr</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1178" w:hRule="atLeast"/>
        </w:trPr>
        <w:tc>
          <w:tcPr>
            <w:tcW w:w="1418" w:type="dxa"/>
            <w:vAlign w:val="center"/>
          </w:tcPr>
          <w:p>
            <w:pPr>
              <w:pStyle w:val="72"/>
            </w:pPr>
            <w:r>
              <w:rPr>
                <w:rFonts w:hint="eastAsia"/>
              </w:rPr>
              <w:t>南沱河</w:t>
            </w:r>
          </w:p>
        </w:tc>
        <w:tc>
          <w:tcPr>
            <w:tcW w:w="1418" w:type="dxa"/>
            <w:vAlign w:val="center"/>
          </w:tcPr>
          <w:p>
            <w:pPr>
              <w:pStyle w:val="72"/>
            </w:pPr>
            <w:r>
              <w:t>48.3</w:t>
            </w:r>
          </w:p>
        </w:tc>
        <w:tc>
          <w:tcPr>
            <w:tcW w:w="1276" w:type="dxa"/>
            <w:vAlign w:val="center"/>
          </w:tcPr>
          <w:p>
            <w:pPr>
              <w:pStyle w:val="72"/>
            </w:pPr>
            <w:r>
              <w:t>0</w:t>
            </w:r>
          </w:p>
        </w:tc>
        <w:tc>
          <w:tcPr>
            <w:tcW w:w="1134" w:type="dxa"/>
            <w:vAlign w:val="center"/>
          </w:tcPr>
          <w:p>
            <w:pPr>
              <w:pStyle w:val="72"/>
            </w:pPr>
            <w:r>
              <w:t>0</w:t>
            </w:r>
          </w:p>
        </w:tc>
        <w:tc>
          <w:tcPr>
            <w:tcW w:w="850" w:type="dxa"/>
            <w:vAlign w:val="center"/>
          </w:tcPr>
          <w:p>
            <w:pPr>
              <w:pStyle w:val="72"/>
            </w:pPr>
            <w:r>
              <w:t>48.3</w:t>
            </w:r>
          </w:p>
        </w:tc>
        <w:tc>
          <w:tcPr>
            <w:tcW w:w="992" w:type="dxa"/>
            <w:vAlign w:val="center"/>
          </w:tcPr>
          <w:p>
            <w:pPr>
              <w:pStyle w:val="72"/>
            </w:pPr>
            <w:r>
              <w:t>0</w:t>
            </w:r>
          </w:p>
        </w:tc>
        <w:tc>
          <w:tcPr>
            <w:tcW w:w="2835" w:type="dxa"/>
            <w:vAlign w:val="center"/>
          </w:tcPr>
          <w:p>
            <w:pPr>
              <w:pStyle w:val="72"/>
            </w:pPr>
            <w:r>
              <w:t>BOD</w:t>
            </w:r>
            <w:r>
              <w:rPr>
                <w:vertAlign w:val="subscript"/>
              </w:rPr>
              <w:t>5</w:t>
            </w:r>
            <w:r>
              <w:rPr>
                <w:rFonts w:hint="eastAsia"/>
              </w:rPr>
              <w:t>、</w:t>
            </w:r>
            <w:r>
              <w:t>CODcr</w:t>
            </w:r>
            <w:r>
              <w:rPr>
                <w:rFonts w:hint="eastAsia"/>
              </w:rPr>
              <w:t>、氟化物、总磷</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1178" w:hRule="atLeast"/>
        </w:trPr>
        <w:tc>
          <w:tcPr>
            <w:tcW w:w="1418" w:type="dxa"/>
            <w:vAlign w:val="center"/>
          </w:tcPr>
          <w:p>
            <w:pPr>
              <w:pStyle w:val="72"/>
            </w:pPr>
            <w:r>
              <w:rPr>
                <w:rFonts w:hint="eastAsia"/>
              </w:rPr>
              <w:t>萧濉新河</w:t>
            </w:r>
          </w:p>
        </w:tc>
        <w:tc>
          <w:tcPr>
            <w:tcW w:w="1418" w:type="dxa"/>
            <w:vAlign w:val="center"/>
          </w:tcPr>
          <w:p>
            <w:pPr>
              <w:pStyle w:val="72"/>
            </w:pPr>
            <w:r>
              <w:t>39.8</w:t>
            </w:r>
          </w:p>
        </w:tc>
        <w:tc>
          <w:tcPr>
            <w:tcW w:w="1276" w:type="dxa"/>
            <w:vAlign w:val="center"/>
          </w:tcPr>
          <w:p>
            <w:pPr>
              <w:pStyle w:val="72"/>
            </w:pPr>
            <w:r>
              <w:t>0</w:t>
            </w:r>
          </w:p>
        </w:tc>
        <w:tc>
          <w:tcPr>
            <w:tcW w:w="1134" w:type="dxa"/>
            <w:vAlign w:val="center"/>
          </w:tcPr>
          <w:p>
            <w:pPr>
              <w:pStyle w:val="72"/>
            </w:pPr>
            <w:r>
              <w:t>0</w:t>
            </w:r>
          </w:p>
        </w:tc>
        <w:tc>
          <w:tcPr>
            <w:tcW w:w="850" w:type="dxa"/>
            <w:vAlign w:val="center"/>
          </w:tcPr>
          <w:p>
            <w:pPr>
              <w:pStyle w:val="72"/>
            </w:pPr>
            <w:r>
              <w:t>16.5</w:t>
            </w:r>
          </w:p>
        </w:tc>
        <w:tc>
          <w:tcPr>
            <w:tcW w:w="992" w:type="dxa"/>
            <w:vAlign w:val="center"/>
          </w:tcPr>
          <w:p>
            <w:pPr>
              <w:pStyle w:val="72"/>
            </w:pPr>
            <w:r>
              <w:t>23.3</w:t>
            </w:r>
          </w:p>
        </w:tc>
        <w:tc>
          <w:tcPr>
            <w:tcW w:w="2835" w:type="dxa"/>
            <w:vAlign w:val="center"/>
          </w:tcPr>
          <w:p>
            <w:pPr>
              <w:pStyle w:val="72"/>
            </w:pPr>
            <w:r>
              <w:rPr>
                <w:rFonts w:hint="eastAsia"/>
              </w:rPr>
              <w:t>氨氮、</w:t>
            </w:r>
            <w:r>
              <w:t>BOD</w:t>
            </w:r>
            <w:r>
              <w:rPr>
                <w:vertAlign w:val="subscript"/>
              </w:rPr>
              <w:t>5</w:t>
            </w:r>
            <w:r>
              <w:rPr>
                <w:rFonts w:hint="eastAsia"/>
              </w:rPr>
              <w:t>、</w:t>
            </w:r>
            <w:r>
              <w:t>CODcr</w:t>
            </w:r>
            <w:r>
              <w:rPr>
                <w:rFonts w:hint="eastAsia"/>
              </w:rPr>
              <w:t>、总磷</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89" w:hRule="atLeast"/>
        </w:trPr>
        <w:tc>
          <w:tcPr>
            <w:tcW w:w="1418" w:type="dxa"/>
            <w:vAlign w:val="center"/>
          </w:tcPr>
          <w:p>
            <w:pPr>
              <w:pStyle w:val="72"/>
            </w:pPr>
            <w:r>
              <w:rPr>
                <w:rFonts w:hint="eastAsia"/>
              </w:rPr>
              <w:t>合计</w:t>
            </w:r>
          </w:p>
        </w:tc>
        <w:tc>
          <w:tcPr>
            <w:tcW w:w="1418" w:type="dxa"/>
            <w:vAlign w:val="center"/>
          </w:tcPr>
          <w:p>
            <w:pPr>
              <w:pStyle w:val="72"/>
            </w:pPr>
            <w:r>
              <w:t>152.1</w:t>
            </w:r>
          </w:p>
        </w:tc>
        <w:tc>
          <w:tcPr>
            <w:tcW w:w="1276" w:type="dxa"/>
            <w:vAlign w:val="center"/>
          </w:tcPr>
          <w:p>
            <w:pPr>
              <w:pStyle w:val="72"/>
            </w:pPr>
            <w:r>
              <w:t>0</w:t>
            </w:r>
          </w:p>
        </w:tc>
        <w:tc>
          <w:tcPr>
            <w:tcW w:w="1134" w:type="dxa"/>
            <w:vAlign w:val="center"/>
          </w:tcPr>
          <w:p>
            <w:pPr>
              <w:pStyle w:val="72"/>
            </w:pPr>
            <w:r>
              <w:t>17.8</w:t>
            </w:r>
          </w:p>
        </w:tc>
        <w:tc>
          <w:tcPr>
            <w:tcW w:w="850" w:type="dxa"/>
            <w:vAlign w:val="center"/>
          </w:tcPr>
          <w:p>
            <w:pPr>
              <w:pStyle w:val="72"/>
            </w:pPr>
            <w:r>
              <w:t>96.0</w:t>
            </w:r>
          </w:p>
        </w:tc>
        <w:tc>
          <w:tcPr>
            <w:tcW w:w="992" w:type="dxa"/>
            <w:vAlign w:val="center"/>
          </w:tcPr>
          <w:p>
            <w:pPr>
              <w:pStyle w:val="72"/>
            </w:pPr>
            <w:r>
              <w:t>38.3</w:t>
            </w:r>
          </w:p>
        </w:tc>
        <w:tc>
          <w:tcPr>
            <w:tcW w:w="2835" w:type="dxa"/>
            <w:vAlign w:val="center"/>
          </w:tcPr>
          <w:p>
            <w:pPr>
              <w:pStyle w:val="72"/>
            </w:pPr>
          </w:p>
        </w:tc>
      </w:tr>
    </w:tbl>
    <w:p>
      <w:pPr>
        <w:ind w:firstLine="560"/>
      </w:pPr>
      <w:r>
        <w:t>2</w:t>
      </w:r>
      <w:r>
        <w:rPr>
          <w:rFonts w:hint="eastAsia"/>
        </w:rPr>
        <w:t>、采煤沉陷区水质</w:t>
      </w:r>
    </w:p>
    <w:p>
      <w:pPr>
        <w:ind w:firstLine="560"/>
      </w:pPr>
      <w:r>
        <w:t>2015</w:t>
      </w:r>
      <w:r>
        <w:rPr>
          <w:rFonts w:hint="eastAsia"/>
        </w:rPr>
        <w:t>年对杨庄矿、朔里矿、张庄矿西、刘桥二矿</w:t>
      </w:r>
      <w:r>
        <w:t>4</w:t>
      </w:r>
      <w:r>
        <w:rPr>
          <w:rFonts w:hint="eastAsia"/>
        </w:rPr>
        <w:t>个采煤沉陷区水质进行</w:t>
      </w:r>
      <w:r>
        <w:t>2</w:t>
      </w:r>
      <w:r>
        <w:rPr>
          <w:rFonts w:hint="eastAsia"/>
        </w:rPr>
        <w:t>次采样监测。各沉陷区水质监测结果为：杨庄矿沉陷区</w:t>
      </w:r>
      <w:r>
        <w:rPr>
          <w:rFonts w:hint="eastAsia" w:ascii="宋体" w:hAnsi="宋体"/>
        </w:rPr>
        <w:t>Ⅲ</w:t>
      </w:r>
      <w:r>
        <w:rPr>
          <w:rFonts w:hint="eastAsia"/>
        </w:rPr>
        <w:t>类、刘桥二矿沉陷区</w:t>
      </w:r>
      <w:r>
        <w:rPr>
          <w:rFonts w:hint="eastAsia" w:ascii="宋体" w:hAnsi="宋体"/>
        </w:rPr>
        <w:t>Ⅴ</w:t>
      </w:r>
      <w:r>
        <w:rPr>
          <w:rFonts w:hint="eastAsia"/>
        </w:rPr>
        <w:t>类，五日生化需氧量、化学需氧量、氨氮超标；张庄矿西沉陷区</w:t>
      </w:r>
      <w:r>
        <w:rPr>
          <w:rFonts w:hint="eastAsia" w:ascii="宋体" w:hAnsi="宋体"/>
        </w:rPr>
        <w:t>Ⅴ</w:t>
      </w:r>
      <w:r>
        <w:rPr>
          <w:rFonts w:hint="eastAsia"/>
        </w:rPr>
        <w:t>类，五日生化需氧量、化学需氧量、高锰酸盐指数超标；朔里矿沉陷区劣</w:t>
      </w:r>
      <w:r>
        <w:rPr>
          <w:rFonts w:hint="eastAsia" w:ascii="宋体" w:hAnsi="宋体"/>
        </w:rPr>
        <w:t>Ⅴ</w:t>
      </w:r>
      <w:r>
        <w:rPr>
          <w:rFonts w:hint="eastAsia"/>
        </w:rPr>
        <w:t>类，主要污染项目为总磷、五日生化需氧量、化学需氧量。</w:t>
      </w:r>
    </w:p>
    <w:p>
      <w:pPr>
        <w:ind w:firstLine="560"/>
      </w:pPr>
      <w:r>
        <w:t>3</w:t>
      </w:r>
      <w:r>
        <w:rPr>
          <w:rFonts w:hint="eastAsia"/>
        </w:rPr>
        <w:t>、浅层地下水水质</w:t>
      </w:r>
    </w:p>
    <w:p>
      <w:pPr>
        <w:ind w:firstLine="560"/>
      </w:pPr>
      <w:r>
        <w:rPr>
          <w:rFonts w:hint="eastAsia"/>
        </w:rPr>
        <w:t>浅层地下水是农业灌溉和农村居民生活的主要水源，</w:t>
      </w:r>
      <w:r>
        <w:t>2015</w:t>
      </w:r>
      <w:r>
        <w:rPr>
          <w:rFonts w:hint="eastAsia"/>
        </w:rPr>
        <w:t>年分别对</w:t>
      </w:r>
      <w:r>
        <w:t>22</w:t>
      </w:r>
      <w:r>
        <w:rPr>
          <w:rFonts w:hint="eastAsia"/>
        </w:rPr>
        <w:t>眼浅层地下水井进行</w:t>
      </w:r>
      <w:r>
        <w:t>2</w:t>
      </w:r>
      <w:r>
        <w:rPr>
          <w:rFonts w:hint="eastAsia"/>
        </w:rPr>
        <w:t>次化验，监测项目为</w:t>
      </w:r>
      <w:r>
        <w:t>PH</w:t>
      </w:r>
      <w:r>
        <w:rPr>
          <w:rFonts w:hint="eastAsia"/>
        </w:rPr>
        <w:t>值，总硬度、铁、锰、氟化物等共</w:t>
      </w:r>
      <w:r>
        <w:t>34</w:t>
      </w:r>
      <w:r>
        <w:rPr>
          <w:rFonts w:hint="eastAsia"/>
        </w:rPr>
        <w:t>项。</w:t>
      </w:r>
      <w:r>
        <w:t>22</w:t>
      </w:r>
      <w:r>
        <w:rPr>
          <w:rFonts w:hint="eastAsia"/>
        </w:rPr>
        <w:t>眼井中，</w:t>
      </w:r>
      <w:r>
        <w:rPr>
          <w:rFonts w:hint="eastAsia" w:ascii="宋体" w:hAnsi="宋体"/>
        </w:rPr>
        <w:t>Ⅲ</w:t>
      </w:r>
      <w:r>
        <w:rPr>
          <w:rFonts w:hint="eastAsia"/>
        </w:rPr>
        <w:t>类水质</w:t>
      </w:r>
      <w:r>
        <w:t>7</w:t>
      </w:r>
      <w:r>
        <w:rPr>
          <w:rFonts w:hint="eastAsia"/>
        </w:rPr>
        <w:t>眼，占比</w:t>
      </w:r>
      <w:r>
        <w:t>32%</w:t>
      </w:r>
      <w:r>
        <w:rPr>
          <w:rFonts w:hint="eastAsia"/>
        </w:rPr>
        <w:t>，</w:t>
      </w:r>
      <w:r>
        <w:rPr>
          <w:rFonts w:hint="eastAsia" w:ascii="宋体" w:hAnsi="宋体"/>
        </w:rPr>
        <w:t>Ⅳ</w:t>
      </w:r>
      <w:r>
        <w:rPr>
          <w:rFonts w:hint="eastAsia"/>
        </w:rPr>
        <w:t>类水质</w:t>
      </w:r>
      <w:r>
        <w:t>9</w:t>
      </w:r>
      <w:r>
        <w:rPr>
          <w:rFonts w:hint="eastAsia"/>
        </w:rPr>
        <w:t>眼，占比</w:t>
      </w:r>
      <w:r>
        <w:t>41%</w:t>
      </w:r>
      <w:r>
        <w:rPr>
          <w:rFonts w:hint="eastAsia"/>
        </w:rPr>
        <w:t>，</w:t>
      </w:r>
      <w:r>
        <w:rPr>
          <w:rFonts w:hint="eastAsia" w:ascii="宋体" w:hAnsi="宋体"/>
        </w:rPr>
        <w:t>Ⅴ</w:t>
      </w:r>
      <w:r>
        <w:rPr>
          <w:rFonts w:hint="eastAsia"/>
        </w:rPr>
        <w:t>类水质</w:t>
      </w:r>
      <w:r>
        <w:t>6</w:t>
      </w:r>
      <w:r>
        <w:rPr>
          <w:rFonts w:hint="eastAsia"/>
        </w:rPr>
        <w:t>眼，占比</w:t>
      </w:r>
      <w:r>
        <w:t>27%</w:t>
      </w:r>
      <w:r>
        <w:rPr>
          <w:rFonts w:hint="eastAsia"/>
        </w:rPr>
        <w:t>。超标项目一般为总硬度，锰、氟化物和溶解性总固体等。</w:t>
      </w:r>
    </w:p>
    <w:p>
      <w:pPr>
        <w:ind w:firstLine="560"/>
      </w:pPr>
      <w:r>
        <w:t>4</w:t>
      </w:r>
      <w:r>
        <w:rPr>
          <w:rFonts w:hint="eastAsia"/>
        </w:rPr>
        <w:t>、</w:t>
      </w:r>
      <w:r>
        <w:t xml:space="preserve"> </w:t>
      </w:r>
      <w:r>
        <w:rPr>
          <w:rFonts w:hint="eastAsia"/>
        </w:rPr>
        <w:t>岩溶水水质</w:t>
      </w:r>
    </w:p>
    <w:p>
      <w:pPr>
        <w:ind w:firstLine="560"/>
      </w:pPr>
      <w:r>
        <w:rPr>
          <w:rFonts w:hint="eastAsia"/>
        </w:rPr>
        <w:t>岩溶水是淮北市城区居民生活和工业水源，</w:t>
      </w:r>
      <w:r>
        <w:t>2015</w:t>
      </w:r>
      <w:r>
        <w:rPr>
          <w:rFonts w:hint="eastAsia"/>
        </w:rPr>
        <w:t>年分别对城区</w:t>
      </w:r>
      <w:r>
        <w:t>19</w:t>
      </w:r>
      <w:r>
        <w:rPr>
          <w:rFonts w:hint="eastAsia"/>
        </w:rPr>
        <w:t>眼岩溶水井进行</w:t>
      </w:r>
      <w:r>
        <w:t>2</w:t>
      </w:r>
      <w:r>
        <w:rPr>
          <w:rFonts w:hint="eastAsia"/>
        </w:rPr>
        <w:t>次化验，监测项目与浅层地下水相同。</w:t>
      </w:r>
      <w:r>
        <w:t>19</w:t>
      </w:r>
      <w:r>
        <w:rPr>
          <w:rFonts w:hint="eastAsia"/>
        </w:rPr>
        <w:t>眼监测井中，</w:t>
      </w:r>
      <w:r>
        <w:rPr>
          <w:rFonts w:hint="eastAsia" w:ascii="宋体" w:hAnsi="宋体"/>
        </w:rPr>
        <w:t>Ⅲ</w:t>
      </w:r>
      <w:r>
        <w:rPr>
          <w:rFonts w:hint="eastAsia"/>
        </w:rPr>
        <w:t>类水质</w:t>
      </w:r>
      <w:r>
        <w:t>8</w:t>
      </w:r>
      <w:r>
        <w:rPr>
          <w:rFonts w:hint="eastAsia"/>
        </w:rPr>
        <w:t>眼，占比</w:t>
      </w:r>
      <w:r>
        <w:t>42%</w:t>
      </w:r>
      <w:r>
        <w:rPr>
          <w:rFonts w:hint="eastAsia"/>
        </w:rPr>
        <w:t>，</w:t>
      </w:r>
      <w:r>
        <w:rPr>
          <w:rFonts w:hint="eastAsia" w:ascii="宋体" w:hAnsi="宋体"/>
        </w:rPr>
        <w:t>Ⅳ</w:t>
      </w:r>
      <w:r>
        <w:rPr>
          <w:rFonts w:hint="eastAsia"/>
        </w:rPr>
        <w:t>类水质</w:t>
      </w:r>
      <w:r>
        <w:t>10</w:t>
      </w:r>
      <w:r>
        <w:rPr>
          <w:rFonts w:hint="eastAsia"/>
        </w:rPr>
        <w:t>眼，占比</w:t>
      </w:r>
      <w:r>
        <w:t>53%</w:t>
      </w:r>
      <w:r>
        <w:rPr>
          <w:rFonts w:hint="eastAsia"/>
        </w:rPr>
        <w:t>，</w:t>
      </w:r>
      <w:r>
        <w:rPr>
          <w:rFonts w:hint="eastAsia" w:ascii="宋体" w:hAnsi="宋体"/>
        </w:rPr>
        <w:t>Ⅴ</w:t>
      </w:r>
      <w:r>
        <w:rPr>
          <w:rFonts w:hint="eastAsia"/>
        </w:rPr>
        <w:t>类水质</w:t>
      </w:r>
      <w:r>
        <w:t>1</w:t>
      </w:r>
      <w:r>
        <w:rPr>
          <w:rFonts w:hint="eastAsia"/>
        </w:rPr>
        <w:t>眼，占比</w:t>
      </w:r>
      <w:r>
        <w:t>5%</w:t>
      </w:r>
      <w:r>
        <w:rPr>
          <w:rFonts w:hint="eastAsia"/>
        </w:rPr>
        <w:t>。超标项目以总硬度为主。</w:t>
      </w:r>
    </w:p>
    <w:p>
      <w:pPr>
        <w:ind w:firstLine="560"/>
      </w:pPr>
      <w:r>
        <w:rPr>
          <w:rFonts w:hint="eastAsia"/>
        </w:rPr>
        <w:t>2017年淮北市市饮用水水源地水质符合《地下水质量标准》（GB/T14848-93）的Ⅲ类标准，饮用水水源地水质达标率为100%。</w:t>
      </w:r>
    </w:p>
    <w:p>
      <w:pPr>
        <w:pStyle w:val="3"/>
        <w:spacing w:before="120" w:after="60" w:line="360" w:lineRule="auto"/>
        <w:ind w:firstLine="602"/>
        <w:rPr>
          <w:rFonts w:ascii="Times New Roman" w:hAnsi="Times New Roman"/>
        </w:rPr>
      </w:pPr>
      <w:bookmarkStart w:id="86" w:name="_Toc8032513"/>
      <w:r>
        <w:rPr>
          <w:rFonts w:hint="eastAsia" w:ascii="Times New Roman" w:hAnsi="Times New Roman"/>
        </w:rPr>
        <w:t>2.3</w:t>
      </w:r>
      <w:r>
        <w:rPr>
          <w:rFonts w:ascii="Times New Roman" w:hAnsi="Times New Roman"/>
        </w:rPr>
        <w:t>城市给水现状及规划概况</w:t>
      </w:r>
      <w:bookmarkEnd w:id="86"/>
    </w:p>
    <w:p>
      <w:pPr>
        <w:pStyle w:val="4"/>
      </w:pPr>
      <w:bookmarkStart w:id="87" w:name="_Toc8032514"/>
      <w:bookmarkStart w:id="88" w:name="_Toc465719668"/>
      <w:bookmarkStart w:id="89" w:name="_Toc24789"/>
      <w:r>
        <w:t>2.3.1</w:t>
      </w:r>
      <w:r>
        <w:rPr>
          <w:rFonts w:hint="eastAsia"/>
        </w:rPr>
        <w:t xml:space="preserve">  城市供水事业发展史</w:t>
      </w:r>
      <w:bookmarkEnd w:id="87"/>
      <w:r>
        <w:rPr>
          <w:rFonts w:hint="eastAsia"/>
        </w:rPr>
        <w:t xml:space="preserve"> </w:t>
      </w:r>
    </w:p>
    <w:bookmarkEnd w:id="88"/>
    <w:bookmarkEnd w:id="89"/>
    <w:p>
      <w:pPr>
        <w:pStyle w:val="16"/>
        <w:spacing w:line="360" w:lineRule="auto"/>
        <w:ind w:firstLine="560"/>
        <w:rPr>
          <w:rFonts w:cs="Times New Roman"/>
        </w:rPr>
      </w:pPr>
      <w:r>
        <w:rPr>
          <w:rFonts w:hint="eastAsia" w:cs="Times New Roman"/>
        </w:rPr>
        <w:t>淮北市供水总公司成立于1972年，始称淮北市自来水厂，1974年更名淮北市自来水公司，1999年更名为淮北市供水总公司，是全民所有制企业。公司主要从事自来水供应，供水工程设计与安装，二次供水管道、设备、蓄水池设计与施工等工作。公司现有职工287人，设有23个部门。供水用户30万余户，供水面积120平方千米，日供水能力22.5万吨，涉及人口60余万，现有抄表到户数30多万户。</w:t>
      </w:r>
    </w:p>
    <w:p>
      <w:pPr>
        <w:pStyle w:val="4"/>
      </w:pPr>
      <w:bookmarkStart w:id="90" w:name="_Toc8032515"/>
      <w:r>
        <w:rPr>
          <w:rFonts w:hint="eastAsia"/>
        </w:rPr>
        <w:t>2.3.2 现状泵房及水厂（水池）情况</w:t>
      </w:r>
      <w:bookmarkEnd w:id="90"/>
    </w:p>
    <w:p>
      <w:pPr>
        <w:pStyle w:val="16"/>
        <w:spacing w:line="360" w:lineRule="auto"/>
        <w:ind w:firstLine="560"/>
        <w:rPr>
          <w:rFonts w:cs="Times New Roman"/>
        </w:rPr>
      </w:pPr>
      <w:bookmarkStart w:id="91" w:name="_Toc478634277"/>
      <w:bookmarkStart w:id="92" w:name="_Toc478634571"/>
      <w:bookmarkStart w:id="93" w:name="_Toc480311537"/>
      <w:bookmarkStart w:id="94" w:name="_Toc477941996"/>
      <w:r>
        <w:rPr>
          <w:rFonts w:hint="eastAsia" w:cs="Times New Roman"/>
        </w:rPr>
        <w:t>淮北市地处华东地区腹地，地势由西北向东南倾斜，海拔15</w:t>
      </w:r>
      <w:r>
        <w:rPr>
          <w:rFonts w:cs="Times New Roman"/>
        </w:rPr>
        <w:t>—</w:t>
      </w:r>
      <w:r>
        <w:rPr>
          <w:rFonts w:hint="eastAsia" w:cs="Times New Roman"/>
        </w:rPr>
        <w:t>40米之间，市区以平原为主，地势平坦。目前，淮北市现有25个泵房，70个可用水源井，6个调节水池，计划在建的有徐楼水厂（已在施工）、凤凰山水厂、龙湖水厂3个水厂和1个调节水池。供水管网长度达1000余千米，其中直径100mm以上管网600余千米，平均日供水能力</w:t>
      </w:r>
      <w:r>
        <w:rPr>
          <w:rFonts w:cs="Times New Roman"/>
        </w:rPr>
        <w:t>22.5</w:t>
      </w:r>
      <w:r>
        <w:rPr>
          <w:rFonts w:hint="eastAsia" w:cs="Times New Roman"/>
        </w:rPr>
        <w:t>万吨。</w:t>
      </w:r>
    </w:p>
    <w:p>
      <w:pPr>
        <w:pStyle w:val="16"/>
        <w:spacing w:line="360" w:lineRule="auto"/>
        <w:ind w:firstLine="560"/>
        <w:rPr>
          <w:rFonts w:cs="Times New Roman"/>
        </w:rPr>
      </w:pPr>
      <w:r>
        <w:rPr>
          <w:rFonts w:hint="eastAsia" w:cs="Times New Roman"/>
        </w:rPr>
        <w:t>目前，供水已覆盖到市辖三区、市经济开发区及濉溪刘桥镇等区域，形成了东至东部城区、龙湖工业园区，南至市经济开发区，西至凤凰山工业园区，北至石台矿的环状供水格局；村镇供水已覆盖相山区钟楼村和四铺镇、刘桥镇油榨村等区域。濉溪县刘桥镇是供水总公司的第一个乡镇供水试点项目，解决了2万余人的安全饮水问题。下一步刘桥水厂和徐楼水厂实现连通，将继续覆盖濉芜工业园、濉溪开发区和次中心区域，满足城市发展需求。</w:t>
      </w:r>
    </w:p>
    <w:p>
      <w:pPr>
        <w:pStyle w:val="16"/>
        <w:spacing w:line="360" w:lineRule="auto"/>
        <w:ind w:firstLine="560"/>
        <w:rPr>
          <w:rFonts w:cs="Times New Roman"/>
        </w:rPr>
      </w:pPr>
      <w:r>
        <w:rPr>
          <w:rFonts w:hint="eastAsia" w:cs="Times New Roman"/>
        </w:rPr>
        <w:t>淮北市供水管网始建于1972年，历经47年的发展，供水干管铺设超过1000千米，辐射到城市各个角落，随着城市不断发展，城区不断扩张，早起铺设的旧管道早已不能满足现阶段的需求，淮北市供水总公司也早已进行阶段性的更换旧管道，近年来，共铺设供水管网30余千米，改造老管网14.5千米，并征地130亩，新建相南、高岳两大水厂，累计投资达5000万元，不断完善城市供水功能，切实满足城市发展用水需求。截止到2018年淮北市城市管网现状示意图如下图2-1。</w:t>
      </w:r>
    </w:p>
    <w:p>
      <w:pPr>
        <w:pStyle w:val="16"/>
        <w:spacing w:line="360" w:lineRule="auto"/>
        <w:ind w:firstLine="560"/>
        <w:jc w:val="center"/>
        <w:rPr>
          <w:rFonts w:cs="Times New Roman"/>
        </w:rPr>
      </w:pPr>
      <w:r>
        <w:rPr>
          <w:rFonts w:cs="Times New Roman"/>
        </w:rPr>
        <w:drawing>
          <wp:inline distT="0" distB="0" distL="0" distR="0">
            <wp:extent cx="3998595" cy="5572125"/>
            <wp:effectExtent l="19050" t="0" r="1706" b="0"/>
            <wp:docPr id="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1" noChangeArrowheads="1"/>
                    </pic:cNvPicPr>
                  </pic:nvPicPr>
                  <pic:blipFill>
                    <a:blip r:embed="rId30">
                      <a:extLst>
                        <a:ext uri="{28A0092B-C50C-407E-A947-70E740481C1C}">
                          <a14:useLocalDpi xmlns:a14="http://schemas.microsoft.com/office/drawing/2010/main" val="0"/>
                        </a:ext>
                      </a:extLst>
                    </a:blip>
                    <a:srcRect l="3142" t="8113" b="8620"/>
                    <a:stretch>
                      <a:fillRect/>
                    </a:stretch>
                  </pic:blipFill>
                  <pic:spPr>
                    <a:xfrm>
                      <a:off x="0" y="0"/>
                      <a:ext cx="3998589" cy="5572125"/>
                    </a:xfrm>
                    <a:prstGeom prst="rect">
                      <a:avLst/>
                    </a:prstGeom>
                    <a:noFill/>
                    <a:ln>
                      <a:noFill/>
                    </a:ln>
                  </pic:spPr>
                </pic:pic>
              </a:graphicData>
            </a:graphic>
          </wp:inline>
        </w:drawing>
      </w:r>
    </w:p>
    <w:p>
      <w:pPr>
        <w:pStyle w:val="16"/>
        <w:spacing w:line="360" w:lineRule="auto"/>
        <w:ind w:firstLine="562"/>
        <w:jc w:val="center"/>
        <w:rPr>
          <w:rFonts w:cs="Times New Roman"/>
          <w:b/>
          <w:bCs/>
          <w:color w:val="000000"/>
        </w:rPr>
      </w:pPr>
      <w:r>
        <w:rPr>
          <w:rFonts w:hint="eastAsia" w:cs="Times New Roman"/>
          <w:b/>
        </w:rPr>
        <w:t>图</w:t>
      </w:r>
      <w:r>
        <w:rPr>
          <w:rFonts w:hint="eastAsia" w:cs="Times New Roman"/>
          <w:b/>
          <w:bCs/>
          <w:color w:val="000000"/>
        </w:rPr>
        <w:t>2-1 淮北市供水管线现状</w:t>
      </w:r>
    </w:p>
    <w:p>
      <w:pPr>
        <w:pStyle w:val="16"/>
        <w:spacing w:line="360" w:lineRule="auto"/>
        <w:ind w:firstLine="560"/>
        <w:rPr>
          <w:rFonts w:cs="Times New Roman"/>
        </w:rPr>
      </w:pPr>
      <w:r>
        <w:rPr>
          <w:rFonts w:hint="eastAsia" w:cs="Times New Roman"/>
        </w:rPr>
        <w:t>淮北市管网材质主要由球墨铸铁管和PE管构成，</w:t>
      </w:r>
      <w:r>
        <w:rPr>
          <w:rFonts w:cs="Times New Roman"/>
        </w:rPr>
        <w:t>球墨铸铁管具有运行安全可靠，破损率低，施工维修方便、快捷，防腐性能优异等</w:t>
      </w:r>
      <w:r>
        <w:rPr>
          <w:rFonts w:hint="eastAsia" w:cs="Times New Roman"/>
        </w:rPr>
        <w:t>优点</w:t>
      </w:r>
      <w:r>
        <w:rPr>
          <w:rFonts w:cs="Times New Roman"/>
        </w:rPr>
        <w:t>。</w:t>
      </w:r>
      <w:r>
        <w:rPr>
          <w:rFonts w:hint="eastAsia" w:cs="Times New Roman"/>
        </w:rPr>
        <w:t>PE管材具有耐腐蚀性好，断裂韧性好，耐低温等优点。</w:t>
      </w:r>
    </w:p>
    <w:p>
      <w:pPr>
        <w:pStyle w:val="16"/>
        <w:spacing w:line="360" w:lineRule="auto"/>
        <w:ind w:firstLine="560"/>
        <w:rPr>
          <w:rFonts w:cs="Times New Roman"/>
        </w:rPr>
      </w:pPr>
      <w:r>
        <w:rPr>
          <w:rFonts w:hint="eastAsia" w:cs="Times New Roman"/>
        </w:rPr>
        <w:t>供水管网约1200千米，其中直径大于100mm以上的600千米。</w:t>
      </w:r>
    </w:p>
    <w:p>
      <w:pPr>
        <w:ind w:firstLine="0" w:firstLineChars="0"/>
        <w:jc w:val="center"/>
        <w:rPr>
          <w:rFonts w:ascii="宋体" w:hAnsi="宋体"/>
          <w:b/>
          <w:szCs w:val="21"/>
        </w:rPr>
      </w:pPr>
      <w:r>
        <w:rPr>
          <w:rFonts w:hint="eastAsia" w:ascii="宋体" w:hAnsi="宋体"/>
          <w:b/>
          <w:szCs w:val="21"/>
        </w:rPr>
        <w:t>表2-10 水源井表</w:t>
      </w:r>
    </w:p>
    <w:tbl>
      <w:tblPr>
        <w:tblStyle w:val="39"/>
        <w:tblW w:w="10230"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113"/>
        <w:gridCol w:w="1760"/>
        <w:gridCol w:w="1052"/>
        <w:gridCol w:w="3928"/>
        <w:gridCol w:w="2377"/>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vMerge w:val="restart"/>
            <w:shd w:val="clear" w:color="auto" w:fill="auto"/>
            <w:vAlign w:val="center"/>
          </w:tcPr>
          <w:p>
            <w:pPr>
              <w:pStyle w:val="72"/>
            </w:pPr>
            <w:r>
              <w:rPr>
                <w:rFonts w:hint="eastAsia"/>
              </w:rPr>
              <w:t>序号</w:t>
            </w:r>
          </w:p>
        </w:tc>
        <w:tc>
          <w:tcPr>
            <w:tcW w:w="2812" w:type="dxa"/>
            <w:gridSpan w:val="2"/>
            <w:shd w:val="clear" w:color="auto" w:fill="auto"/>
            <w:vAlign w:val="center"/>
          </w:tcPr>
          <w:p>
            <w:pPr>
              <w:pStyle w:val="72"/>
            </w:pPr>
            <w:r>
              <w:rPr>
                <w:rFonts w:hint="eastAsia"/>
              </w:rPr>
              <w:t>泵房、水源井名称</w:t>
            </w:r>
          </w:p>
        </w:tc>
        <w:tc>
          <w:tcPr>
            <w:tcW w:w="3928" w:type="dxa"/>
            <w:vMerge w:val="restart"/>
            <w:shd w:val="clear" w:color="auto" w:fill="auto"/>
            <w:vAlign w:val="center"/>
          </w:tcPr>
          <w:p>
            <w:pPr>
              <w:pStyle w:val="72"/>
            </w:pPr>
            <w:r>
              <w:rPr>
                <w:rFonts w:hint="eastAsia"/>
              </w:rPr>
              <w:t>地     点</w:t>
            </w:r>
          </w:p>
        </w:tc>
        <w:tc>
          <w:tcPr>
            <w:tcW w:w="2377" w:type="dxa"/>
            <w:vMerge w:val="restart"/>
            <w:shd w:val="clear" w:color="auto" w:fill="auto"/>
            <w:vAlign w:val="center"/>
          </w:tcPr>
          <w:p>
            <w:pPr>
              <w:pStyle w:val="72"/>
            </w:pPr>
            <w:r>
              <w:rPr>
                <w:rFonts w:hint="eastAsia"/>
              </w:rPr>
              <w:t>供水区域</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vMerge w:val="continue"/>
            <w:vAlign w:val="center"/>
          </w:tcPr>
          <w:p>
            <w:pPr>
              <w:pStyle w:val="72"/>
            </w:pPr>
          </w:p>
        </w:tc>
        <w:tc>
          <w:tcPr>
            <w:tcW w:w="1760" w:type="dxa"/>
            <w:shd w:val="clear" w:color="auto" w:fill="auto"/>
            <w:vAlign w:val="center"/>
          </w:tcPr>
          <w:p>
            <w:pPr>
              <w:pStyle w:val="72"/>
            </w:pPr>
            <w:r>
              <w:rPr>
                <w:rFonts w:hint="eastAsia"/>
              </w:rPr>
              <w:t>泵房名称</w:t>
            </w:r>
          </w:p>
        </w:tc>
        <w:tc>
          <w:tcPr>
            <w:tcW w:w="1052" w:type="dxa"/>
            <w:shd w:val="clear" w:color="auto" w:fill="auto"/>
            <w:vAlign w:val="center"/>
          </w:tcPr>
          <w:p>
            <w:pPr>
              <w:pStyle w:val="72"/>
            </w:pPr>
            <w:r>
              <w:rPr>
                <w:rFonts w:hint="eastAsia"/>
              </w:rPr>
              <w:t>水源井</w:t>
            </w:r>
          </w:p>
        </w:tc>
        <w:tc>
          <w:tcPr>
            <w:tcW w:w="3928" w:type="dxa"/>
            <w:vMerge w:val="continue"/>
            <w:vAlign w:val="center"/>
          </w:tcPr>
          <w:p>
            <w:pPr>
              <w:pStyle w:val="72"/>
            </w:pPr>
          </w:p>
        </w:tc>
        <w:tc>
          <w:tcPr>
            <w:tcW w:w="2377" w:type="dxa"/>
            <w:vMerge w:val="continue"/>
            <w:vAlign w:val="center"/>
          </w:tcPr>
          <w:p>
            <w:pPr>
              <w:pStyle w:val="72"/>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1</w:t>
            </w:r>
          </w:p>
        </w:tc>
        <w:tc>
          <w:tcPr>
            <w:tcW w:w="1760" w:type="dxa"/>
            <w:vMerge w:val="restart"/>
            <w:shd w:val="clear" w:color="auto" w:fill="auto"/>
            <w:vAlign w:val="center"/>
          </w:tcPr>
          <w:p>
            <w:pPr>
              <w:pStyle w:val="72"/>
            </w:pPr>
            <w:r>
              <w:rPr>
                <w:rFonts w:hint="eastAsia"/>
              </w:rPr>
              <w:t>一号泵房</w:t>
            </w:r>
          </w:p>
        </w:tc>
        <w:tc>
          <w:tcPr>
            <w:tcW w:w="1052" w:type="dxa"/>
            <w:shd w:val="clear" w:color="auto" w:fill="auto"/>
            <w:vAlign w:val="center"/>
          </w:tcPr>
          <w:p>
            <w:pPr>
              <w:pStyle w:val="72"/>
            </w:pPr>
            <w:r>
              <w:rPr>
                <w:rFonts w:hint="eastAsia"/>
              </w:rPr>
              <w:t>南井</w:t>
            </w:r>
          </w:p>
        </w:tc>
        <w:tc>
          <w:tcPr>
            <w:tcW w:w="3928" w:type="dxa"/>
            <w:shd w:val="clear" w:color="auto" w:fill="auto"/>
            <w:vAlign w:val="center"/>
          </w:tcPr>
          <w:p>
            <w:pPr>
              <w:pStyle w:val="72"/>
            </w:pPr>
            <w:r>
              <w:rPr>
                <w:rFonts w:hint="eastAsia"/>
              </w:rPr>
              <w:t>孟山路58号公司院泵房内</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2</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东井</w:t>
            </w:r>
          </w:p>
        </w:tc>
        <w:tc>
          <w:tcPr>
            <w:tcW w:w="3928" w:type="dxa"/>
            <w:shd w:val="clear" w:color="auto" w:fill="auto"/>
            <w:vAlign w:val="center"/>
          </w:tcPr>
          <w:p>
            <w:pPr>
              <w:pStyle w:val="72"/>
            </w:pPr>
            <w:r>
              <w:rPr>
                <w:rFonts w:hint="eastAsia"/>
              </w:rPr>
              <w:t>孟山路58号公司院内</w:t>
            </w:r>
          </w:p>
        </w:tc>
        <w:tc>
          <w:tcPr>
            <w:tcW w:w="2377" w:type="dxa"/>
            <w:shd w:val="clear" w:color="auto" w:fill="auto"/>
            <w:vAlign w:val="center"/>
          </w:tcPr>
          <w:p>
            <w:pPr>
              <w:pStyle w:val="72"/>
            </w:pPr>
            <w:r>
              <w:rPr>
                <w:rFonts w:hint="eastAsia"/>
              </w:rPr>
              <w:t>淮海路以北</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3</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西井</w:t>
            </w:r>
          </w:p>
        </w:tc>
        <w:tc>
          <w:tcPr>
            <w:tcW w:w="3928" w:type="dxa"/>
            <w:shd w:val="clear" w:color="auto" w:fill="auto"/>
            <w:vAlign w:val="center"/>
          </w:tcPr>
          <w:p>
            <w:pPr>
              <w:pStyle w:val="72"/>
            </w:pPr>
            <w:r>
              <w:rPr>
                <w:rFonts w:hint="eastAsia"/>
              </w:rPr>
              <w:t>孟山路58号公司院内</w:t>
            </w:r>
          </w:p>
        </w:tc>
        <w:tc>
          <w:tcPr>
            <w:tcW w:w="2377" w:type="dxa"/>
            <w:shd w:val="clear" w:color="auto" w:fill="auto"/>
            <w:vAlign w:val="center"/>
          </w:tcPr>
          <w:p>
            <w:pPr>
              <w:pStyle w:val="72"/>
            </w:pPr>
            <w:r>
              <w:rPr>
                <w:rFonts w:hint="eastAsia"/>
              </w:rPr>
              <w:t>淮海路以北</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4</w:t>
            </w:r>
          </w:p>
        </w:tc>
        <w:tc>
          <w:tcPr>
            <w:tcW w:w="1760" w:type="dxa"/>
            <w:vMerge w:val="restart"/>
            <w:shd w:val="clear" w:color="auto" w:fill="auto"/>
            <w:vAlign w:val="center"/>
          </w:tcPr>
          <w:p>
            <w:pPr>
              <w:pStyle w:val="72"/>
            </w:pPr>
            <w:r>
              <w:rPr>
                <w:rFonts w:hint="eastAsia"/>
              </w:rPr>
              <w:t>二号泵房</w:t>
            </w:r>
          </w:p>
        </w:tc>
        <w:tc>
          <w:tcPr>
            <w:tcW w:w="1052" w:type="dxa"/>
            <w:shd w:val="clear" w:color="auto" w:fill="auto"/>
            <w:vAlign w:val="center"/>
          </w:tcPr>
          <w:p>
            <w:pPr>
              <w:pStyle w:val="72"/>
            </w:pPr>
            <w:r>
              <w:rPr>
                <w:rFonts w:hint="eastAsia"/>
              </w:rPr>
              <w:t>南井</w:t>
            </w:r>
          </w:p>
        </w:tc>
        <w:tc>
          <w:tcPr>
            <w:tcW w:w="3928" w:type="dxa"/>
            <w:shd w:val="clear" w:color="auto" w:fill="auto"/>
            <w:vAlign w:val="center"/>
          </w:tcPr>
          <w:p>
            <w:pPr>
              <w:pStyle w:val="72"/>
            </w:pPr>
            <w:r>
              <w:rPr>
                <w:rFonts w:hint="eastAsia"/>
              </w:rPr>
              <w:t>相杜路南周庄居委会东</w:t>
            </w:r>
          </w:p>
        </w:tc>
        <w:tc>
          <w:tcPr>
            <w:tcW w:w="2377" w:type="dxa"/>
            <w:shd w:val="clear" w:color="auto" w:fill="auto"/>
            <w:vAlign w:val="center"/>
          </w:tcPr>
          <w:p>
            <w:pPr>
              <w:pStyle w:val="72"/>
            </w:pPr>
            <w:r>
              <w:rPr>
                <w:rFonts w:hint="eastAsia"/>
              </w:rPr>
              <w:t>淮海路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5</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北井</w:t>
            </w:r>
          </w:p>
        </w:tc>
        <w:tc>
          <w:tcPr>
            <w:tcW w:w="3928" w:type="dxa"/>
            <w:shd w:val="clear" w:color="auto" w:fill="auto"/>
            <w:vAlign w:val="center"/>
          </w:tcPr>
          <w:p>
            <w:pPr>
              <w:pStyle w:val="72"/>
            </w:pPr>
            <w:r>
              <w:rPr>
                <w:rFonts w:hint="eastAsia"/>
              </w:rPr>
              <w:t>相杜路南周庄居委会东</w:t>
            </w:r>
          </w:p>
        </w:tc>
        <w:tc>
          <w:tcPr>
            <w:tcW w:w="2377" w:type="dxa"/>
            <w:shd w:val="clear" w:color="auto" w:fill="auto"/>
            <w:vAlign w:val="center"/>
          </w:tcPr>
          <w:p>
            <w:pPr>
              <w:pStyle w:val="72"/>
            </w:pPr>
            <w:r>
              <w:rPr>
                <w:rFonts w:hint="eastAsia"/>
              </w:rPr>
              <w:t>淮海路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6</w:t>
            </w:r>
          </w:p>
        </w:tc>
        <w:tc>
          <w:tcPr>
            <w:tcW w:w="1760" w:type="dxa"/>
            <w:shd w:val="clear" w:color="auto" w:fill="auto"/>
            <w:vAlign w:val="center"/>
          </w:tcPr>
          <w:p>
            <w:pPr>
              <w:pStyle w:val="72"/>
            </w:pPr>
            <w:r>
              <w:rPr>
                <w:rFonts w:hint="eastAsia"/>
              </w:rPr>
              <w:t>三号泵房</w:t>
            </w:r>
          </w:p>
        </w:tc>
        <w:tc>
          <w:tcPr>
            <w:tcW w:w="1052" w:type="dxa"/>
            <w:shd w:val="clear" w:color="auto" w:fill="auto"/>
            <w:vAlign w:val="center"/>
          </w:tcPr>
          <w:p>
            <w:pPr>
              <w:pStyle w:val="72"/>
            </w:pPr>
          </w:p>
        </w:tc>
        <w:tc>
          <w:tcPr>
            <w:tcW w:w="3928" w:type="dxa"/>
            <w:shd w:val="clear" w:color="auto" w:fill="auto"/>
            <w:vAlign w:val="center"/>
          </w:tcPr>
          <w:p>
            <w:pPr>
              <w:pStyle w:val="72"/>
            </w:pPr>
            <w:r>
              <w:rPr>
                <w:rFonts w:hint="eastAsia"/>
              </w:rPr>
              <w:t>友谊巷中段东侧</w:t>
            </w:r>
          </w:p>
        </w:tc>
        <w:tc>
          <w:tcPr>
            <w:tcW w:w="2377" w:type="dxa"/>
            <w:shd w:val="clear" w:color="auto" w:fill="auto"/>
            <w:vAlign w:val="center"/>
          </w:tcPr>
          <w:p>
            <w:pPr>
              <w:pStyle w:val="72"/>
            </w:pPr>
            <w:r>
              <w:rPr>
                <w:rFonts w:hint="eastAsia"/>
              </w:rPr>
              <w:t>淮海路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7</w:t>
            </w:r>
          </w:p>
        </w:tc>
        <w:tc>
          <w:tcPr>
            <w:tcW w:w="1760" w:type="dxa"/>
            <w:shd w:val="clear" w:color="auto" w:fill="auto"/>
            <w:vAlign w:val="center"/>
          </w:tcPr>
          <w:p>
            <w:pPr>
              <w:pStyle w:val="72"/>
            </w:pPr>
            <w:r>
              <w:rPr>
                <w:rFonts w:hint="eastAsia"/>
              </w:rPr>
              <w:t>四号泵房</w:t>
            </w:r>
          </w:p>
        </w:tc>
        <w:tc>
          <w:tcPr>
            <w:tcW w:w="1052" w:type="dxa"/>
            <w:shd w:val="clear" w:color="auto" w:fill="auto"/>
            <w:vAlign w:val="center"/>
          </w:tcPr>
          <w:p>
            <w:pPr>
              <w:pStyle w:val="72"/>
            </w:pPr>
          </w:p>
        </w:tc>
        <w:tc>
          <w:tcPr>
            <w:tcW w:w="3928" w:type="dxa"/>
            <w:shd w:val="clear" w:color="auto" w:fill="auto"/>
            <w:vAlign w:val="center"/>
          </w:tcPr>
          <w:p>
            <w:pPr>
              <w:pStyle w:val="72"/>
            </w:pPr>
            <w:r>
              <w:rPr>
                <w:rFonts w:hint="eastAsia"/>
              </w:rPr>
              <w:t>古城路南</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8</w:t>
            </w:r>
          </w:p>
        </w:tc>
        <w:tc>
          <w:tcPr>
            <w:tcW w:w="1760" w:type="dxa"/>
            <w:shd w:val="clear" w:color="auto" w:fill="auto"/>
            <w:vAlign w:val="center"/>
          </w:tcPr>
          <w:p>
            <w:pPr>
              <w:pStyle w:val="72"/>
            </w:pPr>
            <w:r>
              <w:rPr>
                <w:rFonts w:hint="eastAsia"/>
              </w:rPr>
              <w:t>五号泵房</w:t>
            </w:r>
          </w:p>
        </w:tc>
        <w:tc>
          <w:tcPr>
            <w:tcW w:w="1052" w:type="dxa"/>
            <w:shd w:val="clear" w:color="auto" w:fill="auto"/>
            <w:vAlign w:val="center"/>
          </w:tcPr>
          <w:p>
            <w:pPr>
              <w:pStyle w:val="72"/>
            </w:pPr>
          </w:p>
        </w:tc>
        <w:tc>
          <w:tcPr>
            <w:tcW w:w="3928" w:type="dxa"/>
            <w:shd w:val="clear" w:color="auto" w:fill="auto"/>
            <w:vAlign w:val="center"/>
          </w:tcPr>
          <w:p>
            <w:pPr>
              <w:pStyle w:val="72"/>
            </w:pPr>
            <w:r>
              <w:rPr>
                <w:rFonts w:hint="eastAsia"/>
              </w:rPr>
              <w:t>古城路南中级法院对面</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9</w:t>
            </w:r>
          </w:p>
        </w:tc>
        <w:tc>
          <w:tcPr>
            <w:tcW w:w="1760" w:type="dxa"/>
            <w:vMerge w:val="restart"/>
            <w:shd w:val="clear" w:color="auto" w:fill="auto"/>
            <w:vAlign w:val="center"/>
          </w:tcPr>
          <w:p>
            <w:pPr>
              <w:pStyle w:val="72"/>
            </w:pPr>
            <w:r>
              <w:rPr>
                <w:rFonts w:hint="eastAsia"/>
              </w:rPr>
              <w:t>六号泵房</w:t>
            </w:r>
          </w:p>
        </w:tc>
        <w:tc>
          <w:tcPr>
            <w:tcW w:w="1052" w:type="dxa"/>
            <w:shd w:val="clear" w:color="auto" w:fill="auto"/>
            <w:vAlign w:val="center"/>
          </w:tcPr>
          <w:p>
            <w:pPr>
              <w:pStyle w:val="72"/>
            </w:pPr>
            <w:r>
              <w:rPr>
                <w:rFonts w:hint="eastAsia"/>
              </w:rPr>
              <w:t>南井</w:t>
            </w:r>
          </w:p>
        </w:tc>
        <w:tc>
          <w:tcPr>
            <w:tcW w:w="3928" w:type="dxa"/>
            <w:shd w:val="clear" w:color="auto" w:fill="auto"/>
            <w:vAlign w:val="center"/>
          </w:tcPr>
          <w:p>
            <w:pPr>
              <w:pStyle w:val="72"/>
            </w:pPr>
            <w:r>
              <w:rPr>
                <w:rFonts w:hint="eastAsia"/>
              </w:rPr>
              <w:t>一中院内</w:t>
            </w:r>
          </w:p>
        </w:tc>
        <w:tc>
          <w:tcPr>
            <w:tcW w:w="2377" w:type="dxa"/>
            <w:shd w:val="clear" w:color="auto" w:fill="auto"/>
            <w:vAlign w:val="center"/>
          </w:tcPr>
          <w:p>
            <w:pPr>
              <w:pStyle w:val="72"/>
            </w:pPr>
            <w:r>
              <w:rPr>
                <w:rFonts w:hint="eastAsia"/>
              </w:rPr>
              <w:t>五号工地</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10</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北井</w:t>
            </w:r>
          </w:p>
        </w:tc>
        <w:tc>
          <w:tcPr>
            <w:tcW w:w="3928" w:type="dxa"/>
            <w:shd w:val="clear" w:color="auto" w:fill="auto"/>
            <w:vAlign w:val="center"/>
          </w:tcPr>
          <w:p>
            <w:pPr>
              <w:pStyle w:val="72"/>
            </w:pPr>
            <w:r>
              <w:rPr>
                <w:rFonts w:hint="eastAsia"/>
              </w:rPr>
              <w:t>一中院内</w:t>
            </w:r>
          </w:p>
        </w:tc>
        <w:tc>
          <w:tcPr>
            <w:tcW w:w="2377" w:type="dxa"/>
            <w:shd w:val="clear" w:color="auto" w:fill="auto"/>
            <w:vAlign w:val="center"/>
          </w:tcPr>
          <w:p>
            <w:pPr>
              <w:pStyle w:val="72"/>
            </w:pPr>
            <w:r>
              <w:rPr>
                <w:rFonts w:hint="eastAsia"/>
              </w:rPr>
              <w:t>淮海路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11</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东井</w:t>
            </w:r>
          </w:p>
        </w:tc>
        <w:tc>
          <w:tcPr>
            <w:tcW w:w="3928" w:type="dxa"/>
            <w:shd w:val="clear" w:color="auto" w:fill="auto"/>
            <w:vAlign w:val="center"/>
          </w:tcPr>
          <w:p>
            <w:pPr>
              <w:pStyle w:val="72"/>
            </w:pPr>
            <w:r>
              <w:rPr>
                <w:rFonts w:hint="eastAsia"/>
              </w:rPr>
              <w:t>一中院内</w:t>
            </w:r>
          </w:p>
        </w:tc>
        <w:tc>
          <w:tcPr>
            <w:tcW w:w="2377" w:type="dxa"/>
            <w:shd w:val="clear" w:color="auto" w:fill="auto"/>
            <w:vAlign w:val="center"/>
          </w:tcPr>
          <w:p>
            <w:pPr>
              <w:pStyle w:val="72"/>
            </w:pPr>
            <w:r>
              <w:rPr>
                <w:rFonts w:hint="eastAsia"/>
              </w:rPr>
              <w:t>淮海路以北</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12</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西井</w:t>
            </w:r>
          </w:p>
        </w:tc>
        <w:tc>
          <w:tcPr>
            <w:tcW w:w="3928" w:type="dxa"/>
            <w:shd w:val="clear" w:color="auto" w:fill="auto"/>
            <w:vAlign w:val="center"/>
          </w:tcPr>
          <w:p>
            <w:pPr>
              <w:pStyle w:val="72"/>
            </w:pPr>
            <w:r>
              <w:rPr>
                <w:rFonts w:hint="eastAsia"/>
              </w:rPr>
              <w:t>一中院内</w:t>
            </w:r>
          </w:p>
        </w:tc>
        <w:tc>
          <w:tcPr>
            <w:tcW w:w="2377" w:type="dxa"/>
            <w:shd w:val="clear" w:color="auto" w:fill="auto"/>
            <w:vAlign w:val="center"/>
          </w:tcPr>
          <w:p>
            <w:pPr>
              <w:pStyle w:val="72"/>
            </w:pPr>
            <w:r>
              <w:rPr>
                <w:rFonts w:hint="eastAsia"/>
              </w:rPr>
              <w:t>五号工地</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13</w:t>
            </w:r>
          </w:p>
        </w:tc>
        <w:tc>
          <w:tcPr>
            <w:tcW w:w="1760" w:type="dxa"/>
            <w:vMerge w:val="restart"/>
            <w:shd w:val="clear" w:color="auto" w:fill="auto"/>
            <w:vAlign w:val="center"/>
          </w:tcPr>
          <w:p>
            <w:pPr>
              <w:pStyle w:val="72"/>
            </w:pPr>
            <w:r>
              <w:rPr>
                <w:rFonts w:hint="eastAsia"/>
              </w:rPr>
              <w:t>三○七泵房</w:t>
            </w:r>
          </w:p>
        </w:tc>
        <w:tc>
          <w:tcPr>
            <w:tcW w:w="1052" w:type="dxa"/>
            <w:shd w:val="clear" w:color="auto" w:fill="auto"/>
            <w:vAlign w:val="center"/>
          </w:tcPr>
          <w:p>
            <w:pPr>
              <w:pStyle w:val="72"/>
            </w:pPr>
            <w:r>
              <w:rPr>
                <w:rFonts w:hint="eastAsia"/>
              </w:rPr>
              <w:t>南井</w:t>
            </w:r>
          </w:p>
        </w:tc>
        <w:tc>
          <w:tcPr>
            <w:tcW w:w="3928" w:type="dxa"/>
            <w:shd w:val="clear" w:color="auto" w:fill="auto"/>
            <w:vAlign w:val="center"/>
          </w:tcPr>
          <w:p>
            <w:pPr>
              <w:pStyle w:val="72"/>
            </w:pPr>
            <w:r>
              <w:rPr>
                <w:rFonts w:hint="eastAsia"/>
              </w:rPr>
              <w:t>三○七大院南</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14</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北井</w:t>
            </w:r>
          </w:p>
        </w:tc>
        <w:tc>
          <w:tcPr>
            <w:tcW w:w="3928" w:type="dxa"/>
            <w:shd w:val="clear" w:color="auto" w:fill="auto"/>
            <w:vAlign w:val="center"/>
          </w:tcPr>
          <w:p>
            <w:pPr>
              <w:pStyle w:val="72"/>
            </w:pPr>
            <w:r>
              <w:rPr>
                <w:rFonts w:hint="eastAsia"/>
              </w:rPr>
              <w:t>三○七大院北</w:t>
            </w:r>
          </w:p>
        </w:tc>
        <w:tc>
          <w:tcPr>
            <w:tcW w:w="2377" w:type="dxa"/>
            <w:shd w:val="clear" w:color="auto" w:fill="auto"/>
            <w:vAlign w:val="center"/>
          </w:tcPr>
          <w:p>
            <w:pPr>
              <w:pStyle w:val="72"/>
            </w:pPr>
            <w:r>
              <w:rPr>
                <w:rFonts w:hint="eastAsia"/>
              </w:rPr>
              <w:t>淮海路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15</w:t>
            </w:r>
          </w:p>
        </w:tc>
        <w:tc>
          <w:tcPr>
            <w:tcW w:w="1760" w:type="dxa"/>
            <w:shd w:val="clear" w:color="auto" w:fill="auto"/>
            <w:vAlign w:val="center"/>
          </w:tcPr>
          <w:p>
            <w:pPr>
              <w:pStyle w:val="72"/>
            </w:pPr>
            <w:r>
              <w:rPr>
                <w:rFonts w:hint="eastAsia"/>
              </w:rPr>
              <w:t>七号泵房</w:t>
            </w:r>
          </w:p>
        </w:tc>
        <w:tc>
          <w:tcPr>
            <w:tcW w:w="1052" w:type="dxa"/>
            <w:shd w:val="clear" w:color="auto" w:fill="auto"/>
            <w:vAlign w:val="center"/>
          </w:tcPr>
          <w:p>
            <w:pPr>
              <w:pStyle w:val="72"/>
            </w:pPr>
          </w:p>
        </w:tc>
        <w:tc>
          <w:tcPr>
            <w:tcW w:w="3928" w:type="dxa"/>
            <w:shd w:val="clear" w:color="auto" w:fill="auto"/>
            <w:vAlign w:val="center"/>
          </w:tcPr>
          <w:p>
            <w:pPr>
              <w:pStyle w:val="72"/>
            </w:pPr>
            <w:r>
              <w:rPr>
                <w:rFonts w:hint="eastAsia"/>
              </w:rPr>
              <w:t>古城路北安康小区南</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16</w:t>
            </w:r>
          </w:p>
        </w:tc>
        <w:tc>
          <w:tcPr>
            <w:tcW w:w="1760" w:type="dxa"/>
            <w:shd w:val="clear" w:color="auto" w:fill="auto"/>
            <w:vAlign w:val="center"/>
          </w:tcPr>
          <w:p>
            <w:pPr>
              <w:pStyle w:val="72"/>
            </w:pPr>
            <w:r>
              <w:rPr>
                <w:rFonts w:hint="eastAsia"/>
              </w:rPr>
              <w:t>十一号泵房</w:t>
            </w:r>
          </w:p>
        </w:tc>
        <w:tc>
          <w:tcPr>
            <w:tcW w:w="1052" w:type="dxa"/>
            <w:shd w:val="clear" w:color="auto" w:fill="auto"/>
            <w:vAlign w:val="center"/>
          </w:tcPr>
          <w:p>
            <w:pPr>
              <w:pStyle w:val="72"/>
            </w:pPr>
          </w:p>
        </w:tc>
        <w:tc>
          <w:tcPr>
            <w:tcW w:w="3928" w:type="dxa"/>
            <w:shd w:val="clear" w:color="auto" w:fill="auto"/>
            <w:vAlign w:val="center"/>
          </w:tcPr>
          <w:p>
            <w:pPr>
              <w:pStyle w:val="72"/>
            </w:pPr>
            <w:r>
              <w:rPr>
                <w:rFonts w:hint="eastAsia"/>
              </w:rPr>
              <w:t>长山路西市政工程处南</w:t>
            </w:r>
          </w:p>
        </w:tc>
        <w:tc>
          <w:tcPr>
            <w:tcW w:w="2377" w:type="dxa"/>
            <w:shd w:val="clear" w:color="auto" w:fill="auto"/>
            <w:vAlign w:val="center"/>
          </w:tcPr>
          <w:p>
            <w:pPr>
              <w:pStyle w:val="72"/>
            </w:pPr>
            <w:r>
              <w:rPr>
                <w:rFonts w:hint="eastAsia"/>
              </w:rPr>
              <w:t>淮海路以北</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17</w:t>
            </w:r>
          </w:p>
        </w:tc>
        <w:tc>
          <w:tcPr>
            <w:tcW w:w="1760" w:type="dxa"/>
            <w:shd w:val="clear" w:color="auto" w:fill="auto"/>
            <w:vAlign w:val="center"/>
          </w:tcPr>
          <w:p>
            <w:pPr>
              <w:pStyle w:val="72"/>
            </w:pPr>
            <w:r>
              <w:rPr>
                <w:rFonts w:hint="eastAsia"/>
              </w:rPr>
              <w:t>肉联厂泵房</w:t>
            </w:r>
          </w:p>
        </w:tc>
        <w:tc>
          <w:tcPr>
            <w:tcW w:w="1052" w:type="dxa"/>
            <w:shd w:val="clear" w:color="auto" w:fill="auto"/>
            <w:vAlign w:val="center"/>
          </w:tcPr>
          <w:p>
            <w:pPr>
              <w:pStyle w:val="72"/>
            </w:pPr>
            <w:r>
              <w:rPr>
                <w:rFonts w:hint="eastAsia"/>
              </w:rPr>
              <w:t>西井</w:t>
            </w:r>
          </w:p>
        </w:tc>
        <w:tc>
          <w:tcPr>
            <w:tcW w:w="3928" w:type="dxa"/>
            <w:shd w:val="clear" w:color="auto" w:fill="auto"/>
            <w:vAlign w:val="center"/>
          </w:tcPr>
          <w:p>
            <w:pPr>
              <w:pStyle w:val="72"/>
            </w:pPr>
            <w:r>
              <w:rPr>
                <w:rFonts w:hint="eastAsia"/>
              </w:rPr>
              <w:t>东山路天象大学城内</w:t>
            </w:r>
          </w:p>
        </w:tc>
        <w:tc>
          <w:tcPr>
            <w:tcW w:w="2377" w:type="dxa"/>
            <w:shd w:val="clear" w:color="auto" w:fill="auto"/>
            <w:vAlign w:val="center"/>
          </w:tcPr>
          <w:p>
            <w:pPr>
              <w:pStyle w:val="72"/>
            </w:pPr>
            <w:r>
              <w:rPr>
                <w:rFonts w:hint="eastAsia"/>
              </w:rPr>
              <w:t>淮海路以北</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18</w:t>
            </w:r>
          </w:p>
        </w:tc>
        <w:tc>
          <w:tcPr>
            <w:tcW w:w="1760" w:type="dxa"/>
            <w:shd w:val="clear" w:color="auto" w:fill="auto"/>
            <w:vAlign w:val="center"/>
          </w:tcPr>
          <w:p>
            <w:pPr>
              <w:pStyle w:val="72"/>
            </w:pPr>
            <w:r>
              <w:rPr>
                <w:rFonts w:hint="eastAsia"/>
              </w:rPr>
              <w:t>针织厂泵房</w:t>
            </w:r>
          </w:p>
        </w:tc>
        <w:tc>
          <w:tcPr>
            <w:tcW w:w="1052" w:type="dxa"/>
            <w:shd w:val="clear" w:color="auto" w:fill="auto"/>
            <w:vAlign w:val="center"/>
          </w:tcPr>
          <w:p>
            <w:pPr>
              <w:pStyle w:val="72"/>
            </w:pPr>
          </w:p>
        </w:tc>
        <w:tc>
          <w:tcPr>
            <w:tcW w:w="3928" w:type="dxa"/>
            <w:shd w:val="clear" w:color="auto" w:fill="auto"/>
            <w:vAlign w:val="center"/>
          </w:tcPr>
          <w:p>
            <w:pPr>
              <w:pStyle w:val="72"/>
            </w:pPr>
            <w:r>
              <w:rPr>
                <w:rFonts w:hint="eastAsia"/>
              </w:rPr>
              <w:t>建安路针织厂东</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19</w:t>
            </w:r>
          </w:p>
        </w:tc>
        <w:tc>
          <w:tcPr>
            <w:tcW w:w="1760" w:type="dxa"/>
            <w:shd w:val="clear" w:color="auto" w:fill="auto"/>
            <w:vAlign w:val="center"/>
          </w:tcPr>
          <w:p>
            <w:pPr>
              <w:pStyle w:val="72"/>
            </w:pPr>
            <w:r>
              <w:rPr>
                <w:rFonts w:hint="eastAsia"/>
              </w:rPr>
              <w:t>西城泵房</w:t>
            </w:r>
          </w:p>
        </w:tc>
        <w:tc>
          <w:tcPr>
            <w:tcW w:w="1052" w:type="dxa"/>
            <w:shd w:val="clear" w:color="auto" w:fill="auto"/>
            <w:vAlign w:val="center"/>
          </w:tcPr>
          <w:p>
            <w:pPr>
              <w:pStyle w:val="72"/>
            </w:pPr>
          </w:p>
        </w:tc>
        <w:tc>
          <w:tcPr>
            <w:tcW w:w="3928" w:type="dxa"/>
            <w:shd w:val="clear" w:color="auto" w:fill="auto"/>
            <w:vAlign w:val="center"/>
          </w:tcPr>
          <w:p>
            <w:pPr>
              <w:pStyle w:val="72"/>
            </w:pPr>
            <w:r>
              <w:rPr>
                <w:rFonts w:hint="eastAsia"/>
              </w:rPr>
              <w:t>惠黎路工行住贷办西</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20</w:t>
            </w:r>
          </w:p>
        </w:tc>
        <w:tc>
          <w:tcPr>
            <w:tcW w:w="1760" w:type="dxa"/>
            <w:vMerge w:val="restart"/>
            <w:shd w:val="clear" w:color="auto" w:fill="auto"/>
            <w:vAlign w:val="center"/>
          </w:tcPr>
          <w:p>
            <w:pPr>
              <w:pStyle w:val="72"/>
            </w:pPr>
            <w:r>
              <w:rPr>
                <w:rFonts w:hint="eastAsia"/>
              </w:rPr>
              <w:t>勘探队泵房</w:t>
            </w:r>
          </w:p>
        </w:tc>
        <w:tc>
          <w:tcPr>
            <w:tcW w:w="1052" w:type="dxa"/>
            <w:shd w:val="clear" w:color="auto" w:fill="auto"/>
            <w:vAlign w:val="center"/>
          </w:tcPr>
          <w:p>
            <w:pPr>
              <w:pStyle w:val="72"/>
            </w:pPr>
            <w:r>
              <w:rPr>
                <w:rFonts w:hint="eastAsia"/>
              </w:rPr>
              <w:t>南井</w:t>
            </w:r>
          </w:p>
        </w:tc>
        <w:tc>
          <w:tcPr>
            <w:tcW w:w="3928" w:type="dxa"/>
            <w:shd w:val="clear" w:color="auto" w:fill="auto"/>
            <w:vAlign w:val="center"/>
          </w:tcPr>
          <w:p>
            <w:pPr>
              <w:pStyle w:val="72"/>
            </w:pPr>
            <w:r>
              <w:rPr>
                <w:rFonts w:hint="eastAsia"/>
              </w:rPr>
              <w:t>淮海路北相王商城院内</w:t>
            </w:r>
          </w:p>
        </w:tc>
        <w:tc>
          <w:tcPr>
            <w:tcW w:w="2377" w:type="dxa"/>
            <w:shd w:val="clear" w:color="auto" w:fill="auto"/>
            <w:vAlign w:val="center"/>
          </w:tcPr>
          <w:p>
            <w:pPr>
              <w:pStyle w:val="72"/>
            </w:pPr>
            <w:r>
              <w:rPr>
                <w:rFonts w:hint="eastAsia"/>
              </w:rPr>
              <w:t>建委</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21</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北井</w:t>
            </w:r>
          </w:p>
        </w:tc>
        <w:tc>
          <w:tcPr>
            <w:tcW w:w="3928" w:type="dxa"/>
            <w:shd w:val="clear" w:color="auto" w:fill="auto"/>
            <w:vAlign w:val="center"/>
          </w:tcPr>
          <w:p>
            <w:pPr>
              <w:pStyle w:val="72"/>
            </w:pPr>
            <w:r>
              <w:rPr>
                <w:rFonts w:hint="eastAsia"/>
              </w:rPr>
              <w:t>淮海路北相王商城院内</w:t>
            </w:r>
          </w:p>
        </w:tc>
        <w:tc>
          <w:tcPr>
            <w:tcW w:w="2377" w:type="dxa"/>
            <w:shd w:val="clear" w:color="auto" w:fill="auto"/>
            <w:vAlign w:val="center"/>
          </w:tcPr>
          <w:p>
            <w:pPr>
              <w:pStyle w:val="72"/>
            </w:pPr>
            <w:r>
              <w:rPr>
                <w:rFonts w:hint="eastAsia"/>
              </w:rPr>
              <w:t>建委</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22</w:t>
            </w:r>
          </w:p>
        </w:tc>
        <w:tc>
          <w:tcPr>
            <w:tcW w:w="1760" w:type="dxa"/>
            <w:vMerge w:val="restart"/>
            <w:shd w:val="clear" w:color="auto" w:fill="auto"/>
            <w:vAlign w:val="center"/>
          </w:tcPr>
          <w:p>
            <w:pPr>
              <w:pStyle w:val="72"/>
            </w:pPr>
            <w:r>
              <w:rPr>
                <w:rFonts w:hint="eastAsia"/>
              </w:rPr>
              <w:t>一机厂泵房</w:t>
            </w:r>
          </w:p>
        </w:tc>
        <w:tc>
          <w:tcPr>
            <w:tcW w:w="1052" w:type="dxa"/>
            <w:shd w:val="clear" w:color="auto" w:fill="auto"/>
            <w:vAlign w:val="center"/>
          </w:tcPr>
          <w:p>
            <w:pPr>
              <w:pStyle w:val="72"/>
            </w:pPr>
            <w:r>
              <w:rPr>
                <w:rFonts w:hint="eastAsia"/>
              </w:rPr>
              <w:t>南井</w:t>
            </w:r>
          </w:p>
        </w:tc>
        <w:tc>
          <w:tcPr>
            <w:tcW w:w="3928" w:type="dxa"/>
            <w:shd w:val="clear" w:color="auto" w:fill="auto"/>
            <w:vAlign w:val="center"/>
          </w:tcPr>
          <w:p>
            <w:pPr>
              <w:pStyle w:val="72"/>
            </w:pPr>
            <w:r>
              <w:rPr>
                <w:rFonts w:hint="eastAsia"/>
              </w:rPr>
              <w:t>淮海路南得月楼下</w:t>
            </w:r>
          </w:p>
        </w:tc>
        <w:tc>
          <w:tcPr>
            <w:tcW w:w="2377" w:type="dxa"/>
            <w:shd w:val="clear" w:color="auto" w:fill="auto"/>
            <w:vAlign w:val="center"/>
          </w:tcPr>
          <w:p>
            <w:pPr>
              <w:pStyle w:val="72"/>
            </w:pPr>
            <w:r>
              <w:rPr>
                <w:rFonts w:hint="eastAsia"/>
              </w:rPr>
              <w:t>淮海路以北</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23</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北井</w:t>
            </w:r>
          </w:p>
        </w:tc>
        <w:tc>
          <w:tcPr>
            <w:tcW w:w="3928" w:type="dxa"/>
            <w:shd w:val="clear" w:color="auto" w:fill="auto"/>
            <w:vAlign w:val="center"/>
          </w:tcPr>
          <w:p>
            <w:pPr>
              <w:pStyle w:val="72"/>
            </w:pPr>
            <w:r>
              <w:rPr>
                <w:rFonts w:hint="eastAsia"/>
              </w:rPr>
              <w:t>淮海路南得月楼下</w:t>
            </w:r>
          </w:p>
        </w:tc>
        <w:tc>
          <w:tcPr>
            <w:tcW w:w="2377" w:type="dxa"/>
            <w:shd w:val="clear" w:color="auto" w:fill="auto"/>
            <w:vAlign w:val="center"/>
          </w:tcPr>
          <w:p>
            <w:pPr>
              <w:pStyle w:val="72"/>
            </w:pPr>
            <w:r>
              <w:rPr>
                <w:rFonts w:hint="eastAsia"/>
              </w:rPr>
              <w:t>淮海路以北</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24</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东井</w:t>
            </w:r>
          </w:p>
        </w:tc>
        <w:tc>
          <w:tcPr>
            <w:tcW w:w="3928" w:type="dxa"/>
            <w:shd w:val="clear" w:color="auto" w:fill="auto"/>
            <w:vAlign w:val="center"/>
          </w:tcPr>
          <w:p>
            <w:pPr>
              <w:pStyle w:val="72"/>
            </w:pPr>
            <w:r>
              <w:rPr>
                <w:rFonts w:hint="eastAsia"/>
              </w:rPr>
              <w:t>淮海路南得月楼下</w:t>
            </w:r>
          </w:p>
        </w:tc>
        <w:tc>
          <w:tcPr>
            <w:tcW w:w="2377" w:type="dxa"/>
            <w:shd w:val="clear" w:color="auto" w:fill="auto"/>
            <w:vAlign w:val="center"/>
          </w:tcPr>
          <w:p>
            <w:pPr>
              <w:pStyle w:val="72"/>
            </w:pPr>
            <w:r>
              <w:rPr>
                <w:rFonts w:hint="eastAsia"/>
              </w:rPr>
              <w:t>淮海路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25</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新井</w:t>
            </w:r>
          </w:p>
        </w:tc>
        <w:tc>
          <w:tcPr>
            <w:tcW w:w="3928" w:type="dxa"/>
            <w:shd w:val="clear" w:color="auto" w:fill="auto"/>
            <w:vAlign w:val="center"/>
          </w:tcPr>
          <w:p>
            <w:pPr>
              <w:pStyle w:val="72"/>
            </w:pPr>
            <w:r>
              <w:rPr>
                <w:rFonts w:hint="eastAsia"/>
              </w:rPr>
              <w:t>淮海路南得月楼东</w:t>
            </w:r>
          </w:p>
        </w:tc>
        <w:tc>
          <w:tcPr>
            <w:tcW w:w="2377" w:type="dxa"/>
            <w:shd w:val="clear" w:color="auto" w:fill="auto"/>
            <w:vAlign w:val="center"/>
          </w:tcPr>
          <w:p>
            <w:pPr>
              <w:pStyle w:val="72"/>
            </w:pPr>
            <w:r>
              <w:rPr>
                <w:rFonts w:hint="eastAsia"/>
              </w:rPr>
              <w:t>淮海/古城路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26</w:t>
            </w:r>
          </w:p>
        </w:tc>
        <w:tc>
          <w:tcPr>
            <w:tcW w:w="1760" w:type="dxa"/>
            <w:shd w:val="clear" w:color="auto" w:fill="auto"/>
            <w:vAlign w:val="center"/>
          </w:tcPr>
          <w:p>
            <w:pPr>
              <w:pStyle w:val="72"/>
            </w:pPr>
            <w:r>
              <w:rPr>
                <w:rFonts w:hint="eastAsia"/>
              </w:rPr>
              <w:t>煤师院泵房</w:t>
            </w:r>
          </w:p>
        </w:tc>
        <w:tc>
          <w:tcPr>
            <w:tcW w:w="1052" w:type="dxa"/>
            <w:shd w:val="clear" w:color="auto" w:fill="auto"/>
            <w:vAlign w:val="center"/>
          </w:tcPr>
          <w:p>
            <w:pPr>
              <w:pStyle w:val="72"/>
            </w:pPr>
            <w:r>
              <w:rPr>
                <w:rFonts w:hint="eastAsia"/>
              </w:rPr>
              <w:t>南井</w:t>
            </w:r>
          </w:p>
        </w:tc>
        <w:tc>
          <w:tcPr>
            <w:tcW w:w="3928" w:type="dxa"/>
            <w:shd w:val="clear" w:color="auto" w:fill="auto"/>
            <w:vAlign w:val="center"/>
          </w:tcPr>
          <w:p>
            <w:pPr>
              <w:pStyle w:val="72"/>
            </w:pPr>
            <w:r>
              <w:rPr>
                <w:rFonts w:hint="eastAsia"/>
              </w:rPr>
              <w:t>煤师院南</w:t>
            </w:r>
          </w:p>
        </w:tc>
        <w:tc>
          <w:tcPr>
            <w:tcW w:w="2377" w:type="dxa"/>
            <w:shd w:val="clear" w:color="auto" w:fill="auto"/>
            <w:vAlign w:val="center"/>
          </w:tcPr>
          <w:p>
            <w:pPr>
              <w:pStyle w:val="72"/>
            </w:pPr>
            <w:r>
              <w:rPr>
                <w:rFonts w:hint="eastAsia"/>
              </w:rPr>
              <w:t>淮海路以北</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27</w:t>
            </w:r>
          </w:p>
        </w:tc>
        <w:tc>
          <w:tcPr>
            <w:tcW w:w="1760" w:type="dxa"/>
            <w:vMerge w:val="restart"/>
            <w:shd w:val="clear" w:color="auto" w:fill="auto"/>
            <w:vAlign w:val="center"/>
          </w:tcPr>
          <w:p>
            <w:pPr>
              <w:pStyle w:val="72"/>
            </w:pPr>
            <w:r>
              <w:rPr>
                <w:rFonts w:hint="eastAsia"/>
              </w:rPr>
              <w:t>车管所泵房</w:t>
            </w:r>
          </w:p>
        </w:tc>
        <w:tc>
          <w:tcPr>
            <w:tcW w:w="1052" w:type="dxa"/>
            <w:shd w:val="clear" w:color="auto" w:fill="auto"/>
            <w:vAlign w:val="center"/>
          </w:tcPr>
          <w:p>
            <w:pPr>
              <w:pStyle w:val="72"/>
            </w:pPr>
            <w:r>
              <w:rPr>
                <w:rFonts w:hint="eastAsia"/>
              </w:rPr>
              <w:t>南井</w:t>
            </w:r>
          </w:p>
        </w:tc>
        <w:tc>
          <w:tcPr>
            <w:tcW w:w="3928" w:type="dxa"/>
            <w:shd w:val="clear" w:color="auto" w:fill="auto"/>
            <w:vAlign w:val="center"/>
          </w:tcPr>
          <w:p>
            <w:pPr>
              <w:pStyle w:val="72"/>
            </w:pPr>
            <w:r>
              <w:rPr>
                <w:rFonts w:hint="eastAsia"/>
              </w:rPr>
              <w:t>东岗楼立交桥下东北</w:t>
            </w:r>
          </w:p>
        </w:tc>
        <w:tc>
          <w:tcPr>
            <w:tcW w:w="2377" w:type="dxa"/>
            <w:shd w:val="clear" w:color="auto" w:fill="auto"/>
            <w:vAlign w:val="center"/>
          </w:tcPr>
          <w:p>
            <w:pPr>
              <w:pStyle w:val="72"/>
            </w:pPr>
            <w:r>
              <w:rPr>
                <w:rFonts w:hint="eastAsia"/>
              </w:rPr>
              <w:t>淮海路以北</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28</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北井</w:t>
            </w:r>
          </w:p>
        </w:tc>
        <w:tc>
          <w:tcPr>
            <w:tcW w:w="3928" w:type="dxa"/>
            <w:shd w:val="clear" w:color="auto" w:fill="auto"/>
            <w:vAlign w:val="center"/>
          </w:tcPr>
          <w:p>
            <w:pPr>
              <w:pStyle w:val="72"/>
            </w:pPr>
            <w:r>
              <w:rPr>
                <w:rFonts w:hint="eastAsia"/>
              </w:rPr>
              <w:t>东岗楼立交桥下东北</w:t>
            </w:r>
          </w:p>
        </w:tc>
        <w:tc>
          <w:tcPr>
            <w:tcW w:w="2377" w:type="dxa"/>
            <w:shd w:val="clear" w:color="auto" w:fill="auto"/>
            <w:vAlign w:val="center"/>
          </w:tcPr>
          <w:p>
            <w:pPr>
              <w:pStyle w:val="72"/>
            </w:pPr>
            <w:r>
              <w:rPr>
                <w:rFonts w:hint="eastAsia"/>
              </w:rPr>
              <w:t>淮海路以北</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29</w:t>
            </w:r>
          </w:p>
        </w:tc>
        <w:tc>
          <w:tcPr>
            <w:tcW w:w="1760" w:type="dxa"/>
            <w:vMerge w:val="restart"/>
            <w:shd w:val="clear" w:color="auto" w:fill="auto"/>
            <w:vAlign w:val="center"/>
          </w:tcPr>
          <w:p>
            <w:pPr>
              <w:pStyle w:val="72"/>
            </w:pPr>
            <w:r>
              <w:rPr>
                <w:rFonts w:hint="eastAsia"/>
              </w:rPr>
              <w:t>高岳泵房</w:t>
            </w:r>
          </w:p>
        </w:tc>
        <w:tc>
          <w:tcPr>
            <w:tcW w:w="1052" w:type="dxa"/>
            <w:shd w:val="clear" w:color="auto" w:fill="auto"/>
            <w:vAlign w:val="center"/>
          </w:tcPr>
          <w:p>
            <w:pPr>
              <w:pStyle w:val="72"/>
            </w:pPr>
            <w:r>
              <w:rPr>
                <w:rFonts w:hint="eastAsia"/>
              </w:rPr>
              <w:t>南井</w:t>
            </w:r>
          </w:p>
        </w:tc>
        <w:tc>
          <w:tcPr>
            <w:tcW w:w="3928" w:type="dxa"/>
            <w:shd w:val="clear" w:color="auto" w:fill="auto"/>
            <w:vAlign w:val="center"/>
          </w:tcPr>
          <w:p>
            <w:pPr>
              <w:pStyle w:val="72"/>
            </w:pPr>
            <w:r>
              <w:rPr>
                <w:rFonts w:hint="eastAsia"/>
              </w:rPr>
              <w:t>相杜路南杜集区法院转弯处</w:t>
            </w:r>
          </w:p>
        </w:tc>
        <w:tc>
          <w:tcPr>
            <w:tcW w:w="2377" w:type="dxa"/>
            <w:shd w:val="clear" w:color="auto" w:fill="auto"/>
            <w:vAlign w:val="center"/>
          </w:tcPr>
          <w:p>
            <w:pPr>
              <w:pStyle w:val="72"/>
            </w:pPr>
            <w:r>
              <w:rPr>
                <w:rFonts w:hint="eastAsia"/>
              </w:rPr>
              <w:t>淮海路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30</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北井</w:t>
            </w:r>
          </w:p>
        </w:tc>
        <w:tc>
          <w:tcPr>
            <w:tcW w:w="3928" w:type="dxa"/>
            <w:shd w:val="clear" w:color="auto" w:fill="auto"/>
            <w:vAlign w:val="center"/>
          </w:tcPr>
          <w:p>
            <w:pPr>
              <w:pStyle w:val="72"/>
            </w:pPr>
            <w:r>
              <w:rPr>
                <w:rFonts w:hint="eastAsia"/>
              </w:rPr>
              <w:t>相杜路南杜集区法院转弯处</w:t>
            </w:r>
          </w:p>
        </w:tc>
        <w:tc>
          <w:tcPr>
            <w:tcW w:w="2377" w:type="dxa"/>
            <w:shd w:val="clear" w:color="auto" w:fill="auto"/>
            <w:vAlign w:val="center"/>
          </w:tcPr>
          <w:p>
            <w:pPr>
              <w:pStyle w:val="72"/>
            </w:pPr>
            <w:r>
              <w:rPr>
                <w:rFonts w:hint="eastAsia"/>
              </w:rPr>
              <w:t>淮海路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31</w:t>
            </w:r>
          </w:p>
        </w:tc>
        <w:tc>
          <w:tcPr>
            <w:tcW w:w="1760" w:type="dxa"/>
            <w:shd w:val="clear" w:color="auto" w:fill="auto"/>
            <w:vAlign w:val="center"/>
          </w:tcPr>
          <w:p>
            <w:pPr>
              <w:pStyle w:val="72"/>
            </w:pPr>
            <w:r>
              <w:rPr>
                <w:rFonts w:hint="eastAsia"/>
              </w:rPr>
              <w:t>东部水池泵房</w:t>
            </w:r>
          </w:p>
        </w:tc>
        <w:tc>
          <w:tcPr>
            <w:tcW w:w="1052" w:type="dxa"/>
            <w:shd w:val="clear" w:color="auto" w:fill="auto"/>
            <w:vAlign w:val="center"/>
          </w:tcPr>
          <w:p>
            <w:pPr>
              <w:pStyle w:val="72"/>
            </w:pPr>
          </w:p>
        </w:tc>
        <w:tc>
          <w:tcPr>
            <w:tcW w:w="3928" w:type="dxa"/>
            <w:shd w:val="clear" w:color="auto" w:fill="auto"/>
            <w:vAlign w:val="center"/>
          </w:tcPr>
          <w:p>
            <w:pPr>
              <w:pStyle w:val="72"/>
            </w:pPr>
            <w:r>
              <w:rPr>
                <w:rFonts w:hint="eastAsia"/>
              </w:rPr>
              <w:t>东山路路东供水宾馆楼下</w:t>
            </w:r>
          </w:p>
        </w:tc>
        <w:tc>
          <w:tcPr>
            <w:tcW w:w="2377" w:type="dxa"/>
            <w:shd w:val="clear" w:color="auto" w:fill="auto"/>
            <w:vAlign w:val="center"/>
          </w:tcPr>
          <w:p>
            <w:pPr>
              <w:pStyle w:val="72"/>
            </w:pPr>
            <w:r>
              <w:rPr>
                <w:rFonts w:hint="eastAsia"/>
              </w:rPr>
              <w:t>淮海路以北</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32</w:t>
            </w:r>
          </w:p>
        </w:tc>
        <w:tc>
          <w:tcPr>
            <w:tcW w:w="1760" w:type="dxa"/>
            <w:shd w:val="clear" w:color="auto" w:fill="auto"/>
            <w:vAlign w:val="center"/>
          </w:tcPr>
          <w:p>
            <w:pPr>
              <w:pStyle w:val="72"/>
            </w:pPr>
            <w:r>
              <w:rPr>
                <w:rFonts w:hint="eastAsia"/>
              </w:rPr>
              <w:t>制药厂泵房</w:t>
            </w:r>
          </w:p>
        </w:tc>
        <w:tc>
          <w:tcPr>
            <w:tcW w:w="1052" w:type="dxa"/>
            <w:shd w:val="clear" w:color="auto" w:fill="auto"/>
            <w:vAlign w:val="center"/>
          </w:tcPr>
          <w:p>
            <w:pPr>
              <w:pStyle w:val="72"/>
            </w:pPr>
          </w:p>
        </w:tc>
        <w:tc>
          <w:tcPr>
            <w:tcW w:w="3928" w:type="dxa"/>
            <w:shd w:val="clear" w:color="auto" w:fill="auto"/>
            <w:vAlign w:val="center"/>
          </w:tcPr>
          <w:p>
            <w:pPr>
              <w:pStyle w:val="72"/>
            </w:pPr>
            <w:r>
              <w:rPr>
                <w:rFonts w:hint="eastAsia"/>
              </w:rPr>
              <w:t>惠黎路南原制药厂院内</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33</w:t>
            </w:r>
          </w:p>
        </w:tc>
        <w:tc>
          <w:tcPr>
            <w:tcW w:w="1760" w:type="dxa"/>
            <w:vMerge w:val="restart"/>
            <w:shd w:val="clear" w:color="auto" w:fill="auto"/>
            <w:vAlign w:val="center"/>
          </w:tcPr>
          <w:p>
            <w:pPr>
              <w:pStyle w:val="72"/>
            </w:pPr>
            <w:r>
              <w:rPr>
                <w:rFonts w:hint="eastAsia"/>
              </w:rPr>
              <w:t>刘庄泵房</w:t>
            </w:r>
          </w:p>
        </w:tc>
        <w:tc>
          <w:tcPr>
            <w:tcW w:w="1052" w:type="dxa"/>
            <w:shd w:val="clear" w:color="auto" w:fill="auto"/>
            <w:vAlign w:val="center"/>
          </w:tcPr>
          <w:p>
            <w:pPr>
              <w:pStyle w:val="72"/>
            </w:pPr>
            <w:r>
              <w:rPr>
                <w:rFonts w:hint="eastAsia"/>
              </w:rPr>
              <w:t>东井</w:t>
            </w:r>
          </w:p>
        </w:tc>
        <w:tc>
          <w:tcPr>
            <w:tcW w:w="3928" w:type="dxa"/>
            <w:shd w:val="clear" w:color="auto" w:fill="auto"/>
            <w:vAlign w:val="center"/>
          </w:tcPr>
          <w:p>
            <w:pPr>
              <w:pStyle w:val="72"/>
            </w:pPr>
            <w:r>
              <w:rPr>
                <w:rFonts w:hint="eastAsia"/>
              </w:rPr>
              <w:t>抭战路东</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34</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西井</w:t>
            </w:r>
          </w:p>
        </w:tc>
        <w:tc>
          <w:tcPr>
            <w:tcW w:w="3928" w:type="dxa"/>
            <w:shd w:val="clear" w:color="auto" w:fill="auto"/>
            <w:vAlign w:val="center"/>
          </w:tcPr>
          <w:p>
            <w:pPr>
              <w:pStyle w:val="72"/>
            </w:pPr>
            <w:r>
              <w:rPr>
                <w:rFonts w:hint="eastAsia"/>
              </w:rPr>
              <w:t>抭战路东</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35</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外井</w:t>
            </w:r>
          </w:p>
        </w:tc>
        <w:tc>
          <w:tcPr>
            <w:tcW w:w="3928" w:type="dxa"/>
            <w:shd w:val="clear" w:color="auto" w:fill="auto"/>
            <w:vAlign w:val="center"/>
          </w:tcPr>
          <w:p>
            <w:pPr>
              <w:pStyle w:val="72"/>
            </w:pPr>
            <w:r>
              <w:rPr>
                <w:rFonts w:hint="eastAsia"/>
              </w:rPr>
              <w:t>抭战路西</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36</w:t>
            </w:r>
          </w:p>
        </w:tc>
        <w:tc>
          <w:tcPr>
            <w:tcW w:w="1760" w:type="dxa"/>
            <w:vMerge w:val="restart"/>
            <w:shd w:val="clear" w:color="auto" w:fill="auto"/>
            <w:vAlign w:val="center"/>
          </w:tcPr>
          <w:p>
            <w:pPr>
              <w:pStyle w:val="72"/>
            </w:pPr>
            <w:r>
              <w:rPr>
                <w:rFonts w:hint="eastAsia"/>
              </w:rPr>
              <w:t>财校泵房</w:t>
            </w:r>
          </w:p>
        </w:tc>
        <w:tc>
          <w:tcPr>
            <w:tcW w:w="1052" w:type="dxa"/>
            <w:shd w:val="clear" w:color="auto" w:fill="auto"/>
            <w:vAlign w:val="center"/>
          </w:tcPr>
          <w:p>
            <w:pPr>
              <w:pStyle w:val="72"/>
            </w:pPr>
            <w:r>
              <w:rPr>
                <w:rFonts w:hint="eastAsia"/>
              </w:rPr>
              <w:t>北井</w:t>
            </w:r>
          </w:p>
        </w:tc>
        <w:tc>
          <w:tcPr>
            <w:tcW w:w="3928" w:type="dxa"/>
            <w:shd w:val="clear" w:color="auto" w:fill="auto"/>
            <w:vAlign w:val="center"/>
          </w:tcPr>
          <w:p>
            <w:pPr>
              <w:pStyle w:val="72"/>
            </w:pPr>
            <w:r>
              <w:rPr>
                <w:rFonts w:hint="eastAsia"/>
              </w:rPr>
              <w:t>财校南濉河北泵房北</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37</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东井</w:t>
            </w:r>
          </w:p>
        </w:tc>
        <w:tc>
          <w:tcPr>
            <w:tcW w:w="3928" w:type="dxa"/>
            <w:shd w:val="clear" w:color="auto" w:fill="auto"/>
            <w:vAlign w:val="center"/>
          </w:tcPr>
          <w:p>
            <w:pPr>
              <w:pStyle w:val="72"/>
            </w:pPr>
            <w:r>
              <w:rPr>
                <w:rFonts w:hint="eastAsia"/>
              </w:rPr>
              <w:t>财校南濉河北泵房北</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38</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西井</w:t>
            </w:r>
          </w:p>
        </w:tc>
        <w:tc>
          <w:tcPr>
            <w:tcW w:w="3928" w:type="dxa"/>
            <w:shd w:val="clear" w:color="auto" w:fill="auto"/>
            <w:vAlign w:val="center"/>
          </w:tcPr>
          <w:p>
            <w:pPr>
              <w:pStyle w:val="72"/>
            </w:pPr>
            <w:r>
              <w:rPr>
                <w:rFonts w:hint="eastAsia"/>
              </w:rPr>
              <w:t>财校南濉河北泵房北</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39</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南井东</w:t>
            </w:r>
          </w:p>
        </w:tc>
        <w:tc>
          <w:tcPr>
            <w:tcW w:w="3928" w:type="dxa"/>
            <w:shd w:val="clear" w:color="auto" w:fill="auto"/>
            <w:vAlign w:val="center"/>
          </w:tcPr>
          <w:p>
            <w:pPr>
              <w:pStyle w:val="72"/>
            </w:pPr>
            <w:r>
              <w:rPr>
                <w:rFonts w:hint="eastAsia"/>
              </w:rPr>
              <w:t>财校南濉河北</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40</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南井西</w:t>
            </w:r>
          </w:p>
        </w:tc>
        <w:tc>
          <w:tcPr>
            <w:tcW w:w="3928" w:type="dxa"/>
            <w:shd w:val="clear" w:color="auto" w:fill="auto"/>
            <w:vAlign w:val="center"/>
          </w:tcPr>
          <w:p>
            <w:pPr>
              <w:pStyle w:val="72"/>
            </w:pPr>
            <w:r>
              <w:rPr>
                <w:rFonts w:hint="eastAsia"/>
              </w:rPr>
              <w:t>财校南濉河北</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41</w:t>
            </w:r>
          </w:p>
        </w:tc>
        <w:tc>
          <w:tcPr>
            <w:tcW w:w="1760" w:type="dxa"/>
            <w:vMerge w:val="restart"/>
            <w:shd w:val="clear" w:color="auto" w:fill="auto"/>
            <w:vAlign w:val="center"/>
          </w:tcPr>
          <w:p>
            <w:pPr>
              <w:pStyle w:val="72"/>
            </w:pPr>
            <w:r>
              <w:rPr>
                <w:rFonts w:hint="eastAsia"/>
              </w:rPr>
              <w:t>任井北泵房</w:t>
            </w:r>
          </w:p>
        </w:tc>
        <w:tc>
          <w:tcPr>
            <w:tcW w:w="1052" w:type="dxa"/>
            <w:shd w:val="clear" w:color="auto" w:fill="auto"/>
            <w:vAlign w:val="center"/>
          </w:tcPr>
          <w:p>
            <w:pPr>
              <w:pStyle w:val="72"/>
            </w:pPr>
            <w:r>
              <w:rPr>
                <w:rFonts w:hint="eastAsia"/>
              </w:rPr>
              <w:t>北井</w:t>
            </w:r>
          </w:p>
        </w:tc>
        <w:tc>
          <w:tcPr>
            <w:tcW w:w="3928" w:type="dxa"/>
            <w:shd w:val="clear" w:color="auto" w:fill="auto"/>
            <w:vAlign w:val="center"/>
          </w:tcPr>
          <w:p>
            <w:pPr>
              <w:pStyle w:val="72"/>
            </w:pPr>
            <w:r>
              <w:rPr>
                <w:rFonts w:hint="eastAsia"/>
              </w:rPr>
              <w:t>滨河花园北侧</w:t>
            </w:r>
          </w:p>
        </w:tc>
        <w:tc>
          <w:tcPr>
            <w:tcW w:w="2377" w:type="dxa"/>
            <w:shd w:val="clear" w:color="auto" w:fill="auto"/>
            <w:vAlign w:val="center"/>
          </w:tcPr>
          <w:p>
            <w:pPr>
              <w:pStyle w:val="72"/>
            </w:pPr>
            <w:r>
              <w:rPr>
                <w:rFonts w:hint="eastAsia"/>
              </w:rPr>
              <w:t>凤凰山西侧</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42</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南井</w:t>
            </w:r>
          </w:p>
        </w:tc>
        <w:tc>
          <w:tcPr>
            <w:tcW w:w="3928" w:type="dxa"/>
            <w:shd w:val="clear" w:color="auto" w:fill="auto"/>
            <w:vAlign w:val="center"/>
          </w:tcPr>
          <w:p>
            <w:pPr>
              <w:pStyle w:val="72"/>
            </w:pPr>
            <w:r>
              <w:rPr>
                <w:rFonts w:hint="eastAsia"/>
              </w:rPr>
              <w:t>滨河花园北侧</w:t>
            </w:r>
          </w:p>
        </w:tc>
        <w:tc>
          <w:tcPr>
            <w:tcW w:w="2377" w:type="dxa"/>
            <w:shd w:val="clear" w:color="auto" w:fill="auto"/>
            <w:vAlign w:val="center"/>
          </w:tcPr>
          <w:p>
            <w:pPr>
              <w:pStyle w:val="72"/>
            </w:pPr>
            <w:r>
              <w:rPr>
                <w:rFonts w:hint="eastAsia"/>
              </w:rPr>
              <w:t>凤凰山西侧</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43</w:t>
            </w:r>
          </w:p>
        </w:tc>
        <w:tc>
          <w:tcPr>
            <w:tcW w:w="1760" w:type="dxa"/>
            <w:vMerge w:val="restart"/>
            <w:shd w:val="clear" w:color="auto" w:fill="auto"/>
            <w:vAlign w:val="center"/>
          </w:tcPr>
          <w:p>
            <w:pPr>
              <w:pStyle w:val="72"/>
            </w:pPr>
            <w:r>
              <w:rPr>
                <w:rFonts w:hint="eastAsia"/>
              </w:rPr>
              <w:t>宁山东泵房</w:t>
            </w:r>
          </w:p>
        </w:tc>
        <w:tc>
          <w:tcPr>
            <w:tcW w:w="1052" w:type="dxa"/>
            <w:shd w:val="clear" w:color="auto" w:fill="auto"/>
            <w:vAlign w:val="center"/>
          </w:tcPr>
          <w:p>
            <w:pPr>
              <w:pStyle w:val="72"/>
            </w:pPr>
            <w:r>
              <w:rPr>
                <w:rFonts w:hint="eastAsia"/>
              </w:rPr>
              <w:t>中井</w:t>
            </w:r>
          </w:p>
        </w:tc>
        <w:tc>
          <w:tcPr>
            <w:tcW w:w="3928" w:type="dxa"/>
            <w:shd w:val="clear" w:color="auto" w:fill="auto"/>
            <w:vAlign w:val="center"/>
          </w:tcPr>
          <w:p>
            <w:pPr>
              <w:pStyle w:val="72"/>
            </w:pPr>
            <w:r>
              <w:rPr>
                <w:rFonts w:hint="eastAsia"/>
              </w:rPr>
              <w:t>宁山</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44</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西井</w:t>
            </w:r>
          </w:p>
        </w:tc>
        <w:tc>
          <w:tcPr>
            <w:tcW w:w="3928" w:type="dxa"/>
            <w:shd w:val="clear" w:color="auto" w:fill="auto"/>
            <w:vAlign w:val="center"/>
          </w:tcPr>
          <w:p>
            <w:pPr>
              <w:pStyle w:val="72"/>
            </w:pPr>
            <w:r>
              <w:rPr>
                <w:rFonts w:hint="eastAsia"/>
              </w:rPr>
              <w:t>宁山</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45</w:t>
            </w:r>
          </w:p>
        </w:tc>
        <w:tc>
          <w:tcPr>
            <w:tcW w:w="1760" w:type="dxa"/>
            <w:vMerge w:val="restart"/>
            <w:shd w:val="clear" w:color="auto" w:fill="auto"/>
            <w:vAlign w:val="center"/>
          </w:tcPr>
          <w:p>
            <w:pPr>
              <w:pStyle w:val="72"/>
            </w:pPr>
            <w:r>
              <w:rPr>
                <w:rFonts w:hint="eastAsia"/>
              </w:rPr>
              <w:t>宁山中泵房</w:t>
            </w:r>
          </w:p>
        </w:tc>
        <w:tc>
          <w:tcPr>
            <w:tcW w:w="1052" w:type="dxa"/>
            <w:shd w:val="clear" w:color="auto" w:fill="auto"/>
            <w:vAlign w:val="center"/>
          </w:tcPr>
          <w:p>
            <w:pPr>
              <w:pStyle w:val="72"/>
            </w:pPr>
            <w:r>
              <w:rPr>
                <w:rFonts w:hint="eastAsia"/>
              </w:rPr>
              <w:t>北井</w:t>
            </w:r>
          </w:p>
        </w:tc>
        <w:tc>
          <w:tcPr>
            <w:tcW w:w="3928" w:type="dxa"/>
            <w:shd w:val="clear" w:color="auto" w:fill="auto"/>
            <w:vAlign w:val="center"/>
          </w:tcPr>
          <w:p>
            <w:pPr>
              <w:pStyle w:val="72"/>
            </w:pPr>
            <w:r>
              <w:rPr>
                <w:rFonts w:hint="eastAsia"/>
              </w:rPr>
              <w:t>宁山</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46</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南井</w:t>
            </w:r>
          </w:p>
        </w:tc>
        <w:tc>
          <w:tcPr>
            <w:tcW w:w="3928" w:type="dxa"/>
            <w:shd w:val="clear" w:color="auto" w:fill="auto"/>
            <w:vAlign w:val="center"/>
          </w:tcPr>
          <w:p>
            <w:pPr>
              <w:pStyle w:val="72"/>
            </w:pPr>
            <w:r>
              <w:rPr>
                <w:rFonts w:hint="eastAsia"/>
              </w:rPr>
              <w:t>宁山</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47</w:t>
            </w:r>
          </w:p>
        </w:tc>
        <w:tc>
          <w:tcPr>
            <w:tcW w:w="1760" w:type="dxa"/>
            <w:vMerge w:val="restart"/>
            <w:shd w:val="clear" w:color="auto" w:fill="auto"/>
            <w:vAlign w:val="center"/>
          </w:tcPr>
          <w:p>
            <w:pPr>
              <w:pStyle w:val="72"/>
            </w:pPr>
            <w:r>
              <w:rPr>
                <w:rFonts w:hint="eastAsia"/>
              </w:rPr>
              <w:t>宁山西泵房</w:t>
            </w:r>
          </w:p>
        </w:tc>
        <w:tc>
          <w:tcPr>
            <w:tcW w:w="1052" w:type="dxa"/>
            <w:shd w:val="clear" w:color="auto" w:fill="auto"/>
            <w:vAlign w:val="center"/>
          </w:tcPr>
          <w:p>
            <w:pPr>
              <w:pStyle w:val="72"/>
            </w:pPr>
            <w:r>
              <w:rPr>
                <w:rFonts w:hint="eastAsia"/>
              </w:rPr>
              <w:t>东井</w:t>
            </w:r>
          </w:p>
        </w:tc>
        <w:tc>
          <w:tcPr>
            <w:tcW w:w="3928" w:type="dxa"/>
            <w:shd w:val="clear" w:color="auto" w:fill="auto"/>
            <w:vAlign w:val="center"/>
          </w:tcPr>
          <w:p>
            <w:pPr>
              <w:pStyle w:val="72"/>
            </w:pPr>
            <w:r>
              <w:rPr>
                <w:rFonts w:hint="eastAsia"/>
              </w:rPr>
              <w:t>宁山</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48</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西井</w:t>
            </w:r>
          </w:p>
        </w:tc>
        <w:tc>
          <w:tcPr>
            <w:tcW w:w="3928" w:type="dxa"/>
            <w:shd w:val="clear" w:color="auto" w:fill="auto"/>
            <w:vAlign w:val="center"/>
          </w:tcPr>
          <w:p>
            <w:pPr>
              <w:pStyle w:val="72"/>
            </w:pPr>
            <w:r>
              <w:rPr>
                <w:rFonts w:hint="eastAsia"/>
              </w:rPr>
              <w:t>宁山</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49</w:t>
            </w:r>
          </w:p>
        </w:tc>
        <w:tc>
          <w:tcPr>
            <w:tcW w:w="1760" w:type="dxa"/>
            <w:shd w:val="clear" w:color="auto" w:fill="auto"/>
            <w:vAlign w:val="center"/>
          </w:tcPr>
          <w:p>
            <w:pPr>
              <w:pStyle w:val="72"/>
            </w:pPr>
            <w:r>
              <w:rPr>
                <w:rFonts w:hint="eastAsia"/>
              </w:rPr>
              <w:t>金帆船泵房</w:t>
            </w:r>
          </w:p>
        </w:tc>
        <w:tc>
          <w:tcPr>
            <w:tcW w:w="1052" w:type="dxa"/>
            <w:shd w:val="clear" w:color="auto" w:fill="auto"/>
            <w:vAlign w:val="center"/>
          </w:tcPr>
          <w:p>
            <w:pPr>
              <w:pStyle w:val="72"/>
            </w:pPr>
          </w:p>
        </w:tc>
        <w:tc>
          <w:tcPr>
            <w:tcW w:w="3928" w:type="dxa"/>
            <w:shd w:val="clear" w:color="auto" w:fill="auto"/>
            <w:vAlign w:val="center"/>
          </w:tcPr>
          <w:p>
            <w:pPr>
              <w:pStyle w:val="72"/>
            </w:pPr>
            <w:r>
              <w:rPr>
                <w:rFonts w:hint="eastAsia"/>
              </w:rPr>
              <w:t>东山路金帆船食品厂东侧</w:t>
            </w:r>
          </w:p>
        </w:tc>
        <w:tc>
          <w:tcPr>
            <w:tcW w:w="2377" w:type="dxa"/>
            <w:shd w:val="clear" w:color="auto" w:fill="auto"/>
            <w:vAlign w:val="center"/>
          </w:tcPr>
          <w:p>
            <w:pPr>
              <w:pStyle w:val="72"/>
            </w:pPr>
            <w:r>
              <w:rPr>
                <w:rFonts w:hint="eastAsia"/>
              </w:rPr>
              <w:t>杜集工业园</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50</w:t>
            </w:r>
          </w:p>
        </w:tc>
        <w:tc>
          <w:tcPr>
            <w:tcW w:w="1760" w:type="dxa"/>
            <w:vMerge w:val="restart"/>
            <w:shd w:val="clear" w:color="auto" w:fill="auto"/>
            <w:vAlign w:val="center"/>
          </w:tcPr>
          <w:p>
            <w:pPr>
              <w:pStyle w:val="72"/>
            </w:pPr>
            <w:r>
              <w:rPr>
                <w:rFonts w:hint="eastAsia"/>
              </w:rPr>
              <w:t>凤凰城泵房</w:t>
            </w:r>
          </w:p>
        </w:tc>
        <w:tc>
          <w:tcPr>
            <w:tcW w:w="1052" w:type="dxa"/>
            <w:shd w:val="clear" w:color="auto" w:fill="auto"/>
            <w:vAlign w:val="center"/>
          </w:tcPr>
          <w:p>
            <w:pPr>
              <w:pStyle w:val="72"/>
            </w:pPr>
            <w:r>
              <w:rPr>
                <w:rFonts w:hint="eastAsia"/>
              </w:rPr>
              <w:t>北1井</w:t>
            </w:r>
          </w:p>
        </w:tc>
        <w:tc>
          <w:tcPr>
            <w:tcW w:w="3928" w:type="dxa"/>
            <w:shd w:val="clear" w:color="auto" w:fill="auto"/>
            <w:vAlign w:val="center"/>
          </w:tcPr>
          <w:p>
            <w:pPr>
              <w:pStyle w:val="72"/>
            </w:pPr>
            <w:r>
              <w:rPr>
                <w:rFonts w:hint="eastAsia"/>
              </w:rPr>
              <w:t>凤凰城西侧</w:t>
            </w:r>
          </w:p>
        </w:tc>
        <w:tc>
          <w:tcPr>
            <w:tcW w:w="2377" w:type="dxa"/>
            <w:shd w:val="clear" w:color="auto" w:fill="auto"/>
            <w:vAlign w:val="center"/>
          </w:tcPr>
          <w:p>
            <w:pPr>
              <w:pStyle w:val="72"/>
            </w:pPr>
            <w:r>
              <w:rPr>
                <w:rFonts w:hint="eastAsia"/>
              </w:rPr>
              <w:t>淮海路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51</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北2井</w:t>
            </w:r>
          </w:p>
        </w:tc>
        <w:tc>
          <w:tcPr>
            <w:tcW w:w="3928" w:type="dxa"/>
            <w:shd w:val="clear" w:color="auto" w:fill="auto"/>
            <w:vAlign w:val="center"/>
          </w:tcPr>
          <w:p>
            <w:pPr>
              <w:pStyle w:val="72"/>
            </w:pPr>
            <w:r>
              <w:rPr>
                <w:rFonts w:hint="eastAsia"/>
              </w:rPr>
              <w:t>凤凰城西侧</w:t>
            </w:r>
          </w:p>
        </w:tc>
        <w:tc>
          <w:tcPr>
            <w:tcW w:w="2377" w:type="dxa"/>
            <w:shd w:val="clear" w:color="auto" w:fill="auto"/>
            <w:vAlign w:val="center"/>
          </w:tcPr>
          <w:p>
            <w:pPr>
              <w:pStyle w:val="72"/>
            </w:pPr>
            <w:r>
              <w:rPr>
                <w:rFonts w:hint="eastAsia"/>
              </w:rPr>
              <w:t>凤凰山西侧</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52</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北4井</w:t>
            </w:r>
          </w:p>
        </w:tc>
        <w:tc>
          <w:tcPr>
            <w:tcW w:w="3928" w:type="dxa"/>
            <w:shd w:val="clear" w:color="auto" w:fill="auto"/>
            <w:vAlign w:val="center"/>
          </w:tcPr>
          <w:p>
            <w:pPr>
              <w:pStyle w:val="72"/>
            </w:pPr>
            <w:r>
              <w:rPr>
                <w:rFonts w:hint="eastAsia"/>
              </w:rPr>
              <w:t>凤凰城西侧</w:t>
            </w:r>
          </w:p>
        </w:tc>
        <w:tc>
          <w:tcPr>
            <w:tcW w:w="2377" w:type="dxa"/>
            <w:shd w:val="clear" w:color="auto" w:fill="auto"/>
            <w:vAlign w:val="center"/>
          </w:tcPr>
          <w:p>
            <w:pPr>
              <w:pStyle w:val="72"/>
            </w:pPr>
            <w:r>
              <w:rPr>
                <w:rFonts w:hint="eastAsia"/>
              </w:rPr>
              <w:t>凤凰山西侧</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53</w:t>
            </w:r>
          </w:p>
        </w:tc>
        <w:tc>
          <w:tcPr>
            <w:tcW w:w="1760" w:type="dxa"/>
            <w:vMerge w:val="restart"/>
            <w:shd w:val="clear" w:color="auto" w:fill="auto"/>
            <w:vAlign w:val="center"/>
          </w:tcPr>
          <w:p>
            <w:pPr>
              <w:pStyle w:val="72"/>
            </w:pPr>
            <w:r>
              <w:rPr>
                <w:rFonts w:hint="eastAsia"/>
              </w:rPr>
              <w:t>虎山泵房</w:t>
            </w:r>
          </w:p>
        </w:tc>
        <w:tc>
          <w:tcPr>
            <w:tcW w:w="1052" w:type="dxa"/>
            <w:shd w:val="clear" w:color="auto" w:fill="auto"/>
            <w:vAlign w:val="center"/>
          </w:tcPr>
          <w:p>
            <w:pPr>
              <w:pStyle w:val="72"/>
            </w:pPr>
            <w:r>
              <w:rPr>
                <w:rFonts w:hint="eastAsia"/>
              </w:rPr>
              <w:t>北井</w:t>
            </w:r>
          </w:p>
        </w:tc>
        <w:tc>
          <w:tcPr>
            <w:tcW w:w="3928" w:type="dxa"/>
            <w:shd w:val="clear" w:color="auto" w:fill="auto"/>
            <w:vAlign w:val="center"/>
          </w:tcPr>
          <w:p>
            <w:pPr>
              <w:pStyle w:val="72"/>
            </w:pPr>
            <w:r>
              <w:rPr>
                <w:rFonts w:hint="eastAsia"/>
              </w:rPr>
              <w:t>南部城区赵楼村附近</w:t>
            </w:r>
          </w:p>
        </w:tc>
        <w:tc>
          <w:tcPr>
            <w:tcW w:w="2377" w:type="dxa"/>
            <w:shd w:val="clear" w:color="auto" w:fill="auto"/>
            <w:vAlign w:val="center"/>
          </w:tcPr>
          <w:p>
            <w:pPr>
              <w:pStyle w:val="72"/>
            </w:pPr>
            <w:r>
              <w:rPr>
                <w:rFonts w:hint="eastAsia"/>
              </w:rPr>
              <w:t>南部城区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54</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中井</w:t>
            </w:r>
          </w:p>
        </w:tc>
        <w:tc>
          <w:tcPr>
            <w:tcW w:w="3928" w:type="dxa"/>
            <w:shd w:val="clear" w:color="auto" w:fill="auto"/>
            <w:vAlign w:val="center"/>
          </w:tcPr>
          <w:p>
            <w:pPr>
              <w:pStyle w:val="72"/>
            </w:pPr>
            <w:r>
              <w:rPr>
                <w:rFonts w:hint="eastAsia"/>
              </w:rPr>
              <w:t>南部城区赵楼村附近</w:t>
            </w:r>
          </w:p>
        </w:tc>
        <w:tc>
          <w:tcPr>
            <w:tcW w:w="2377" w:type="dxa"/>
            <w:shd w:val="clear" w:color="auto" w:fill="auto"/>
            <w:vAlign w:val="center"/>
          </w:tcPr>
          <w:p>
            <w:pPr>
              <w:pStyle w:val="72"/>
            </w:pPr>
            <w:r>
              <w:rPr>
                <w:rFonts w:hint="eastAsia"/>
              </w:rPr>
              <w:t>南部城区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55</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南井</w:t>
            </w:r>
          </w:p>
        </w:tc>
        <w:tc>
          <w:tcPr>
            <w:tcW w:w="3928" w:type="dxa"/>
            <w:shd w:val="clear" w:color="auto" w:fill="auto"/>
            <w:vAlign w:val="center"/>
          </w:tcPr>
          <w:p>
            <w:pPr>
              <w:pStyle w:val="72"/>
            </w:pPr>
            <w:r>
              <w:rPr>
                <w:rFonts w:hint="eastAsia"/>
              </w:rPr>
              <w:t>南部城区赵楼村附近</w:t>
            </w:r>
          </w:p>
        </w:tc>
        <w:tc>
          <w:tcPr>
            <w:tcW w:w="2377" w:type="dxa"/>
            <w:shd w:val="clear" w:color="auto" w:fill="auto"/>
            <w:vAlign w:val="center"/>
          </w:tcPr>
          <w:p>
            <w:pPr>
              <w:pStyle w:val="72"/>
            </w:pPr>
            <w:r>
              <w:rPr>
                <w:rFonts w:hint="eastAsia"/>
              </w:rPr>
              <w:t>南部城区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56</w:t>
            </w:r>
          </w:p>
        </w:tc>
        <w:tc>
          <w:tcPr>
            <w:tcW w:w="1760" w:type="dxa"/>
            <w:shd w:val="clear" w:color="auto" w:fill="auto"/>
            <w:vAlign w:val="center"/>
          </w:tcPr>
          <w:p>
            <w:pPr>
              <w:pStyle w:val="72"/>
            </w:pPr>
            <w:r>
              <w:rPr>
                <w:rFonts w:hint="eastAsia"/>
              </w:rPr>
              <w:t>赵楼泵房</w:t>
            </w:r>
          </w:p>
        </w:tc>
        <w:tc>
          <w:tcPr>
            <w:tcW w:w="1052" w:type="dxa"/>
            <w:shd w:val="clear" w:color="auto" w:fill="auto"/>
            <w:vAlign w:val="center"/>
          </w:tcPr>
          <w:p>
            <w:pPr>
              <w:pStyle w:val="72"/>
            </w:pPr>
          </w:p>
        </w:tc>
        <w:tc>
          <w:tcPr>
            <w:tcW w:w="3928" w:type="dxa"/>
            <w:shd w:val="clear" w:color="auto" w:fill="auto"/>
            <w:vAlign w:val="center"/>
          </w:tcPr>
          <w:p>
            <w:pPr>
              <w:pStyle w:val="72"/>
            </w:pPr>
            <w:r>
              <w:rPr>
                <w:rFonts w:hint="eastAsia"/>
              </w:rPr>
              <w:t>南部城区赵楼村附近</w:t>
            </w:r>
          </w:p>
        </w:tc>
        <w:tc>
          <w:tcPr>
            <w:tcW w:w="2377" w:type="dxa"/>
            <w:shd w:val="clear" w:color="auto" w:fill="auto"/>
            <w:vAlign w:val="center"/>
          </w:tcPr>
          <w:p>
            <w:pPr>
              <w:pStyle w:val="72"/>
            </w:pPr>
            <w:r>
              <w:rPr>
                <w:rFonts w:hint="eastAsia"/>
              </w:rPr>
              <w:t>南部城区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57</w:t>
            </w:r>
          </w:p>
        </w:tc>
        <w:tc>
          <w:tcPr>
            <w:tcW w:w="1760" w:type="dxa"/>
            <w:shd w:val="clear" w:color="auto" w:fill="auto"/>
            <w:vAlign w:val="center"/>
          </w:tcPr>
          <w:p>
            <w:pPr>
              <w:pStyle w:val="72"/>
            </w:pPr>
            <w:r>
              <w:rPr>
                <w:rFonts w:hint="eastAsia"/>
              </w:rPr>
              <w:t>岱西泵房</w:t>
            </w:r>
          </w:p>
        </w:tc>
        <w:tc>
          <w:tcPr>
            <w:tcW w:w="1052" w:type="dxa"/>
            <w:shd w:val="clear" w:color="auto" w:fill="auto"/>
            <w:vAlign w:val="center"/>
          </w:tcPr>
          <w:p>
            <w:pPr>
              <w:pStyle w:val="72"/>
            </w:pPr>
          </w:p>
        </w:tc>
        <w:tc>
          <w:tcPr>
            <w:tcW w:w="3928" w:type="dxa"/>
            <w:shd w:val="clear" w:color="auto" w:fill="auto"/>
            <w:vAlign w:val="center"/>
          </w:tcPr>
          <w:p>
            <w:pPr>
              <w:pStyle w:val="72"/>
            </w:pPr>
            <w:r>
              <w:rPr>
                <w:rFonts w:hint="eastAsia"/>
              </w:rPr>
              <w:t>岱河矿西</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58</w:t>
            </w:r>
          </w:p>
        </w:tc>
        <w:tc>
          <w:tcPr>
            <w:tcW w:w="1760" w:type="dxa"/>
            <w:vMerge w:val="restart"/>
            <w:shd w:val="clear" w:color="auto" w:fill="auto"/>
            <w:vAlign w:val="center"/>
          </w:tcPr>
          <w:p>
            <w:pPr>
              <w:pStyle w:val="72"/>
            </w:pPr>
            <w:r>
              <w:rPr>
                <w:rFonts w:hint="eastAsia"/>
              </w:rPr>
              <w:t>高岳南泵房</w:t>
            </w:r>
          </w:p>
        </w:tc>
        <w:tc>
          <w:tcPr>
            <w:tcW w:w="1052" w:type="dxa"/>
            <w:shd w:val="clear" w:color="auto" w:fill="auto"/>
            <w:vAlign w:val="center"/>
          </w:tcPr>
          <w:p>
            <w:pPr>
              <w:pStyle w:val="72"/>
            </w:pPr>
            <w:r>
              <w:rPr>
                <w:rFonts w:hint="eastAsia"/>
              </w:rPr>
              <w:t>北井</w:t>
            </w:r>
          </w:p>
        </w:tc>
        <w:tc>
          <w:tcPr>
            <w:tcW w:w="3928" w:type="dxa"/>
            <w:shd w:val="clear" w:color="auto" w:fill="auto"/>
            <w:vAlign w:val="center"/>
          </w:tcPr>
          <w:p>
            <w:pPr>
              <w:pStyle w:val="72"/>
            </w:pPr>
            <w:r>
              <w:rPr>
                <w:rFonts w:hint="eastAsia"/>
              </w:rPr>
              <w:t>高岳南泵房院内</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59</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南井</w:t>
            </w:r>
          </w:p>
        </w:tc>
        <w:tc>
          <w:tcPr>
            <w:tcW w:w="3928" w:type="dxa"/>
            <w:shd w:val="clear" w:color="auto" w:fill="auto"/>
            <w:vAlign w:val="center"/>
          </w:tcPr>
          <w:p>
            <w:pPr>
              <w:pStyle w:val="72"/>
            </w:pPr>
            <w:r>
              <w:rPr>
                <w:rFonts w:hint="eastAsia"/>
              </w:rPr>
              <w:t>高岳南泵房院内</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60</w:t>
            </w:r>
          </w:p>
        </w:tc>
        <w:tc>
          <w:tcPr>
            <w:tcW w:w="1760" w:type="dxa"/>
            <w:vMerge w:val="restart"/>
            <w:shd w:val="clear" w:color="auto" w:fill="auto"/>
            <w:vAlign w:val="center"/>
          </w:tcPr>
          <w:p>
            <w:pPr>
              <w:pStyle w:val="72"/>
            </w:pPr>
            <w:r>
              <w:rPr>
                <w:rFonts w:hint="eastAsia"/>
              </w:rPr>
              <w:t>黄桥北泵房</w:t>
            </w:r>
          </w:p>
        </w:tc>
        <w:tc>
          <w:tcPr>
            <w:tcW w:w="1052" w:type="dxa"/>
            <w:shd w:val="clear" w:color="auto" w:fill="auto"/>
            <w:vAlign w:val="center"/>
          </w:tcPr>
          <w:p>
            <w:pPr>
              <w:pStyle w:val="72"/>
            </w:pPr>
            <w:r>
              <w:rPr>
                <w:rFonts w:hint="eastAsia"/>
              </w:rPr>
              <w:t>东井</w:t>
            </w:r>
          </w:p>
        </w:tc>
        <w:tc>
          <w:tcPr>
            <w:tcW w:w="3928" w:type="dxa"/>
            <w:shd w:val="clear" w:color="auto" w:fill="auto"/>
            <w:vAlign w:val="center"/>
          </w:tcPr>
          <w:p>
            <w:pPr>
              <w:pStyle w:val="72"/>
            </w:pPr>
            <w:r>
              <w:rPr>
                <w:rFonts w:hint="eastAsia"/>
              </w:rPr>
              <w:t>烈山黄桥半截楼村附近</w:t>
            </w:r>
          </w:p>
        </w:tc>
        <w:tc>
          <w:tcPr>
            <w:tcW w:w="2377" w:type="dxa"/>
            <w:shd w:val="clear" w:color="auto" w:fill="auto"/>
            <w:vAlign w:val="center"/>
          </w:tcPr>
          <w:p>
            <w:pPr>
              <w:pStyle w:val="72"/>
            </w:pPr>
            <w:r>
              <w:rPr>
                <w:rFonts w:hint="eastAsia"/>
              </w:rPr>
              <w:t>南部城区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61</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西井</w:t>
            </w:r>
          </w:p>
        </w:tc>
        <w:tc>
          <w:tcPr>
            <w:tcW w:w="3928" w:type="dxa"/>
            <w:shd w:val="clear" w:color="auto" w:fill="auto"/>
            <w:vAlign w:val="center"/>
          </w:tcPr>
          <w:p>
            <w:pPr>
              <w:pStyle w:val="72"/>
            </w:pPr>
            <w:r>
              <w:rPr>
                <w:rFonts w:hint="eastAsia"/>
              </w:rPr>
              <w:t>烈山黄桥半截楼村附近</w:t>
            </w:r>
          </w:p>
        </w:tc>
        <w:tc>
          <w:tcPr>
            <w:tcW w:w="2377" w:type="dxa"/>
            <w:shd w:val="clear" w:color="auto" w:fill="auto"/>
            <w:vAlign w:val="center"/>
          </w:tcPr>
          <w:p>
            <w:pPr>
              <w:pStyle w:val="72"/>
            </w:pPr>
            <w:r>
              <w:rPr>
                <w:rFonts w:hint="eastAsia"/>
              </w:rPr>
              <w:t>南部城区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62</w:t>
            </w:r>
          </w:p>
        </w:tc>
        <w:tc>
          <w:tcPr>
            <w:tcW w:w="1760" w:type="dxa"/>
            <w:vMerge w:val="restart"/>
            <w:shd w:val="clear" w:color="auto" w:fill="auto"/>
            <w:vAlign w:val="center"/>
          </w:tcPr>
          <w:p>
            <w:pPr>
              <w:pStyle w:val="72"/>
            </w:pPr>
            <w:r>
              <w:rPr>
                <w:rFonts w:hint="eastAsia"/>
              </w:rPr>
              <w:t>黄桥南泵房</w:t>
            </w:r>
          </w:p>
        </w:tc>
        <w:tc>
          <w:tcPr>
            <w:tcW w:w="1052" w:type="dxa"/>
            <w:shd w:val="clear" w:color="auto" w:fill="auto"/>
            <w:vAlign w:val="center"/>
          </w:tcPr>
          <w:p>
            <w:pPr>
              <w:pStyle w:val="72"/>
            </w:pPr>
            <w:r>
              <w:rPr>
                <w:rFonts w:hint="eastAsia"/>
              </w:rPr>
              <w:t>东井</w:t>
            </w:r>
          </w:p>
        </w:tc>
        <w:tc>
          <w:tcPr>
            <w:tcW w:w="3928" w:type="dxa"/>
            <w:shd w:val="clear" w:color="auto" w:fill="auto"/>
            <w:vAlign w:val="center"/>
          </w:tcPr>
          <w:p>
            <w:pPr>
              <w:pStyle w:val="72"/>
            </w:pPr>
            <w:r>
              <w:rPr>
                <w:rFonts w:hint="eastAsia"/>
              </w:rPr>
              <w:t>烈山黄桥半截楼村附近</w:t>
            </w:r>
          </w:p>
        </w:tc>
        <w:tc>
          <w:tcPr>
            <w:tcW w:w="2377" w:type="dxa"/>
            <w:shd w:val="clear" w:color="auto" w:fill="auto"/>
            <w:vAlign w:val="center"/>
          </w:tcPr>
          <w:p>
            <w:pPr>
              <w:pStyle w:val="72"/>
            </w:pPr>
            <w:r>
              <w:rPr>
                <w:rFonts w:hint="eastAsia"/>
              </w:rPr>
              <w:t>南部城区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63</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西井</w:t>
            </w:r>
          </w:p>
        </w:tc>
        <w:tc>
          <w:tcPr>
            <w:tcW w:w="3928" w:type="dxa"/>
            <w:shd w:val="clear" w:color="auto" w:fill="auto"/>
            <w:vAlign w:val="center"/>
          </w:tcPr>
          <w:p>
            <w:pPr>
              <w:pStyle w:val="72"/>
            </w:pPr>
            <w:r>
              <w:rPr>
                <w:rFonts w:hint="eastAsia"/>
              </w:rPr>
              <w:t>烈山黄桥半截楼村附近</w:t>
            </w:r>
          </w:p>
        </w:tc>
        <w:tc>
          <w:tcPr>
            <w:tcW w:w="2377" w:type="dxa"/>
            <w:shd w:val="clear" w:color="auto" w:fill="auto"/>
            <w:vAlign w:val="center"/>
          </w:tcPr>
          <w:p>
            <w:pPr>
              <w:pStyle w:val="72"/>
            </w:pPr>
            <w:r>
              <w:rPr>
                <w:rFonts w:hint="eastAsia"/>
              </w:rPr>
              <w:t>南部城区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64</w:t>
            </w:r>
          </w:p>
        </w:tc>
        <w:tc>
          <w:tcPr>
            <w:tcW w:w="1760" w:type="dxa"/>
            <w:shd w:val="clear" w:color="auto" w:fill="auto"/>
            <w:vAlign w:val="center"/>
          </w:tcPr>
          <w:p>
            <w:pPr>
              <w:pStyle w:val="72"/>
            </w:pPr>
            <w:r>
              <w:rPr>
                <w:rFonts w:hint="eastAsia"/>
              </w:rPr>
              <w:t>杨庄矿留守处</w:t>
            </w:r>
          </w:p>
        </w:tc>
        <w:tc>
          <w:tcPr>
            <w:tcW w:w="1052" w:type="dxa"/>
            <w:shd w:val="clear" w:color="auto" w:fill="auto"/>
            <w:vAlign w:val="center"/>
          </w:tcPr>
          <w:p>
            <w:pPr>
              <w:pStyle w:val="72"/>
            </w:pPr>
          </w:p>
        </w:tc>
        <w:tc>
          <w:tcPr>
            <w:tcW w:w="3928" w:type="dxa"/>
            <w:shd w:val="clear" w:color="auto" w:fill="auto"/>
            <w:vAlign w:val="center"/>
          </w:tcPr>
          <w:p>
            <w:pPr>
              <w:pStyle w:val="72"/>
            </w:pPr>
            <w:r>
              <w:rPr>
                <w:rFonts w:hint="eastAsia"/>
              </w:rPr>
              <w:t>烈山区职业技术学校附近</w:t>
            </w:r>
          </w:p>
        </w:tc>
        <w:tc>
          <w:tcPr>
            <w:tcW w:w="2377" w:type="dxa"/>
            <w:shd w:val="clear" w:color="auto" w:fill="auto"/>
            <w:vAlign w:val="center"/>
          </w:tcPr>
          <w:p>
            <w:pPr>
              <w:pStyle w:val="72"/>
            </w:pPr>
            <w:r>
              <w:rPr>
                <w:rFonts w:hint="eastAsia"/>
              </w:rPr>
              <w:t>南部城区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65</w:t>
            </w:r>
          </w:p>
        </w:tc>
        <w:tc>
          <w:tcPr>
            <w:tcW w:w="1760" w:type="dxa"/>
            <w:vMerge w:val="restart"/>
            <w:shd w:val="clear" w:color="auto" w:fill="auto"/>
            <w:vAlign w:val="center"/>
          </w:tcPr>
          <w:p>
            <w:pPr>
              <w:pStyle w:val="72"/>
            </w:pPr>
            <w:r>
              <w:rPr>
                <w:rFonts w:hint="eastAsia"/>
              </w:rPr>
              <w:t>滨河泵房</w:t>
            </w:r>
          </w:p>
        </w:tc>
        <w:tc>
          <w:tcPr>
            <w:tcW w:w="1052" w:type="dxa"/>
            <w:shd w:val="clear" w:color="auto" w:fill="auto"/>
            <w:vAlign w:val="center"/>
          </w:tcPr>
          <w:p>
            <w:pPr>
              <w:pStyle w:val="72"/>
            </w:pPr>
            <w:r>
              <w:rPr>
                <w:rFonts w:hint="eastAsia"/>
              </w:rPr>
              <w:t>北井</w:t>
            </w:r>
          </w:p>
        </w:tc>
        <w:tc>
          <w:tcPr>
            <w:tcW w:w="3928" w:type="dxa"/>
            <w:shd w:val="clear" w:color="auto" w:fill="auto"/>
            <w:vAlign w:val="center"/>
          </w:tcPr>
          <w:p>
            <w:pPr>
              <w:pStyle w:val="72"/>
            </w:pPr>
            <w:r>
              <w:rPr>
                <w:rFonts w:hint="eastAsia"/>
              </w:rPr>
              <w:t>滨河花园东侧</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66</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南井</w:t>
            </w:r>
          </w:p>
        </w:tc>
        <w:tc>
          <w:tcPr>
            <w:tcW w:w="3928" w:type="dxa"/>
            <w:shd w:val="clear" w:color="auto" w:fill="auto"/>
            <w:vAlign w:val="center"/>
          </w:tcPr>
          <w:p>
            <w:pPr>
              <w:pStyle w:val="72"/>
            </w:pPr>
            <w:r>
              <w:rPr>
                <w:rFonts w:hint="eastAsia"/>
              </w:rPr>
              <w:t>滨河花园东侧</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67</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东井</w:t>
            </w:r>
          </w:p>
        </w:tc>
        <w:tc>
          <w:tcPr>
            <w:tcW w:w="3928" w:type="dxa"/>
            <w:shd w:val="clear" w:color="auto" w:fill="auto"/>
            <w:vAlign w:val="center"/>
          </w:tcPr>
          <w:p>
            <w:pPr>
              <w:pStyle w:val="72"/>
            </w:pPr>
            <w:r>
              <w:rPr>
                <w:rFonts w:hint="eastAsia"/>
              </w:rPr>
              <w:t>滨河花园东侧</w:t>
            </w:r>
          </w:p>
        </w:tc>
        <w:tc>
          <w:tcPr>
            <w:tcW w:w="2377"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68</w:t>
            </w:r>
          </w:p>
        </w:tc>
        <w:tc>
          <w:tcPr>
            <w:tcW w:w="1760" w:type="dxa"/>
            <w:vMerge w:val="restart"/>
            <w:shd w:val="clear" w:color="auto" w:fill="auto"/>
            <w:vAlign w:val="center"/>
          </w:tcPr>
          <w:p>
            <w:pPr>
              <w:pStyle w:val="72"/>
            </w:pPr>
            <w:r>
              <w:rPr>
                <w:rFonts w:hint="eastAsia"/>
              </w:rPr>
              <w:t>永利广场泵房</w:t>
            </w:r>
          </w:p>
        </w:tc>
        <w:tc>
          <w:tcPr>
            <w:tcW w:w="1052" w:type="dxa"/>
            <w:shd w:val="clear" w:color="auto" w:fill="auto"/>
            <w:vAlign w:val="center"/>
          </w:tcPr>
          <w:p>
            <w:pPr>
              <w:pStyle w:val="72"/>
            </w:pPr>
            <w:r>
              <w:rPr>
                <w:rFonts w:hint="eastAsia"/>
              </w:rPr>
              <w:t>东井</w:t>
            </w:r>
          </w:p>
        </w:tc>
        <w:tc>
          <w:tcPr>
            <w:tcW w:w="3928" w:type="dxa"/>
            <w:shd w:val="clear" w:color="auto" w:fill="auto"/>
            <w:vAlign w:val="center"/>
          </w:tcPr>
          <w:p>
            <w:pPr>
              <w:pStyle w:val="72"/>
            </w:pPr>
            <w:r>
              <w:rPr>
                <w:rFonts w:hint="eastAsia"/>
              </w:rPr>
              <w:t>永利大厦地下室</w:t>
            </w:r>
          </w:p>
        </w:tc>
        <w:tc>
          <w:tcPr>
            <w:tcW w:w="2377" w:type="dxa"/>
            <w:shd w:val="clear" w:color="auto" w:fill="auto"/>
            <w:vAlign w:val="center"/>
          </w:tcPr>
          <w:p>
            <w:pPr>
              <w:pStyle w:val="72"/>
            </w:pPr>
            <w:r>
              <w:rPr>
                <w:rFonts w:hint="eastAsia"/>
              </w:rPr>
              <w:t>淮海路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69</w:t>
            </w:r>
          </w:p>
        </w:tc>
        <w:tc>
          <w:tcPr>
            <w:tcW w:w="1760" w:type="dxa"/>
            <w:vMerge w:val="continue"/>
            <w:vAlign w:val="center"/>
          </w:tcPr>
          <w:p>
            <w:pPr>
              <w:pStyle w:val="72"/>
            </w:pPr>
          </w:p>
        </w:tc>
        <w:tc>
          <w:tcPr>
            <w:tcW w:w="1052" w:type="dxa"/>
            <w:shd w:val="clear" w:color="auto" w:fill="auto"/>
            <w:vAlign w:val="center"/>
          </w:tcPr>
          <w:p>
            <w:pPr>
              <w:pStyle w:val="72"/>
            </w:pPr>
            <w:r>
              <w:rPr>
                <w:rFonts w:hint="eastAsia"/>
              </w:rPr>
              <w:t>西井</w:t>
            </w:r>
          </w:p>
        </w:tc>
        <w:tc>
          <w:tcPr>
            <w:tcW w:w="3928" w:type="dxa"/>
            <w:shd w:val="clear" w:color="auto" w:fill="auto"/>
            <w:vAlign w:val="center"/>
          </w:tcPr>
          <w:p>
            <w:pPr>
              <w:pStyle w:val="72"/>
            </w:pPr>
            <w:r>
              <w:rPr>
                <w:rFonts w:hint="eastAsia"/>
              </w:rPr>
              <w:t>永利大厦地下室</w:t>
            </w:r>
          </w:p>
        </w:tc>
        <w:tc>
          <w:tcPr>
            <w:tcW w:w="2377" w:type="dxa"/>
            <w:shd w:val="clear" w:color="auto" w:fill="auto"/>
            <w:vAlign w:val="center"/>
          </w:tcPr>
          <w:p>
            <w:pPr>
              <w:pStyle w:val="72"/>
            </w:pPr>
            <w:r>
              <w:rPr>
                <w:rFonts w:hint="eastAsia"/>
              </w:rPr>
              <w:t>淮海路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113" w:type="dxa"/>
            <w:shd w:val="clear" w:color="auto" w:fill="auto"/>
            <w:vAlign w:val="center"/>
          </w:tcPr>
          <w:p>
            <w:pPr>
              <w:pStyle w:val="72"/>
            </w:pPr>
            <w:r>
              <w:rPr>
                <w:rFonts w:hint="eastAsia"/>
              </w:rPr>
              <w:t>70</w:t>
            </w:r>
          </w:p>
        </w:tc>
        <w:tc>
          <w:tcPr>
            <w:tcW w:w="1760" w:type="dxa"/>
            <w:shd w:val="clear" w:color="auto" w:fill="auto"/>
            <w:vAlign w:val="center"/>
          </w:tcPr>
          <w:p>
            <w:pPr>
              <w:pStyle w:val="72"/>
            </w:pPr>
            <w:r>
              <w:rPr>
                <w:rFonts w:hint="eastAsia"/>
              </w:rPr>
              <w:t>石台刘庄泵房</w:t>
            </w:r>
          </w:p>
        </w:tc>
        <w:tc>
          <w:tcPr>
            <w:tcW w:w="1052" w:type="dxa"/>
            <w:shd w:val="clear" w:color="auto" w:fill="auto"/>
            <w:vAlign w:val="center"/>
          </w:tcPr>
          <w:p>
            <w:pPr>
              <w:pStyle w:val="72"/>
            </w:pPr>
          </w:p>
        </w:tc>
        <w:tc>
          <w:tcPr>
            <w:tcW w:w="3928" w:type="dxa"/>
            <w:shd w:val="clear" w:color="auto" w:fill="auto"/>
            <w:vAlign w:val="center"/>
          </w:tcPr>
          <w:p>
            <w:pPr>
              <w:pStyle w:val="72"/>
            </w:pPr>
            <w:r>
              <w:rPr>
                <w:rFonts w:hint="eastAsia"/>
              </w:rPr>
              <w:t>石台镇刘庄村附近</w:t>
            </w:r>
          </w:p>
        </w:tc>
        <w:tc>
          <w:tcPr>
            <w:tcW w:w="2377" w:type="dxa"/>
            <w:shd w:val="clear" w:color="auto" w:fill="auto"/>
            <w:vAlign w:val="center"/>
          </w:tcPr>
          <w:p>
            <w:pPr>
              <w:pStyle w:val="72"/>
            </w:pPr>
            <w:r>
              <w:rPr>
                <w:rFonts w:hint="eastAsia"/>
              </w:rPr>
              <w:t>东部城区</w:t>
            </w:r>
          </w:p>
        </w:tc>
      </w:tr>
    </w:tbl>
    <w:p>
      <w:pPr>
        <w:ind w:firstLine="0" w:firstLineChars="0"/>
        <w:jc w:val="center"/>
        <w:rPr>
          <w:rFonts w:ascii="宋体" w:hAnsi="宋体"/>
          <w:b/>
          <w:szCs w:val="21"/>
        </w:rPr>
      </w:pPr>
      <w:r>
        <w:rPr>
          <w:rFonts w:hint="eastAsia" w:ascii="宋体" w:hAnsi="宋体"/>
          <w:b/>
          <w:szCs w:val="21"/>
        </w:rPr>
        <w:t>表2-11 调节水池一览表</w:t>
      </w:r>
    </w:p>
    <w:tbl>
      <w:tblPr>
        <w:tblStyle w:val="39"/>
        <w:tblW w:w="10230"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2484"/>
        <w:gridCol w:w="970"/>
        <w:gridCol w:w="4370"/>
        <w:gridCol w:w="2406"/>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2484" w:type="dxa"/>
            <w:shd w:val="clear" w:color="auto" w:fill="auto"/>
            <w:vAlign w:val="center"/>
          </w:tcPr>
          <w:p>
            <w:pPr>
              <w:pStyle w:val="72"/>
            </w:pPr>
            <w:r>
              <w:rPr>
                <w:rFonts w:hint="eastAsia"/>
              </w:rPr>
              <w:t>泵房、水源井名称</w:t>
            </w:r>
          </w:p>
        </w:tc>
        <w:tc>
          <w:tcPr>
            <w:tcW w:w="970" w:type="dxa"/>
            <w:shd w:val="clear" w:color="auto" w:fill="auto"/>
            <w:vAlign w:val="center"/>
          </w:tcPr>
          <w:p>
            <w:pPr>
              <w:pStyle w:val="72"/>
            </w:pPr>
          </w:p>
        </w:tc>
        <w:tc>
          <w:tcPr>
            <w:tcW w:w="4370" w:type="dxa"/>
            <w:shd w:val="clear" w:color="auto" w:fill="auto"/>
            <w:vAlign w:val="center"/>
          </w:tcPr>
          <w:p>
            <w:pPr>
              <w:pStyle w:val="72"/>
            </w:pPr>
            <w:r>
              <w:rPr>
                <w:rFonts w:hint="eastAsia"/>
              </w:rPr>
              <w:t>地     点</w:t>
            </w:r>
          </w:p>
        </w:tc>
        <w:tc>
          <w:tcPr>
            <w:tcW w:w="2406" w:type="dxa"/>
            <w:shd w:val="clear" w:color="auto" w:fill="auto"/>
            <w:vAlign w:val="center"/>
          </w:tcPr>
          <w:p>
            <w:pPr>
              <w:pStyle w:val="72"/>
            </w:pPr>
            <w:r>
              <w:rPr>
                <w:rFonts w:hint="eastAsia"/>
              </w:rPr>
              <w:t>供水区域</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2484" w:type="dxa"/>
            <w:vMerge w:val="restart"/>
            <w:shd w:val="clear" w:color="auto" w:fill="auto"/>
            <w:vAlign w:val="center"/>
          </w:tcPr>
          <w:p>
            <w:pPr>
              <w:pStyle w:val="72"/>
            </w:pPr>
            <w:r>
              <w:rPr>
                <w:rFonts w:hint="eastAsia"/>
              </w:rPr>
              <w:t>相南调节水池</w:t>
            </w:r>
          </w:p>
        </w:tc>
        <w:tc>
          <w:tcPr>
            <w:tcW w:w="970" w:type="dxa"/>
            <w:shd w:val="clear" w:color="auto" w:fill="auto"/>
            <w:vAlign w:val="center"/>
          </w:tcPr>
          <w:p>
            <w:pPr>
              <w:pStyle w:val="72"/>
            </w:pPr>
            <w:r>
              <w:rPr>
                <w:rFonts w:hint="eastAsia"/>
              </w:rPr>
              <w:t>北1</w:t>
            </w:r>
          </w:p>
        </w:tc>
        <w:tc>
          <w:tcPr>
            <w:tcW w:w="4370" w:type="dxa"/>
            <w:shd w:val="clear" w:color="auto" w:fill="auto"/>
            <w:vAlign w:val="center"/>
          </w:tcPr>
          <w:p>
            <w:pPr>
              <w:pStyle w:val="72"/>
            </w:pPr>
            <w:r>
              <w:rPr>
                <w:rFonts w:hint="eastAsia"/>
              </w:rPr>
              <w:t>相南调节水池地下泵房</w:t>
            </w:r>
          </w:p>
        </w:tc>
        <w:tc>
          <w:tcPr>
            <w:tcW w:w="2406"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2484" w:type="dxa"/>
            <w:vMerge w:val="continue"/>
            <w:vAlign w:val="center"/>
          </w:tcPr>
          <w:p>
            <w:pPr>
              <w:pStyle w:val="72"/>
            </w:pPr>
          </w:p>
        </w:tc>
        <w:tc>
          <w:tcPr>
            <w:tcW w:w="970" w:type="dxa"/>
            <w:shd w:val="clear" w:color="auto" w:fill="auto"/>
            <w:vAlign w:val="center"/>
          </w:tcPr>
          <w:p>
            <w:pPr>
              <w:pStyle w:val="72"/>
            </w:pPr>
            <w:r>
              <w:rPr>
                <w:rFonts w:hint="eastAsia"/>
              </w:rPr>
              <w:t>北2</w:t>
            </w:r>
          </w:p>
        </w:tc>
        <w:tc>
          <w:tcPr>
            <w:tcW w:w="4370" w:type="dxa"/>
            <w:shd w:val="clear" w:color="auto" w:fill="auto"/>
            <w:vAlign w:val="center"/>
          </w:tcPr>
          <w:p>
            <w:pPr>
              <w:pStyle w:val="72"/>
            </w:pPr>
            <w:r>
              <w:rPr>
                <w:rFonts w:hint="eastAsia"/>
              </w:rPr>
              <w:t>相南调节水池地下泵房</w:t>
            </w:r>
          </w:p>
        </w:tc>
        <w:tc>
          <w:tcPr>
            <w:tcW w:w="2406"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2484" w:type="dxa"/>
            <w:vMerge w:val="continue"/>
            <w:vAlign w:val="center"/>
          </w:tcPr>
          <w:p>
            <w:pPr>
              <w:pStyle w:val="72"/>
            </w:pPr>
          </w:p>
        </w:tc>
        <w:tc>
          <w:tcPr>
            <w:tcW w:w="970" w:type="dxa"/>
            <w:shd w:val="clear" w:color="auto" w:fill="auto"/>
            <w:vAlign w:val="center"/>
          </w:tcPr>
          <w:p>
            <w:pPr>
              <w:pStyle w:val="72"/>
            </w:pPr>
            <w:r>
              <w:rPr>
                <w:rFonts w:hint="eastAsia"/>
              </w:rPr>
              <w:t>北3</w:t>
            </w:r>
          </w:p>
        </w:tc>
        <w:tc>
          <w:tcPr>
            <w:tcW w:w="4370" w:type="dxa"/>
            <w:shd w:val="clear" w:color="auto" w:fill="auto"/>
            <w:vAlign w:val="center"/>
          </w:tcPr>
          <w:p>
            <w:pPr>
              <w:pStyle w:val="72"/>
            </w:pPr>
            <w:r>
              <w:rPr>
                <w:rFonts w:hint="eastAsia"/>
              </w:rPr>
              <w:t>相南调节水池地下泵房</w:t>
            </w:r>
          </w:p>
        </w:tc>
        <w:tc>
          <w:tcPr>
            <w:tcW w:w="2406"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2484" w:type="dxa"/>
            <w:vMerge w:val="continue"/>
            <w:vAlign w:val="center"/>
          </w:tcPr>
          <w:p>
            <w:pPr>
              <w:pStyle w:val="72"/>
            </w:pPr>
          </w:p>
        </w:tc>
        <w:tc>
          <w:tcPr>
            <w:tcW w:w="970" w:type="dxa"/>
            <w:shd w:val="clear" w:color="auto" w:fill="auto"/>
            <w:vAlign w:val="center"/>
          </w:tcPr>
          <w:p>
            <w:pPr>
              <w:pStyle w:val="72"/>
            </w:pPr>
            <w:r>
              <w:rPr>
                <w:rFonts w:hint="eastAsia"/>
              </w:rPr>
              <w:t>北4</w:t>
            </w:r>
          </w:p>
        </w:tc>
        <w:tc>
          <w:tcPr>
            <w:tcW w:w="4370" w:type="dxa"/>
            <w:shd w:val="clear" w:color="auto" w:fill="auto"/>
            <w:vAlign w:val="center"/>
          </w:tcPr>
          <w:p>
            <w:pPr>
              <w:pStyle w:val="72"/>
            </w:pPr>
            <w:r>
              <w:rPr>
                <w:rFonts w:hint="eastAsia"/>
              </w:rPr>
              <w:t>相南调节水池地下泵房</w:t>
            </w:r>
          </w:p>
        </w:tc>
        <w:tc>
          <w:tcPr>
            <w:tcW w:w="2406" w:type="dxa"/>
            <w:shd w:val="clear" w:color="auto" w:fill="auto"/>
            <w:vAlign w:val="center"/>
          </w:tcPr>
          <w:p>
            <w:pPr>
              <w:pStyle w:val="72"/>
            </w:pPr>
            <w:r>
              <w:rPr>
                <w:rFonts w:hint="eastAsia"/>
              </w:rPr>
              <w:t>古城路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2484" w:type="dxa"/>
            <w:vMerge w:val="restart"/>
            <w:shd w:val="clear" w:color="auto" w:fill="auto"/>
            <w:vAlign w:val="center"/>
          </w:tcPr>
          <w:p>
            <w:pPr>
              <w:pStyle w:val="72"/>
            </w:pPr>
            <w:r>
              <w:rPr>
                <w:rFonts w:hint="eastAsia"/>
              </w:rPr>
              <w:t>凤凰山水厂</w:t>
            </w:r>
          </w:p>
        </w:tc>
        <w:tc>
          <w:tcPr>
            <w:tcW w:w="970" w:type="dxa"/>
            <w:shd w:val="clear" w:color="auto" w:fill="auto"/>
            <w:vAlign w:val="center"/>
          </w:tcPr>
          <w:p>
            <w:pPr>
              <w:pStyle w:val="72"/>
            </w:pPr>
            <w:r>
              <w:rPr>
                <w:rFonts w:hint="eastAsia"/>
              </w:rPr>
              <w:t>西1</w:t>
            </w:r>
          </w:p>
        </w:tc>
        <w:tc>
          <w:tcPr>
            <w:tcW w:w="4370" w:type="dxa"/>
            <w:shd w:val="clear" w:color="auto" w:fill="auto"/>
            <w:vAlign w:val="center"/>
          </w:tcPr>
          <w:p>
            <w:pPr>
              <w:pStyle w:val="72"/>
            </w:pPr>
            <w:r>
              <w:rPr>
                <w:rFonts w:hint="eastAsia"/>
              </w:rPr>
              <w:t>凤凰山水厂二级泵站</w:t>
            </w:r>
          </w:p>
        </w:tc>
        <w:tc>
          <w:tcPr>
            <w:tcW w:w="2406" w:type="dxa"/>
            <w:shd w:val="clear" w:color="auto" w:fill="auto"/>
            <w:vAlign w:val="center"/>
          </w:tcPr>
          <w:p>
            <w:pPr>
              <w:pStyle w:val="72"/>
            </w:pPr>
            <w:r>
              <w:rPr>
                <w:rFonts w:hint="eastAsia"/>
              </w:rPr>
              <w:t>西部、南部</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2484" w:type="dxa"/>
            <w:vMerge w:val="continue"/>
            <w:vAlign w:val="center"/>
          </w:tcPr>
          <w:p>
            <w:pPr>
              <w:pStyle w:val="72"/>
            </w:pPr>
          </w:p>
        </w:tc>
        <w:tc>
          <w:tcPr>
            <w:tcW w:w="970" w:type="dxa"/>
            <w:shd w:val="clear" w:color="auto" w:fill="auto"/>
            <w:vAlign w:val="center"/>
          </w:tcPr>
          <w:p>
            <w:pPr>
              <w:pStyle w:val="72"/>
            </w:pPr>
            <w:r>
              <w:rPr>
                <w:rFonts w:hint="eastAsia"/>
              </w:rPr>
              <w:t>西2</w:t>
            </w:r>
          </w:p>
        </w:tc>
        <w:tc>
          <w:tcPr>
            <w:tcW w:w="4370" w:type="dxa"/>
            <w:shd w:val="clear" w:color="auto" w:fill="auto"/>
            <w:vAlign w:val="center"/>
          </w:tcPr>
          <w:p>
            <w:pPr>
              <w:pStyle w:val="72"/>
            </w:pPr>
            <w:r>
              <w:rPr>
                <w:rFonts w:hint="eastAsia"/>
              </w:rPr>
              <w:t>凤凰山水厂二级泵站</w:t>
            </w:r>
          </w:p>
        </w:tc>
        <w:tc>
          <w:tcPr>
            <w:tcW w:w="2406" w:type="dxa"/>
            <w:shd w:val="clear" w:color="auto" w:fill="auto"/>
            <w:vAlign w:val="center"/>
          </w:tcPr>
          <w:p>
            <w:pPr>
              <w:pStyle w:val="72"/>
            </w:pPr>
            <w:r>
              <w:rPr>
                <w:rFonts w:hint="eastAsia"/>
              </w:rPr>
              <w:t>西部、南部</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2484" w:type="dxa"/>
            <w:vMerge w:val="continue"/>
            <w:vAlign w:val="center"/>
          </w:tcPr>
          <w:p>
            <w:pPr>
              <w:pStyle w:val="72"/>
            </w:pPr>
          </w:p>
        </w:tc>
        <w:tc>
          <w:tcPr>
            <w:tcW w:w="970" w:type="dxa"/>
            <w:shd w:val="clear" w:color="auto" w:fill="auto"/>
            <w:vAlign w:val="center"/>
          </w:tcPr>
          <w:p>
            <w:pPr>
              <w:pStyle w:val="72"/>
            </w:pPr>
            <w:r>
              <w:rPr>
                <w:rFonts w:hint="eastAsia"/>
              </w:rPr>
              <w:t>西3</w:t>
            </w:r>
          </w:p>
        </w:tc>
        <w:tc>
          <w:tcPr>
            <w:tcW w:w="4370" w:type="dxa"/>
            <w:shd w:val="clear" w:color="auto" w:fill="auto"/>
            <w:vAlign w:val="center"/>
          </w:tcPr>
          <w:p>
            <w:pPr>
              <w:pStyle w:val="72"/>
            </w:pPr>
            <w:r>
              <w:rPr>
                <w:rFonts w:hint="eastAsia"/>
              </w:rPr>
              <w:t>凤凰山水厂二级泵站</w:t>
            </w:r>
          </w:p>
        </w:tc>
        <w:tc>
          <w:tcPr>
            <w:tcW w:w="2406" w:type="dxa"/>
            <w:shd w:val="clear" w:color="auto" w:fill="auto"/>
            <w:vAlign w:val="center"/>
          </w:tcPr>
          <w:p>
            <w:pPr>
              <w:pStyle w:val="72"/>
            </w:pPr>
            <w:r>
              <w:rPr>
                <w:rFonts w:hint="eastAsia"/>
              </w:rPr>
              <w:t>西部、南部</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2484" w:type="dxa"/>
            <w:vMerge w:val="continue"/>
            <w:vAlign w:val="center"/>
          </w:tcPr>
          <w:p>
            <w:pPr>
              <w:pStyle w:val="72"/>
            </w:pPr>
          </w:p>
        </w:tc>
        <w:tc>
          <w:tcPr>
            <w:tcW w:w="970" w:type="dxa"/>
            <w:shd w:val="clear" w:color="auto" w:fill="auto"/>
            <w:vAlign w:val="center"/>
          </w:tcPr>
          <w:p>
            <w:pPr>
              <w:pStyle w:val="72"/>
            </w:pPr>
            <w:r>
              <w:rPr>
                <w:rFonts w:hint="eastAsia"/>
              </w:rPr>
              <w:t>西4</w:t>
            </w:r>
          </w:p>
        </w:tc>
        <w:tc>
          <w:tcPr>
            <w:tcW w:w="4370" w:type="dxa"/>
            <w:shd w:val="clear" w:color="auto" w:fill="auto"/>
            <w:vAlign w:val="center"/>
          </w:tcPr>
          <w:p>
            <w:pPr>
              <w:pStyle w:val="72"/>
            </w:pPr>
            <w:r>
              <w:rPr>
                <w:rFonts w:hint="eastAsia"/>
              </w:rPr>
              <w:t>凤凰山水厂二级泵站</w:t>
            </w:r>
          </w:p>
        </w:tc>
        <w:tc>
          <w:tcPr>
            <w:tcW w:w="2406" w:type="dxa"/>
            <w:shd w:val="clear" w:color="auto" w:fill="auto"/>
            <w:vAlign w:val="center"/>
          </w:tcPr>
          <w:p>
            <w:pPr>
              <w:pStyle w:val="72"/>
            </w:pPr>
            <w:r>
              <w:rPr>
                <w:rFonts w:hint="eastAsia"/>
              </w:rPr>
              <w:t>西部、南部</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2484" w:type="dxa"/>
            <w:vMerge w:val="continue"/>
            <w:vAlign w:val="center"/>
          </w:tcPr>
          <w:p>
            <w:pPr>
              <w:pStyle w:val="72"/>
            </w:pPr>
          </w:p>
        </w:tc>
        <w:tc>
          <w:tcPr>
            <w:tcW w:w="970" w:type="dxa"/>
            <w:shd w:val="clear" w:color="auto" w:fill="auto"/>
            <w:vAlign w:val="center"/>
          </w:tcPr>
          <w:p>
            <w:pPr>
              <w:pStyle w:val="72"/>
            </w:pPr>
            <w:r>
              <w:rPr>
                <w:rFonts w:hint="eastAsia"/>
              </w:rPr>
              <w:t>西5</w:t>
            </w:r>
          </w:p>
        </w:tc>
        <w:tc>
          <w:tcPr>
            <w:tcW w:w="4370" w:type="dxa"/>
            <w:shd w:val="clear" w:color="auto" w:fill="auto"/>
            <w:vAlign w:val="center"/>
          </w:tcPr>
          <w:p>
            <w:pPr>
              <w:pStyle w:val="72"/>
            </w:pPr>
            <w:r>
              <w:rPr>
                <w:rFonts w:hint="eastAsia"/>
              </w:rPr>
              <w:t>凤凰山水厂二级泵站</w:t>
            </w:r>
          </w:p>
        </w:tc>
        <w:tc>
          <w:tcPr>
            <w:tcW w:w="2406" w:type="dxa"/>
            <w:shd w:val="clear" w:color="auto" w:fill="auto"/>
            <w:vAlign w:val="center"/>
          </w:tcPr>
          <w:p>
            <w:pPr>
              <w:pStyle w:val="72"/>
            </w:pPr>
            <w:r>
              <w:rPr>
                <w:rFonts w:hint="eastAsia"/>
              </w:rPr>
              <w:t>淮海路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2484" w:type="dxa"/>
            <w:vMerge w:val="continue"/>
            <w:vAlign w:val="center"/>
          </w:tcPr>
          <w:p>
            <w:pPr>
              <w:pStyle w:val="72"/>
            </w:pPr>
          </w:p>
        </w:tc>
        <w:tc>
          <w:tcPr>
            <w:tcW w:w="970" w:type="dxa"/>
            <w:shd w:val="clear" w:color="auto" w:fill="auto"/>
            <w:vAlign w:val="center"/>
          </w:tcPr>
          <w:p>
            <w:pPr>
              <w:pStyle w:val="72"/>
            </w:pPr>
            <w:r>
              <w:rPr>
                <w:rFonts w:hint="eastAsia"/>
              </w:rPr>
              <w:t>西6</w:t>
            </w:r>
          </w:p>
        </w:tc>
        <w:tc>
          <w:tcPr>
            <w:tcW w:w="4370" w:type="dxa"/>
            <w:shd w:val="clear" w:color="auto" w:fill="auto"/>
            <w:vAlign w:val="center"/>
          </w:tcPr>
          <w:p>
            <w:pPr>
              <w:pStyle w:val="72"/>
            </w:pPr>
            <w:r>
              <w:rPr>
                <w:rFonts w:hint="eastAsia"/>
              </w:rPr>
              <w:t>凤凰山水厂二级泵站</w:t>
            </w:r>
          </w:p>
        </w:tc>
        <w:tc>
          <w:tcPr>
            <w:tcW w:w="2406" w:type="dxa"/>
            <w:shd w:val="clear" w:color="auto" w:fill="auto"/>
            <w:vAlign w:val="center"/>
          </w:tcPr>
          <w:p>
            <w:pPr>
              <w:pStyle w:val="72"/>
            </w:pPr>
            <w:r>
              <w:rPr>
                <w:rFonts w:hint="eastAsia"/>
              </w:rPr>
              <w:t>淮海路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2484" w:type="dxa"/>
            <w:vMerge w:val="continue"/>
            <w:vAlign w:val="center"/>
          </w:tcPr>
          <w:p>
            <w:pPr>
              <w:pStyle w:val="72"/>
            </w:pPr>
          </w:p>
        </w:tc>
        <w:tc>
          <w:tcPr>
            <w:tcW w:w="970" w:type="dxa"/>
            <w:shd w:val="clear" w:color="auto" w:fill="auto"/>
            <w:vAlign w:val="center"/>
          </w:tcPr>
          <w:p>
            <w:pPr>
              <w:pStyle w:val="72"/>
            </w:pPr>
            <w:r>
              <w:rPr>
                <w:rFonts w:hint="eastAsia"/>
              </w:rPr>
              <w:t>西7</w:t>
            </w:r>
          </w:p>
        </w:tc>
        <w:tc>
          <w:tcPr>
            <w:tcW w:w="4370" w:type="dxa"/>
            <w:shd w:val="clear" w:color="auto" w:fill="auto"/>
            <w:vAlign w:val="center"/>
          </w:tcPr>
          <w:p>
            <w:pPr>
              <w:pStyle w:val="72"/>
            </w:pPr>
            <w:r>
              <w:rPr>
                <w:rFonts w:hint="eastAsia"/>
              </w:rPr>
              <w:t>凤凰山水厂二级泵站</w:t>
            </w:r>
          </w:p>
        </w:tc>
        <w:tc>
          <w:tcPr>
            <w:tcW w:w="2406" w:type="dxa"/>
            <w:shd w:val="clear" w:color="auto" w:fill="auto"/>
            <w:vAlign w:val="center"/>
          </w:tcPr>
          <w:p>
            <w:pPr>
              <w:pStyle w:val="72"/>
            </w:pPr>
            <w:r>
              <w:rPr>
                <w:rFonts w:hint="eastAsia"/>
              </w:rPr>
              <w:t>淮海路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2484" w:type="dxa"/>
            <w:vMerge w:val="continue"/>
            <w:vAlign w:val="center"/>
          </w:tcPr>
          <w:p>
            <w:pPr>
              <w:pStyle w:val="72"/>
            </w:pPr>
          </w:p>
        </w:tc>
        <w:tc>
          <w:tcPr>
            <w:tcW w:w="970" w:type="dxa"/>
            <w:shd w:val="clear" w:color="auto" w:fill="auto"/>
            <w:vAlign w:val="center"/>
          </w:tcPr>
          <w:p>
            <w:pPr>
              <w:pStyle w:val="72"/>
            </w:pPr>
            <w:r>
              <w:rPr>
                <w:rFonts w:hint="eastAsia"/>
              </w:rPr>
              <w:t>西8</w:t>
            </w:r>
          </w:p>
        </w:tc>
        <w:tc>
          <w:tcPr>
            <w:tcW w:w="4370" w:type="dxa"/>
            <w:shd w:val="clear" w:color="auto" w:fill="auto"/>
            <w:vAlign w:val="center"/>
          </w:tcPr>
          <w:p>
            <w:pPr>
              <w:pStyle w:val="72"/>
            </w:pPr>
            <w:r>
              <w:rPr>
                <w:rFonts w:hint="eastAsia"/>
              </w:rPr>
              <w:t>凤凰山水厂二级泵站</w:t>
            </w:r>
          </w:p>
        </w:tc>
        <w:tc>
          <w:tcPr>
            <w:tcW w:w="2406" w:type="dxa"/>
            <w:shd w:val="clear" w:color="auto" w:fill="auto"/>
            <w:vAlign w:val="center"/>
          </w:tcPr>
          <w:p>
            <w:pPr>
              <w:pStyle w:val="72"/>
            </w:pPr>
            <w:r>
              <w:rPr>
                <w:rFonts w:hint="eastAsia"/>
              </w:rPr>
              <w:t>五号工地</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2484" w:type="dxa"/>
            <w:vMerge w:val="continue"/>
            <w:vAlign w:val="center"/>
          </w:tcPr>
          <w:p>
            <w:pPr>
              <w:pStyle w:val="72"/>
            </w:pPr>
          </w:p>
        </w:tc>
        <w:tc>
          <w:tcPr>
            <w:tcW w:w="970" w:type="dxa"/>
            <w:shd w:val="clear" w:color="auto" w:fill="auto"/>
            <w:vAlign w:val="center"/>
          </w:tcPr>
          <w:p>
            <w:pPr>
              <w:pStyle w:val="72"/>
            </w:pPr>
            <w:r>
              <w:rPr>
                <w:rFonts w:hint="eastAsia"/>
              </w:rPr>
              <w:t>西9</w:t>
            </w:r>
          </w:p>
        </w:tc>
        <w:tc>
          <w:tcPr>
            <w:tcW w:w="4370" w:type="dxa"/>
            <w:shd w:val="clear" w:color="auto" w:fill="auto"/>
            <w:vAlign w:val="center"/>
          </w:tcPr>
          <w:p>
            <w:pPr>
              <w:pStyle w:val="72"/>
            </w:pPr>
            <w:r>
              <w:rPr>
                <w:rFonts w:hint="eastAsia"/>
              </w:rPr>
              <w:t>凤凰山水厂二级泵站</w:t>
            </w:r>
          </w:p>
        </w:tc>
        <w:tc>
          <w:tcPr>
            <w:tcW w:w="2406" w:type="dxa"/>
            <w:shd w:val="clear" w:color="auto" w:fill="auto"/>
            <w:vAlign w:val="center"/>
          </w:tcPr>
          <w:p>
            <w:pPr>
              <w:pStyle w:val="72"/>
            </w:pPr>
            <w:r>
              <w:rPr>
                <w:rFonts w:hint="eastAsia"/>
              </w:rPr>
              <w:t>五号工地</w:t>
            </w:r>
          </w:p>
        </w:tc>
      </w:tr>
    </w:tbl>
    <w:p>
      <w:pPr>
        <w:pStyle w:val="16"/>
        <w:spacing w:line="360" w:lineRule="auto"/>
        <w:ind w:firstLine="560"/>
        <w:rPr>
          <w:rFonts w:cs="Times New Roman"/>
        </w:rPr>
      </w:pPr>
      <w:r>
        <w:rPr>
          <w:rFonts w:cs="Times New Roman"/>
        </w:rPr>
        <w:drawing>
          <wp:inline distT="0" distB="0" distL="0" distR="0">
            <wp:extent cx="2616200" cy="1974850"/>
            <wp:effectExtent l="0" t="0" r="0" b="0"/>
            <wp:docPr id="5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63.jpeg"/>
                    <pic:cNvPicPr>
                      <a:picLocks noChangeAspect="1"/>
                    </pic:cNvPicPr>
                  </pic:nvPicPr>
                  <pic:blipFill>
                    <a:blip r:embed="rId31" cstate="print"/>
                    <a:stretch>
                      <a:fillRect/>
                    </a:stretch>
                  </pic:blipFill>
                  <pic:spPr>
                    <a:xfrm>
                      <a:off x="0" y="0"/>
                      <a:ext cx="2616708" cy="1975103"/>
                    </a:xfrm>
                    <a:prstGeom prst="rect">
                      <a:avLst/>
                    </a:prstGeom>
                  </pic:spPr>
                </pic:pic>
              </a:graphicData>
            </a:graphic>
          </wp:inline>
        </w:drawing>
      </w:r>
      <w:r>
        <w:rPr>
          <w:rFonts w:cs="Times New Roman"/>
        </w:rPr>
        <w:drawing>
          <wp:inline distT="0" distB="0" distL="0" distR="0">
            <wp:extent cx="2616200" cy="1974850"/>
            <wp:effectExtent l="0" t="0" r="0" b="0"/>
            <wp:docPr id="54"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64.jpeg"/>
                    <pic:cNvPicPr>
                      <a:picLocks noChangeAspect="1"/>
                    </pic:cNvPicPr>
                  </pic:nvPicPr>
                  <pic:blipFill>
                    <a:blip r:embed="rId32" cstate="print"/>
                    <a:stretch>
                      <a:fillRect/>
                    </a:stretch>
                  </pic:blipFill>
                  <pic:spPr>
                    <a:xfrm>
                      <a:off x="0" y="0"/>
                      <a:ext cx="2616707" cy="1975103"/>
                    </a:xfrm>
                    <a:prstGeom prst="rect">
                      <a:avLst/>
                    </a:prstGeom>
                  </pic:spPr>
                </pic:pic>
              </a:graphicData>
            </a:graphic>
          </wp:inline>
        </w:drawing>
      </w:r>
    </w:p>
    <w:p>
      <w:pPr>
        <w:pStyle w:val="16"/>
        <w:spacing w:line="360" w:lineRule="auto"/>
        <w:ind w:firstLine="2208" w:firstLineChars="800"/>
        <w:rPr>
          <w:rFonts w:cs="Times New Roman"/>
        </w:rPr>
      </w:pPr>
      <w:r>
        <w:rPr>
          <w:spacing w:val="-2"/>
        </w:rPr>
        <w:t>一中井群</w:t>
      </w:r>
      <w:r>
        <w:rPr>
          <w:rFonts w:hint="eastAsia"/>
          <w:spacing w:val="-2"/>
        </w:rPr>
        <w:t xml:space="preserve">                                              相南水厂</w:t>
      </w:r>
    </w:p>
    <w:p>
      <w:pPr>
        <w:pStyle w:val="16"/>
        <w:spacing w:line="360" w:lineRule="auto"/>
        <w:ind w:firstLine="560"/>
        <w:rPr>
          <w:rFonts w:cs="Times New Roman"/>
        </w:rPr>
      </w:pPr>
      <w:r>
        <w:rPr>
          <w:rFonts w:cs="Times New Roman"/>
        </w:rPr>
        <w:drawing>
          <wp:inline distT="0" distB="0" distL="0" distR="0">
            <wp:extent cx="2633345" cy="1974850"/>
            <wp:effectExtent l="0" t="0" r="0" b="0"/>
            <wp:docPr id="87"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65.jpeg"/>
                    <pic:cNvPicPr>
                      <a:picLocks noChangeAspect="1"/>
                    </pic:cNvPicPr>
                  </pic:nvPicPr>
                  <pic:blipFill>
                    <a:blip r:embed="rId33" cstate="print"/>
                    <a:stretch>
                      <a:fillRect/>
                    </a:stretch>
                  </pic:blipFill>
                  <pic:spPr>
                    <a:xfrm>
                      <a:off x="0" y="0"/>
                      <a:ext cx="2633472" cy="1975103"/>
                    </a:xfrm>
                    <a:prstGeom prst="rect">
                      <a:avLst/>
                    </a:prstGeom>
                  </pic:spPr>
                </pic:pic>
              </a:graphicData>
            </a:graphic>
          </wp:inline>
        </w:drawing>
      </w:r>
      <w:r>
        <w:rPr>
          <w:rFonts w:cs="Times New Roman"/>
        </w:rPr>
        <w:drawing>
          <wp:inline distT="0" distB="0" distL="0" distR="0">
            <wp:extent cx="2633345" cy="1974850"/>
            <wp:effectExtent l="0" t="0" r="0" b="0"/>
            <wp:docPr id="89"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66.jpeg"/>
                    <pic:cNvPicPr>
                      <a:picLocks noChangeAspect="1"/>
                    </pic:cNvPicPr>
                  </pic:nvPicPr>
                  <pic:blipFill>
                    <a:blip r:embed="rId34" cstate="print"/>
                    <a:stretch>
                      <a:fillRect/>
                    </a:stretch>
                  </pic:blipFill>
                  <pic:spPr>
                    <a:xfrm>
                      <a:off x="0" y="0"/>
                      <a:ext cx="2633471" cy="1975103"/>
                    </a:xfrm>
                    <a:prstGeom prst="rect">
                      <a:avLst/>
                    </a:prstGeom>
                  </pic:spPr>
                </pic:pic>
              </a:graphicData>
            </a:graphic>
          </wp:inline>
        </w:drawing>
      </w:r>
    </w:p>
    <w:p>
      <w:pPr>
        <w:pStyle w:val="16"/>
        <w:spacing w:line="360" w:lineRule="auto"/>
        <w:ind w:firstLine="2240" w:firstLineChars="800"/>
        <w:rPr>
          <w:rFonts w:cs="Times New Roman"/>
        </w:rPr>
      </w:pPr>
      <w:r>
        <w:rPr>
          <w:rFonts w:hint="eastAsia" w:cs="Times New Roman"/>
        </w:rPr>
        <w:t>宁山泵房                                          财校泵房</w:t>
      </w:r>
    </w:p>
    <w:bookmarkEnd w:id="91"/>
    <w:bookmarkEnd w:id="92"/>
    <w:bookmarkEnd w:id="93"/>
    <w:bookmarkEnd w:id="94"/>
    <w:p>
      <w:pPr>
        <w:pStyle w:val="4"/>
      </w:pPr>
      <w:bookmarkStart w:id="95" w:name="_Toc8032516"/>
      <w:r>
        <w:rPr>
          <w:rFonts w:hint="eastAsia"/>
        </w:rPr>
        <w:t>2.3.3 供水水质情况</w:t>
      </w:r>
      <w:bookmarkEnd w:id="95"/>
    </w:p>
    <w:p>
      <w:pPr>
        <w:pStyle w:val="16"/>
        <w:kinsoku w:val="0"/>
        <w:overflowPunct w:val="0"/>
        <w:spacing w:line="360" w:lineRule="auto"/>
        <w:ind w:right="106" w:firstLine="592"/>
        <w:jc w:val="both"/>
        <w:rPr>
          <w:rFonts w:cs="Times New Roman"/>
          <w:spacing w:val="16"/>
        </w:rPr>
      </w:pPr>
      <w:r>
        <w:rPr>
          <w:rFonts w:hint="eastAsia" w:cs="Times New Roman"/>
          <w:spacing w:val="16"/>
        </w:rPr>
        <w:t>淮北市城区地下水总体质量良好，主要指标均符合国家《地下水质量标准》中Ⅱ~Ⅲ类水质要求，现有水源井经过投加次氯酸钠消毒后，通过送水泵为用户供水，供水流程及处理工艺为：</w:t>
      </w:r>
    </w:p>
    <w:p>
      <w:pPr>
        <w:pStyle w:val="16"/>
        <w:spacing w:line="360" w:lineRule="auto"/>
        <w:ind w:firstLine="560"/>
        <w:jc w:val="center"/>
        <w:rPr>
          <w:rFonts w:cs="Times New Roman"/>
        </w:rPr>
      </w:pPr>
      <w:r>
        <w:drawing>
          <wp:inline distT="0" distB="0" distL="0" distR="0">
            <wp:extent cx="4284980" cy="1144905"/>
            <wp:effectExtent l="19050" t="0" r="853"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35"/>
                    <a:srcRect/>
                    <a:stretch>
                      <a:fillRect/>
                    </a:stretch>
                  </pic:blipFill>
                  <pic:spPr>
                    <a:xfrm>
                      <a:off x="0" y="0"/>
                      <a:ext cx="4285397" cy="1145379"/>
                    </a:xfrm>
                    <a:prstGeom prst="rect">
                      <a:avLst/>
                    </a:prstGeom>
                    <a:noFill/>
                    <a:ln w="9525">
                      <a:noFill/>
                      <a:miter lim="800000"/>
                      <a:headEnd/>
                      <a:tailEnd/>
                    </a:ln>
                  </pic:spPr>
                </pic:pic>
              </a:graphicData>
            </a:graphic>
          </wp:inline>
        </w:drawing>
      </w:r>
    </w:p>
    <w:p>
      <w:pPr>
        <w:pStyle w:val="16"/>
        <w:spacing w:line="360" w:lineRule="auto"/>
        <w:ind w:firstLine="560"/>
        <w:rPr>
          <w:rFonts w:cs="Times New Roman"/>
        </w:rPr>
      </w:pPr>
      <w:r>
        <w:rPr>
          <w:rFonts w:hint="eastAsia" w:cs="Times New Roman"/>
        </w:rPr>
        <w:t>部分泵房井群的水质情况详见下表：</w:t>
      </w:r>
    </w:p>
    <w:p>
      <w:pPr>
        <w:pStyle w:val="16"/>
        <w:spacing w:line="360" w:lineRule="auto"/>
        <w:ind w:firstLine="482"/>
        <w:jc w:val="center"/>
        <w:rPr>
          <w:rFonts w:cs="Times New Roman"/>
          <w:b/>
          <w:sz w:val="24"/>
        </w:rPr>
      </w:pPr>
      <w:r>
        <w:rPr>
          <w:rFonts w:hint="eastAsia" w:cs="Times New Roman"/>
          <w:b/>
          <w:sz w:val="24"/>
        </w:rPr>
        <w:t>表2-12  部分泵房井群的水质情况</w:t>
      </w:r>
      <w:r>
        <w:rPr>
          <w:rFonts w:cs="Times New Roman"/>
          <w:b/>
          <w:sz w:val="24"/>
        </w:rPr>
        <w:t>表</w:t>
      </w:r>
    </w:p>
    <w:tbl>
      <w:tblPr>
        <w:tblStyle w:val="67"/>
        <w:tblW w:w="9368" w:type="dxa"/>
        <w:tblInd w:w="135" w:type="dxa"/>
        <w:tblBorders>
          <w:top w:val="single" w:color="auto" w:sz="18" w:space="0"/>
          <w:left w:val="single" w:color="auto" w:sz="18" w:space="0"/>
          <w:bottom w:val="none" w:color="auto" w:sz="0" w:space="0"/>
          <w:right w:val="single" w:color="auto" w:sz="18" w:space="0"/>
          <w:insideH w:val="single" w:color="auto" w:sz="6" w:space="0"/>
          <w:insideV w:val="single" w:color="auto" w:sz="6" w:space="0"/>
        </w:tblBorders>
        <w:tblLayout w:type="fixed"/>
        <w:tblCellMar>
          <w:top w:w="0" w:type="dxa"/>
          <w:left w:w="0" w:type="dxa"/>
          <w:bottom w:w="0" w:type="dxa"/>
          <w:right w:w="0" w:type="dxa"/>
        </w:tblCellMar>
      </w:tblPr>
      <w:tblGrid>
        <w:gridCol w:w="863"/>
        <w:gridCol w:w="1842"/>
        <w:gridCol w:w="1134"/>
        <w:gridCol w:w="1276"/>
        <w:gridCol w:w="1134"/>
        <w:gridCol w:w="994"/>
        <w:gridCol w:w="991"/>
        <w:gridCol w:w="1134"/>
      </w:tblGrid>
      <w:tr>
        <w:tblPrEx>
          <w:tblBorders>
            <w:top w:val="single" w:color="auto" w:sz="18" w:space="0"/>
            <w:left w:val="single" w:color="auto" w:sz="18" w:space="0"/>
            <w:bottom w:val="none" w:color="auto" w:sz="0"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1109" w:hRule="exact"/>
        </w:trPr>
        <w:tc>
          <w:tcPr>
            <w:tcW w:w="2705" w:type="dxa"/>
            <w:gridSpan w:val="2"/>
            <w:vAlign w:val="center"/>
          </w:tcPr>
          <w:p>
            <w:pPr>
              <w:pStyle w:val="72"/>
              <w:rPr>
                <w:rFonts w:asciiTheme="minorHAnsi" w:hAnsiTheme="minorHAnsi" w:eastAsiaTheme="minorEastAsia"/>
              </w:rPr>
            </w:pPr>
          </w:p>
          <w:p>
            <w:pPr>
              <w:pStyle w:val="72"/>
              <w:rPr>
                <w:rFonts w:asciiTheme="minorHAnsi" w:hAnsiTheme="minorHAnsi" w:eastAsiaTheme="minorEastAsia"/>
              </w:rPr>
            </w:pPr>
            <w:r>
              <w:rPr>
                <w:rFonts w:asciiTheme="minorHAnsi" w:hAnsiTheme="minorHAnsi" w:eastAsiaTheme="minorEastAsia"/>
              </w:rPr>
              <w:t>项</w:t>
            </w:r>
            <w:r>
              <w:rPr>
                <w:rFonts w:asciiTheme="minorHAnsi" w:hAnsiTheme="minorHAnsi" w:eastAsiaTheme="minorEastAsia"/>
              </w:rPr>
              <w:tab/>
            </w:r>
            <w:r>
              <w:rPr>
                <w:rFonts w:asciiTheme="minorHAnsi" w:hAnsiTheme="minorHAnsi" w:eastAsiaTheme="minorEastAsia"/>
              </w:rPr>
              <w:t>目</w:t>
            </w:r>
          </w:p>
        </w:tc>
        <w:tc>
          <w:tcPr>
            <w:tcW w:w="1134" w:type="dxa"/>
            <w:vAlign w:val="center"/>
          </w:tcPr>
          <w:p>
            <w:pPr>
              <w:pStyle w:val="72"/>
              <w:rPr>
                <w:rFonts w:asciiTheme="minorHAnsi" w:hAnsiTheme="minorHAnsi" w:eastAsiaTheme="minorEastAsia"/>
                <w:szCs w:val="31"/>
              </w:rPr>
            </w:pPr>
          </w:p>
          <w:p>
            <w:pPr>
              <w:pStyle w:val="72"/>
              <w:rPr>
                <w:rFonts w:asciiTheme="minorHAnsi" w:hAnsiTheme="minorHAnsi" w:eastAsiaTheme="minorEastAsia"/>
              </w:rPr>
            </w:pPr>
            <w:r>
              <w:rPr>
                <w:rFonts w:asciiTheme="minorHAnsi" w:hAnsiTheme="minorHAnsi" w:eastAsiaTheme="minorEastAsia"/>
              </w:rPr>
              <w:t>GB5749-06</w:t>
            </w:r>
          </w:p>
        </w:tc>
        <w:tc>
          <w:tcPr>
            <w:tcW w:w="1276" w:type="dxa"/>
            <w:vAlign w:val="center"/>
          </w:tcPr>
          <w:p>
            <w:pPr>
              <w:pStyle w:val="72"/>
              <w:rPr>
                <w:rFonts w:asciiTheme="minorHAnsi" w:hAnsiTheme="minorHAnsi" w:eastAsiaTheme="minorEastAsia"/>
              </w:rPr>
            </w:pPr>
            <w:r>
              <w:rPr>
                <w:rFonts w:asciiTheme="minorHAnsi" w:hAnsiTheme="minorHAnsi" w:eastAsiaTheme="minorEastAsia"/>
              </w:rPr>
              <w:t>计量</w:t>
            </w:r>
          </w:p>
          <w:p>
            <w:pPr>
              <w:pStyle w:val="72"/>
              <w:rPr>
                <w:rFonts w:asciiTheme="minorHAnsi" w:hAnsiTheme="minorHAnsi" w:eastAsiaTheme="minorEastAsia"/>
                <w:szCs w:val="18"/>
              </w:rPr>
            </w:pPr>
          </w:p>
          <w:p>
            <w:pPr>
              <w:pStyle w:val="72"/>
              <w:rPr>
                <w:rFonts w:asciiTheme="minorHAnsi" w:hAnsiTheme="minorHAnsi" w:eastAsiaTheme="minorEastAsia"/>
              </w:rPr>
            </w:pPr>
            <w:r>
              <w:rPr>
                <w:rFonts w:asciiTheme="minorHAnsi" w:hAnsiTheme="minorHAnsi" w:eastAsiaTheme="minorEastAsia"/>
              </w:rPr>
              <w:t>单位</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任井</w:t>
            </w:r>
          </w:p>
          <w:p>
            <w:pPr>
              <w:pStyle w:val="72"/>
              <w:rPr>
                <w:rFonts w:asciiTheme="minorHAnsi" w:hAnsiTheme="minorHAnsi" w:eastAsiaTheme="minorEastAsia"/>
                <w:szCs w:val="18"/>
              </w:rPr>
            </w:pPr>
          </w:p>
          <w:p>
            <w:pPr>
              <w:pStyle w:val="72"/>
              <w:rPr>
                <w:rFonts w:asciiTheme="minorHAnsi" w:hAnsiTheme="minorHAnsi" w:eastAsiaTheme="minorEastAsia"/>
              </w:rPr>
            </w:pPr>
            <w:r>
              <w:rPr>
                <w:rFonts w:asciiTheme="minorHAnsi" w:hAnsiTheme="minorHAnsi" w:eastAsiaTheme="minorEastAsia"/>
              </w:rPr>
              <w:t>井群</w:t>
            </w:r>
          </w:p>
        </w:tc>
        <w:tc>
          <w:tcPr>
            <w:tcW w:w="994" w:type="dxa"/>
            <w:vAlign w:val="center"/>
          </w:tcPr>
          <w:p>
            <w:pPr>
              <w:pStyle w:val="72"/>
              <w:rPr>
                <w:rFonts w:asciiTheme="minorHAnsi" w:hAnsiTheme="minorHAnsi" w:eastAsiaTheme="minorEastAsia"/>
              </w:rPr>
            </w:pPr>
            <w:r>
              <w:rPr>
                <w:rFonts w:asciiTheme="minorHAnsi" w:hAnsiTheme="minorHAnsi" w:eastAsiaTheme="minorEastAsia"/>
              </w:rPr>
              <w:t>一中</w:t>
            </w:r>
          </w:p>
          <w:p>
            <w:pPr>
              <w:pStyle w:val="72"/>
              <w:rPr>
                <w:rFonts w:asciiTheme="minorHAnsi" w:hAnsiTheme="minorHAnsi" w:eastAsiaTheme="minorEastAsia"/>
                <w:szCs w:val="18"/>
              </w:rPr>
            </w:pPr>
          </w:p>
          <w:p>
            <w:pPr>
              <w:pStyle w:val="72"/>
              <w:rPr>
                <w:rFonts w:asciiTheme="minorHAnsi" w:hAnsiTheme="minorHAnsi" w:eastAsiaTheme="minorEastAsia"/>
              </w:rPr>
            </w:pPr>
            <w:r>
              <w:rPr>
                <w:rFonts w:asciiTheme="minorHAnsi" w:hAnsiTheme="minorHAnsi" w:eastAsiaTheme="minorEastAsia"/>
              </w:rPr>
              <w:t>井群</w:t>
            </w:r>
          </w:p>
        </w:tc>
        <w:tc>
          <w:tcPr>
            <w:tcW w:w="991" w:type="dxa"/>
            <w:vAlign w:val="center"/>
          </w:tcPr>
          <w:p>
            <w:pPr>
              <w:pStyle w:val="72"/>
              <w:rPr>
                <w:rFonts w:asciiTheme="minorHAnsi" w:hAnsiTheme="minorHAnsi" w:eastAsiaTheme="minorEastAsia"/>
              </w:rPr>
            </w:pPr>
            <w:r>
              <w:rPr>
                <w:rFonts w:asciiTheme="minorHAnsi" w:hAnsiTheme="minorHAnsi" w:eastAsiaTheme="minorEastAsia"/>
              </w:rPr>
              <w:t>高岳</w:t>
            </w:r>
          </w:p>
          <w:p>
            <w:pPr>
              <w:pStyle w:val="72"/>
              <w:rPr>
                <w:rFonts w:asciiTheme="minorHAnsi" w:hAnsiTheme="minorHAnsi" w:eastAsiaTheme="minorEastAsia"/>
                <w:szCs w:val="18"/>
              </w:rPr>
            </w:pPr>
          </w:p>
          <w:p>
            <w:pPr>
              <w:pStyle w:val="72"/>
              <w:rPr>
                <w:rFonts w:asciiTheme="minorHAnsi" w:hAnsiTheme="minorHAnsi" w:eastAsiaTheme="minorEastAsia"/>
              </w:rPr>
            </w:pPr>
            <w:r>
              <w:rPr>
                <w:rFonts w:asciiTheme="minorHAnsi" w:hAnsiTheme="minorHAnsi" w:eastAsiaTheme="minorEastAsia"/>
              </w:rPr>
              <w:t>井群</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勘探队</w:t>
            </w:r>
          </w:p>
          <w:p>
            <w:pPr>
              <w:pStyle w:val="72"/>
              <w:rPr>
                <w:rFonts w:asciiTheme="minorHAnsi" w:hAnsiTheme="minorHAnsi" w:eastAsiaTheme="minorEastAsia"/>
                <w:szCs w:val="18"/>
              </w:rPr>
            </w:pPr>
          </w:p>
          <w:p>
            <w:pPr>
              <w:pStyle w:val="72"/>
              <w:rPr>
                <w:rFonts w:asciiTheme="minorHAnsi" w:hAnsiTheme="minorHAnsi" w:eastAsiaTheme="minorEastAsia"/>
              </w:rPr>
            </w:pPr>
            <w:r>
              <w:rPr>
                <w:rFonts w:asciiTheme="minorHAnsi" w:hAnsiTheme="minorHAnsi" w:eastAsiaTheme="minorEastAsia"/>
              </w:rPr>
              <w:t>井群</w:t>
            </w:r>
          </w:p>
        </w:tc>
      </w:tr>
      <w:tr>
        <w:tblPrEx>
          <w:tblBorders>
            <w:top w:val="single" w:color="auto" w:sz="18" w:space="0"/>
            <w:left w:val="single" w:color="auto" w:sz="18" w:space="0"/>
            <w:bottom w:val="none" w:color="auto" w:sz="0"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562" w:hRule="exact"/>
        </w:trPr>
        <w:tc>
          <w:tcPr>
            <w:tcW w:w="863" w:type="dxa"/>
            <w:vMerge w:val="restart"/>
            <w:vAlign w:val="center"/>
          </w:tcPr>
          <w:p>
            <w:pPr>
              <w:pStyle w:val="72"/>
              <w:rPr>
                <w:rFonts w:asciiTheme="minorHAnsi" w:hAnsiTheme="minorHAnsi" w:eastAsiaTheme="minorEastAsia"/>
              </w:rPr>
            </w:pPr>
            <w:r>
              <w:rPr>
                <w:rFonts w:asciiTheme="minorHAnsi" w:hAnsiTheme="minorHAnsi" w:eastAsiaTheme="minorEastAsia"/>
              </w:rPr>
              <w:t>感官 性状 和一 般化 学指标</w:t>
            </w:r>
          </w:p>
        </w:tc>
        <w:tc>
          <w:tcPr>
            <w:tcW w:w="1842" w:type="dxa"/>
            <w:vAlign w:val="center"/>
          </w:tcPr>
          <w:p>
            <w:pPr>
              <w:pStyle w:val="72"/>
              <w:rPr>
                <w:rFonts w:asciiTheme="minorHAnsi" w:hAnsiTheme="minorHAnsi" w:eastAsiaTheme="minorEastAsia"/>
              </w:rPr>
            </w:pPr>
            <w:r>
              <w:rPr>
                <w:rFonts w:asciiTheme="minorHAnsi" w:hAnsiTheme="minorHAnsi" w:eastAsiaTheme="minorEastAsia"/>
              </w:rPr>
              <w:t>色度</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&lt;15</w:t>
            </w:r>
          </w:p>
        </w:tc>
        <w:tc>
          <w:tcPr>
            <w:tcW w:w="1276" w:type="dxa"/>
            <w:vAlign w:val="center"/>
          </w:tcPr>
          <w:p>
            <w:pPr>
              <w:pStyle w:val="72"/>
              <w:rPr>
                <w:rFonts w:asciiTheme="minorHAnsi" w:hAnsiTheme="minorHAnsi" w:eastAsiaTheme="minorEastAsia"/>
              </w:rPr>
            </w:pPr>
          </w:p>
        </w:tc>
        <w:tc>
          <w:tcPr>
            <w:tcW w:w="1134" w:type="dxa"/>
            <w:vAlign w:val="center"/>
          </w:tcPr>
          <w:p>
            <w:pPr>
              <w:pStyle w:val="72"/>
              <w:rPr>
                <w:rFonts w:asciiTheme="minorHAnsi" w:hAnsiTheme="minorHAnsi" w:eastAsiaTheme="minorEastAsia"/>
              </w:rPr>
            </w:pPr>
            <w:r>
              <w:rPr>
                <w:rFonts w:asciiTheme="minorHAnsi" w:hAnsiTheme="minorHAnsi" w:eastAsiaTheme="minorEastAsia"/>
              </w:rPr>
              <w:t>&lt;5</w:t>
            </w:r>
          </w:p>
        </w:tc>
        <w:tc>
          <w:tcPr>
            <w:tcW w:w="994" w:type="dxa"/>
            <w:vAlign w:val="center"/>
          </w:tcPr>
          <w:p>
            <w:pPr>
              <w:pStyle w:val="72"/>
              <w:rPr>
                <w:rFonts w:asciiTheme="minorHAnsi" w:hAnsiTheme="minorHAnsi" w:eastAsiaTheme="minorEastAsia"/>
              </w:rPr>
            </w:pPr>
            <w:r>
              <w:rPr>
                <w:rFonts w:asciiTheme="minorHAnsi" w:hAnsiTheme="minorHAnsi" w:eastAsiaTheme="minorEastAsia"/>
              </w:rPr>
              <w:t>&lt;5</w:t>
            </w:r>
          </w:p>
        </w:tc>
        <w:tc>
          <w:tcPr>
            <w:tcW w:w="991" w:type="dxa"/>
            <w:vAlign w:val="center"/>
          </w:tcPr>
          <w:p>
            <w:pPr>
              <w:pStyle w:val="72"/>
              <w:rPr>
                <w:rFonts w:asciiTheme="minorHAnsi" w:hAnsiTheme="minorHAnsi" w:eastAsiaTheme="minorEastAsia"/>
              </w:rPr>
            </w:pPr>
            <w:r>
              <w:rPr>
                <w:rFonts w:asciiTheme="minorHAnsi" w:hAnsiTheme="minorHAnsi" w:eastAsiaTheme="minorEastAsia"/>
              </w:rPr>
              <w:t>&lt;5</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&lt;5</w:t>
            </w:r>
          </w:p>
        </w:tc>
      </w:tr>
      <w:tr>
        <w:tblPrEx>
          <w:tblBorders>
            <w:top w:val="single" w:color="auto" w:sz="18" w:space="0"/>
            <w:left w:val="single" w:color="auto" w:sz="18" w:space="0"/>
            <w:bottom w:val="none" w:color="auto" w:sz="0"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562" w:hRule="exact"/>
        </w:trPr>
        <w:tc>
          <w:tcPr>
            <w:tcW w:w="863" w:type="dxa"/>
            <w:vMerge w:val="continue"/>
            <w:vAlign w:val="center"/>
          </w:tcPr>
          <w:p>
            <w:pPr>
              <w:pStyle w:val="72"/>
              <w:rPr>
                <w:rFonts w:asciiTheme="minorHAnsi" w:hAnsiTheme="minorHAnsi" w:eastAsiaTheme="minorEastAsia"/>
              </w:rPr>
            </w:pPr>
          </w:p>
        </w:tc>
        <w:tc>
          <w:tcPr>
            <w:tcW w:w="1842" w:type="dxa"/>
            <w:vAlign w:val="center"/>
          </w:tcPr>
          <w:p>
            <w:pPr>
              <w:pStyle w:val="72"/>
              <w:rPr>
                <w:rFonts w:asciiTheme="minorHAnsi" w:hAnsiTheme="minorHAnsi" w:eastAsiaTheme="minorEastAsia"/>
              </w:rPr>
            </w:pPr>
            <w:r>
              <w:rPr>
                <w:rFonts w:asciiTheme="minorHAnsi" w:hAnsiTheme="minorHAnsi" w:eastAsiaTheme="minorEastAsia"/>
              </w:rPr>
              <w:t>浑浊度</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≤1</w:t>
            </w:r>
          </w:p>
        </w:tc>
        <w:tc>
          <w:tcPr>
            <w:tcW w:w="1276" w:type="dxa"/>
            <w:vAlign w:val="center"/>
          </w:tcPr>
          <w:p>
            <w:pPr>
              <w:pStyle w:val="72"/>
              <w:rPr>
                <w:rFonts w:asciiTheme="minorHAnsi" w:hAnsiTheme="minorHAnsi" w:eastAsiaTheme="minorEastAsia"/>
              </w:rPr>
            </w:pPr>
            <w:r>
              <w:rPr>
                <w:rFonts w:asciiTheme="minorHAnsi" w:hAnsiTheme="minorHAnsi" w:eastAsiaTheme="minorEastAsia"/>
              </w:rPr>
              <w:t>度</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&lt;0.5NTU</w:t>
            </w:r>
          </w:p>
        </w:tc>
        <w:tc>
          <w:tcPr>
            <w:tcW w:w="994" w:type="dxa"/>
            <w:vAlign w:val="center"/>
          </w:tcPr>
          <w:p>
            <w:pPr>
              <w:pStyle w:val="72"/>
              <w:rPr>
                <w:rFonts w:asciiTheme="minorHAnsi" w:hAnsiTheme="minorHAnsi" w:eastAsiaTheme="minorEastAsia"/>
              </w:rPr>
            </w:pPr>
            <w:r>
              <w:rPr>
                <w:rFonts w:asciiTheme="minorHAnsi" w:hAnsiTheme="minorHAnsi" w:eastAsiaTheme="minorEastAsia"/>
              </w:rPr>
              <w:t>&lt;0.5NTU</w:t>
            </w:r>
          </w:p>
        </w:tc>
        <w:tc>
          <w:tcPr>
            <w:tcW w:w="991" w:type="dxa"/>
            <w:vAlign w:val="center"/>
          </w:tcPr>
          <w:p>
            <w:pPr>
              <w:pStyle w:val="72"/>
              <w:rPr>
                <w:rFonts w:asciiTheme="minorHAnsi" w:hAnsiTheme="minorHAnsi" w:eastAsiaTheme="minorEastAsia"/>
              </w:rPr>
            </w:pPr>
            <w:r>
              <w:rPr>
                <w:rFonts w:asciiTheme="minorHAnsi" w:hAnsiTheme="minorHAnsi" w:eastAsiaTheme="minorEastAsia"/>
              </w:rPr>
              <w:t>&lt;0.5NTU</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&lt;0.5NTU</w:t>
            </w:r>
          </w:p>
        </w:tc>
      </w:tr>
      <w:tr>
        <w:tblPrEx>
          <w:tblBorders>
            <w:top w:val="single" w:color="auto" w:sz="18" w:space="0"/>
            <w:left w:val="single" w:color="auto" w:sz="18" w:space="0"/>
            <w:bottom w:val="none" w:color="auto" w:sz="0"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562" w:hRule="exact"/>
        </w:trPr>
        <w:tc>
          <w:tcPr>
            <w:tcW w:w="863" w:type="dxa"/>
            <w:vMerge w:val="continue"/>
            <w:vAlign w:val="center"/>
          </w:tcPr>
          <w:p>
            <w:pPr>
              <w:pStyle w:val="72"/>
              <w:rPr>
                <w:rFonts w:asciiTheme="minorHAnsi" w:hAnsiTheme="minorHAnsi" w:eastAsiaTheme="minorEastAsia"/>
              </w:rPr>
            </w:pPr>
          </w:p>
        </w:tc>
        <w:tc>
          <w:tcPr>
            <w:tcW w:w="1842" w:type="dxa"/>
            <w:vAlign w:val="center"/>
          </w:tcPr>
          <w:p>
            <w:pPr>
              <w:pStyle w:val="72"/>
              <w:rPr>
                <w:rFonts w:asciiTheme="minorHAnsi" w:hAnsiTheme="minorHAnsi" w:eastAsiaTheme="minorEastAsia"/>
              </w:rPr>
            </w:pPr>
            <w:r>
              <w:rPr>
                <w:rFonts w:asciiTheme="minorHAnsi" w:hAnsiTheme="minorHAnsi" w:eastAsiaTheme="minorEastAsia"/>
              </w:rPr>
              <w:t>臭和味</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无</w:t>
            </w:r>
          </w:p>
        </w:tc>
        <w:tc>
          <w:tcPr>
            <w:tcW w:w="1276" w:type="dxa"/>
            <w:vAlign w:val="center"/>
          </w:tcPr>
          <w:p>
            <w:pPr>
              <w:pStyle w:val="72"/>
              <w:rPr>
                <w:rFonts w:asciiTheme="minorHAnsi" w:hAnsiTheme="minorHAnsi" w:eastAsiaTheme="minorEastAsia"/>
              </w:rPr>
            </w:pPr>
          </w:p>
        </w:tc>
        <w:tc>
          <w:tcPr>
            <w:tcW w:w="1134" w:type="dxa"/>
            <w:vAlign w:val="center"/>
          </w:tcPr>
          <w:p>
            <w:pPr>
              <w:pStyle w:val="72"/>
              <w:rPr>
                <w:rFonts w:asciiTheme="minorHAnsi" w:hAnsiTheme="minorHAnsi" w:eastAsiaTheme="minorEastAsia"/>
              </w:rPr>
            </w:pPr>
            <w:r>
              <w:rPr>
                <w:rFonts w:asciiTheme="minorHAnsi" w:hAnsiTheme="minorHAnsi" w:eastAsiaTheme="minorEastAsia"/>
              </w:rPr>
              <w:t>无</w:t>
            </w:r>
          </w:p>
        </w:tc>
        <w:tc>
          <w:tcPr>
            <w:tcW w:w="994" w:type="dxa"/>
            <w:vAlign w:val="center"/>
          </w:tcPr>
          <w:p>
            <w:pPr>
              <w:pStyle w:val="72"/>
              <w:rPr>
                <w:rFonts w:asciiTheme="minorHAnsi" w:hAnsiTheme="minorHAnsi" w:eastAsiaTheme="minorEastAsia"/>
              </w:rPr>
            </w:pPr>
            <w:r>
              <w:rPr>
                <w:rFonts w:asciiTheme="minorHAnsi" w:hAnsiTheme="minorHAnsi" w:eastAsiaTheme="minorEastAsia"/>
              </w:rPr>
              <w:t>无</w:t>
            </w:r>
          </w:p>
        </w:tc>
        <w:tc>
          <w:tcPr>
            <w:tcW w:w="991" w:type="dxa"/>
            <w:vAlign w:val="center"/>
          </w:tcPr>
          <w:p>
            <w:pPr>
              <w:pStyle w:val="72"/>
              <w:rPr>
                <w:rFonts w:asciiTheme="minorHAnsi" w:hAnsiTheme="minorHAnsi" w:eastAsiaTheme="minorEastAsia"/>
              </w:rPr>
            </w:pPr>
            <w:r>
              <w:rPr>
                <w:rFonts w:asciiTheme="minorHAnsi" w:hAnsiTheme="minorHAnsi" w:eastAsiaTheme="minorEastAsia"/>
              </w:rPr>
              <w:t>无</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无</w:t>
            </w:r>
          </w:p>
        </w:tc>
      </w:tr>
      <w:tr>
        <w:tblPrEx>
          <w:tblBorders>
            <w:top w:val="single" w:color="auto" w:sz="18" w:space="0"/>
            <w:left w:val="single" w:color="auto" w:sz="18" w:space="0"/>
            <w:bottom w:val="none" w:color="auto" w:sz="0"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557" w:hRule="exact"/>
        </w:trPr>
        <w:tc>
          <w:tcPr>
            <w:tcW w:w="863" w:type="dxa"/>
            <w:vMerge w:val="continue"/>
            <w:vAlign w:val="center"/>
          </w:tcPr>
          <w:p>
            <w:pPr>
              <w:pStyle w:val="72"/>
              <w:rPr>
                <w:rFonts w:asciiTheme="minorHAnsi" w:hAnsiTheme="minorHAnsi" w:eastAsiaTheme="minorEastAsia"/>
              </w:rPr>
            </w:pPr>
          </w:p>
        </w:tc>
        <w:tc>
          <w:tcPr>
            <w:tcW w:w="1842" w:type="dxa"/>
            <w:vAlign w:val="center"/>
          </w:tcPr>
          <w:p>
            <w:pPr>
              <w:pStyle w:val="72"/>
              <w:rPr>
                <w:rFonts w:asciiTheme="minorHAnsi" w:hAnsiTheme="minorHAnsi" w:eastAsiaTheme="minorEastAsia"/>
              </w:rPr>
            </w:pPr>
            <w:r>
              <w:rPr>
                <w:rFonts w:asciiTheme="minorHAnsi" w:hAnsiTheme="minorHAnsi" w:eastAsiaTheme="minorEastAsia"/>
              </w:rPr>
              <w:t>肉眼可见物</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无</w:t>
            </w:r>
          </w:p>
        </w:tc>
        <w:tc>
          <w:tcPr>
            <w:tcW w:w="1276" w:type="dxa"/>
            <w:vAlign w:val="center"/>
          </w:tcPr>
          <w:p>
            <w:pPr>
              <w:pStyle w:val="72"/>
              <w:rPr>
                <w:rFonts w:asciiTheme="minorHAnsi" w:hAnsiTheme="minorHAnsi" w:eastAsiaTheme="minorEastAsia"/>
              </w:rPr>
            </w:pPr>
          </w:p>
        </w:tc>
        <w:tc>
          <w:tcPr>
            <w:tcW w:w="1134" w:type="dxa"/>
            <w:vAlign w:val="center"/>
          </w:tcPr>
          <w:p>
            <w:pPr>
              <w:pStyle w:val="72"/>
              <w:rPr>
                <w:rFonts w:asciiTheme="minorHAnsi" w:hAnsiTheme="minorHAnsi" w:eastAsiaTheme="minorEastAsia"/>
              </w:rPr>
            </w:pPr>
            <w:r>
              <w:rPr>
                <w:rFonts w:asciiTheme="minorHAnsi" w:hAnsiTheme="minorHAnsi" w:eastAsiaTheme="minorEastAsia"/>
              </w:rPr>
              <w:t>无</w:t>
            </w:r>
          </w:p>
        </w:tc>
        <w:tc>
          <w:tcPr>
            <w:tcW w:w="994" w:type="dxa"/>
            <w:vAlign w:val="center"/>
          </w:tcPr>
          <w:p>
            <w:pPr>
              <w:pStyle w:val="72"/>
              <w:rPr>
                <w:rFonts w:asciiTheme="minorHAnsi" w:hAnsiTheme="minorHAnsi" w:eastAsiaTheme="minorEastAsia"/>
              </w:rPr>
            </w:pPr>
            <w:r>
              <w:rPr>
                <w:rFonts w:asciiTheme="minorHAnsi" w:hAnsiTheme="minorHAnsi" w:eastAsiaTheme="minorEastAsia"/>
              </w:rPr>
              <w:t>无</w:t>
            </w:r>
          </w:p>
        </w:tc>
        <w:tc>
          <w:tcPr>
            <w:tcW w:w="991" w:type="dxa"/>
            <w:vAlign w:val="center"/>
          </w:tcPr>
          <w:p>
            <w:pPr>
              <w:pStyle w:val="72"/>
              <w:rPr>
                <w:rFonts w:asciiTheme="minorHAnsi" w:hAnsiTheme="minorHAnsi" w:eastAsiaTheme="minorEastAsia"/>
              </w:rPr>
            </w:pPr>
            <w:r>
              <w:rPr>
                <w:rFonts w:asciiTheme="minorHAnsi" w:hAnsiTheme="minorHAnsi" w:eastAsiaTheme="minorEastAsia"/>
              </w:rPr>
              <w:t>无</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无</w:t>
            </w:r>
          </w:p>
        </w:tc>
      </w:tr>
      <w:tr>
        <w:tblPrEx>
          <w:tblBorders>
            <w:top w:val="single" w:color="auto" w:sz="18" w:space="0"/>
            <w:left w:val="single" w:color="auto" w:sz="18" w:space="0"/>
            <w:bottom w:val="none" w:color="auto" w:sz="0"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562" w:hRule="exact"/>
        </w:trPr>
        <w:tc>
          <w:tcPr>
            <w:tcW w:w="863" w:type="dxa"/>
            <w:vMerge w:val="continue"/>
            <w:vAlign w:val="center"/>
          </w:tcPr>
          <w:p>
            <w:pPr>
              <w:pStyle w:val="72"/>
              <w:rPr>
                <w:rFonts w:asciiTheme="minorHAnsi" w:hAnsiTheme="minorHAnsi" w:eastAsiaTheme="minorEastAsia"/>
              </w:rPr>
            </w:pPr>
          </w:p>
        </w:tc>
        <w:tc>
          <w:tcPr>
            <w:tcW w:w="1842" w:type="dxa"/>
            <w:vAlign w:val="center"/>
          </w:tcPr>
          <w:p>
            <w:pPr>
              <w:pStyle w:val="72"/>
              <w:rPr>
                <w:rFonts w:asciiTheme="minorHAnsi" w:hAnsiTheme="minorHAnsi" w:eastAsiaTheme="minorEastAsia"/>
              </w:rPr>
            </w:pPr>
            <w:r>
              <w:rPr>
                <w:rFonts w:asciiTheme="minorHAnsi" w:hAnsiTheme="minorHAnsi" w:eastAsiaTheme="minorEastAsia"/>
              </w:rPr>
              <w:t>PH</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6.5-8.5</w:t>
            </w:r>
          </w:p>
        </w:tc>
        <w:tc>
          <w:tcPr>
            <w:tcW w:w="1276" w:type="dxa"/>
            <w:vAlign w:val="center"/>
          </w:tcPr>
          <w:p>
            <w:pPr>
              <w:pStyle w:val="72"/>
              <w:rPr>
                <w:rFonts w:asciiTheme="minorHAnsi" w:hAnsiTheme="minorHAnsi" w:eastAsiaTheme="minorEastAsia"/>
              </w:rPr>
            </w:pPr>
          </w:p>
        </w:tc>
        <w:tc>
          <w:tcPr>
            <w:tcW w:w="1134" w:type="dxa"/>
            <w:vAlign w:val="center"/>
          </w:tcPr>
          <w:p>
            <w:pPr>
              <w:pStyle w:val="72"/>
              <w:rPr>
                <w:rFonts w:asciiTheme="minorHAnsi" w:hAnsiTheme="minorHAnsi" w:eastAsiaTheme="minorEastAsia"/>
              </w:rPr>
            </w:pPr>
            <w:r>
              <w:rPr>
                <w:rFonts w:asciiTheme="minorHAnsi" w:hAnsiTheme="minorHAnsi" w:eastAsiaTheme="minorEastAsia"/>
              </w:rPr>
              <w:t>7.68</w:t>
            </w:r>
          </w:p>
        </w:tc>
        <w:tc>
          <w:tcPr>
            <w:tcW w:w="994" w:type="dxa"/>
            <w:vAlign w:val="center"/>
          </w:tcPr>
          <w:p>
            <w:pPr>
              <w:pStyle w:val="72"/>
              <w:rPr>
                <w:rFonts w:asciiTheme="minorHAnsi" w:hAnsiTheme="minorHAnsi" w:eastAsiaTheme="minorEastAsia"/>
              </w:rPr>
            </w:pPr>
            <w:r>
              <w:rPr>
                <w:rFonts w:asciiTheme="minorHAnsi" w:hAnsiTheme="minorHAnsi" w:eastAsiaTheme="minorEastAsia"/>
              </w:rPr>
              <w:t>7.89</w:t>
            </w:r>
          </w:p>
        </w:tc>
        <w:tc>
          <w:tcPr>
            <w:tcW w:w="991" w:type="dxa"/>
            <w:vAlign w:val="center"/>
          </w:tcPr>
          <w:p>
            <w:pPr>
              <w:pStyle w:val="72"/>
              <w:rPr>
                <w:rFonts w:asciiTheme="minorHAnsi" w:hAnsiTheme="minorHAnsi" w:eastAsiaTheme="minorEastAsia"/>
              </w:rPr>
            </w:pPr>
            <w:r>
              <w:rPr>
                <w:rFonts w:asciiTheme="minorHAnsi" w:hAnsiTheme="minorHAnsi" w:eastAsiaTheme="minorEastAsia"/>
              </w:rPr>
              <w:t>7.76</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7.72</w:t>
            </w:r>
          </w:p>
        </w:tc>
      </w:tr>
      <w:tr>
        <w:tblPrEx>
          <w:tblBorders>
            <w:top w:val="single" w:color="auto" w:sz="18" w:space="0"/>
            <w:left w:val="single" w:color="auto" w:sz="18" w:space="0"/>
            <w:bottom w:val="none" w:color="auto" w:sz="0"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562" w:hRule="exact"/>
        </w:trPr>
        <w:tc>
          <w:tcPr>
            <w:tcW w:w="863" w:type="dxa"/>
            <w:vMerge w:val="continue"/>
            <w:vAlign w:val="center"/>
          </w:tcPr>
          <w:p>
            <w:pPr>
              <w:pStyle w:val="72"/>
              <w:rPr>
                <w:rFonts w:asciiTheme="minorHAnsi" w:hAnsiTheme="minorHAnsi" w:eastAsiaTheme="minorEastAsia"/>
              </w:rPr>
            </w:pPr>
          </w:p>
        </w:tc>
        <w:tc>
          <w:tcPr>
            <w:tcW w:w="1842" w:type="dxa"/>
            <w:vAlign w:val="center"/>
          </w:tcPr>
          <w:p>
            <w:pPr>
              <w:pStyle w:val="72"/>
              <w:rPr>
                <w:rFonts w:asciiTheme="minorHAnsi" w:hAnsiTheme="minorHAnsi" w:eastAsiaTheme="minorEastAsia"/>
              </w:rPr>
            </w:pPr>
            <w:r>
              <w:rPr>
                <w:rFonts w:asciiTheme="minorHAnsi" w:hAnsiTheme="minorHAnsi" w:eastAsiaTheme="minorEastAsia"/>
              </w:rPr>
              <w:t>铝（Al）</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0.2</w:t>
            </w:r>
          </w:p>
        </w:tc>
        <w:tc>
          <w:tcPr>
            <w:tcW w:w="1276" w:type="dxa"/>
            <w:vAlign w:val="center"/>
          </w:tcPr>
          <w:p>
            <w:pPr>
              <w:pStyle w:val="72"/>
              <w:rPr>
                <w:rFonts w:asciiTheme="minorHAnsi" w:hAnsiTheme="minorHAnsi" w:eastAsiaTheme="minorEastAsia"/>
              </w:rPr>
            </w:pPr>
          </w:p>
        </w:tc>
        <w:tc>
          <w:tcPr>
            <w:tcW w:w="1134" w:type="dxa"/>
            <w:vAlign w:val="center"/>
          </w:tcPr>
          <w:p>
            <w:pPr>
              <w:pStyle w:val="72"/>
              <w:rPr>
                <w:rFonts w:asciiTheme="minorHAnsi" w:hAnsiTheme="minorHAnsi" w:eastAsiaTheme="minorEastAsia"/>
              </w:rPr>
            </w:pPr>
          </w:p>
        </w:tc>
        <w:tc>
          <w:tcPr>
            <w:tcW w:w="994" w:type="dxa"/>
            <w:vAlign w:val="center"/>
          </w:tcPr>
          <w:p>
            <w:pPr>
              <w:pStyle w:val="72"/>
              <w:rPr>
                <w:rFonts w:asciiTheme="minorHAnsi" w:hAnsiTheme="minorHAnsi" w:eastAsiaTheme="minorEastAsia"/>
              </w:rPr>
            </w:pPr>
          </w:p>
        </w:tc>
        <w:tc>
          <w:tcPr>
            <w:tcW w:w="991" w:type="dxa"/>
            <w:vAlign w:val="center"/>
          </w:tcPr>
          <w:p>
            <w:pPr>
              <w:pStyle w:val="72"/>
              <w:rPr>
                <w:rFonts w:asciiTheme="minorHAnsi" w:hAnsiTheme="minorHAnsi" w:eastAsiaTheme="minorEastAsia"/>
              </w:rPr>
            </w:pPr>
          </w:p>
        </w:tc>
        <w:tc>
          <w:tcPr>
            <w:tcW w:w="1134" w:type="dxa"/>
            <w:vAlign w:val="center"/>
          </w:tcPr>
          <w:p>
            <w:pPr>
              <w:pStyle w:val="72"/>
              <w:rPr>
                <w:rFonts w:asciiTheme="minorHAnsi" w:hAnsiTheme="minorHAnsi" w:eastAsiaTheme="minorEastAsia"/>
              </w:rPr>
            </w:pPr>
          </w:p>
        </w:tc>
      </w:tr>
      <w:tr>
        <w:tblPrEx>
          <w:tblBorders>
            <w:top w:val="single" w:color="auto" w:sz="18" w:space="0"/>
            <w:left w:val="single" w:color="auto" w:sz="18" w:space="0"/>
            <w:bottom w:val="none" w:color="auto" w:sz="0"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562" w:hRule="exact"/>
        </w:trPr>
        <w:tc>
          <w:tcPr>
            <w:tcW w:w="863" w:type="dxa"/>
            <w:vMerge w:val="continue"/>
            <w:vAlign w:val="center"/>
          </w:tcPr>
          <w:p>
            <w:pPr>
              <w:pStyle w:val="72"/>
              <w:rPr>
                <w:rFonts w:asciiTheme="minorHAnsi" w:hAnsiTheme="minorHAnsi" w:eastAsiaTheme="minorEastAsia"/>
              </w:rPr>
            </w:pPr>
          </w:p>
        </w:tc>
        <w:tc>
          <w:tcPr>
            <w:tcW w:w="1842" w:type="dxa"/>
            <w:vAlign w:val="center"/>
          </w:tcPr>
          <w:p>
            <w:pPr>
              <w:pStyle w:val="72"/>
              <w:rPr>
                <w:rFonts w:asciiTheme="minorHAnsi" w:hAnsiTheme="minorHAnsi" w:eastAsiaTheme="minorEastAsia"/>
              </w:rPr>
            </w:pPr>
            <w:r>
              <w:rPr>
                <w:rFonts w:asciiTheme="minorHAnsi" w:hAnsiTheme="minorHAnsi" w:eastAsiaTheme="minorEastAsia"/>
              </w:rPr>
              <w:t>铁（Fe）</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0.3</w:t>
            </w:r>
          </w:p>
        </w:tc>
        <w:tc>
          <w:tcPr>
            <w:tcW w:w="1276" w:type="dxa"/>
            <w:vAlign w:val="center"/>
          </w:tcPr>
          <w:p>
            <w:pPr>
              <w:pStyle w:val="72"/>
              <w:rPr>
                <w:rFonts w:asciiTheme="minorHAnsi" w:hAnsiTheme="minorHAnsi" w:eastAsiaTheme="minorEastAsia"/>
              </w:rPr>
            </w:pPr>
            <w:r>
              <w:rPr>
                <w:rFonts w:asciiTheme="minorHAnsi" w:hAnsiTheme="minorHAnsi" w:eastAsiaTheme="minorEastAsia"/>
              </w:rPr>
              <w:t>mg/l</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&lt;0.05</w:t>
            </w:r>
          </w:p>
        </w:tc>
        <w:tc>
          <w:tcPr>
            <w:tcW w:w="994" w:type="dxa"/>
            <w:vAlign w:val="center"/>
          </w:tcPr>
          <w:p>
            <w:pPr>
              <w:pStyle w:val="72"/>
              <w:rPr>
                <w:rFonts w:asciiTheme="minorHAnsi" w:hAnsiTheme="minorHAnsi" w:eastAsiaTheme="minorEastAsia"/>
              </w:rPr>
            </w:pPr>
            <w:r>
              <w:rPr>
                <w:rFonts w:asciiTheme="minorHAnsi" w:hAnsiTheme="minorHAnsi" w:eastAsiaTheme="minorEastAsia"/>
              </w:rPr>
              <w:t>&lt;0.05</w:t>
            </w:r>
          </w:p>
        </w:tc>
        <w:tc>
          <w:tcPr>
            <w:tcW w:w="991" w:type="dxa"/>
            <w:vAlign w:val="center"/>
          </w:tcPr>
          <w:p>
            <w:pPr>
              <w:pStyle w:val="72"/>
              <w:rPr>
                <w:rFonts w:asciiTheme="minorHAnsi" w:hAnsiTheme="minorHAnsi" w:eastAsiaTheme="minorEastAsia"/>
              </w:rPr>
            </w:pPr>
            <w:r>
              <w:rPr>
                <w:rFonts w:asciiTheme="minorHAnsi" w:hAnsiTheme="minorHAnsi" w:eastAsiaTheme="minorEastAsia"/>
              </w:rPr>
              <w:t>&lt;0.05</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&lt;0.05</w:t>
            </w:r>
          </w:p>
        </w:tc>
      </w:tr>
      <w:tr>
        <w:tblPrEx>
          <w:tblBorders>
            <w:top w:val="single" w:color="auto" w:sz="18" w:space="0"/>
            <w:left w:val="single" w:color="auto" w:sz="18" w:space="0"/>
            <w:bottom w:val="none" w:color="auto" w:sz="0"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557" w:hRule="exact"/>
        </w:trPr>
        <w:tc>
          <w:tcPr>
            <w:tcW w:w="863" w:type="dxa"/>
            <w:vMerge w:val="continue"/>
            <w:vAlign w:val="center"/>
          </w:tcPr>
          <w:p>
            <w:pPr>
              <w:pStyle w:val="72"/>
              <w:rPr>
                <w:rFonts w:asciiTheme="minorHAnsi" w:hAnsiTheme="minorHAnsi" w:eastAsiaTheme="minorEastAsia"/>
              </w:rPr>
            </w:pPr>
          </w:p>
        </w:tc>
        <w:tc>
          <w:tcPr>
            <w:tcW w:w="1842" w:type="dxa"/>
            <w:vAlign w:val="center"/>
          </w:tcPr>
          <w:p>
            <w:pPr>
              <w:pStyle w:val="72"/>
              <w:rPr>
                <w:rFonts w:asciiTheme="minorHAnsi" w:hAnsiTheme="minorHAnsi" w:eastAsiaTheme="minorEastAsia"/>
              </w:rPr>
            </w:pPr>
            <w:r>
              <w:rPr>
                <w:rFonts w:asciiTheme="minorHAnsi" w:hAnsiTheme="minorHAnsi" w:eastAsiaTheme="minorEastAsia"/>
              </w:rPr>
              <w:t>锰（Mn）</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0.1</w:t>
            </w:r>
          </w:p>
        </w:tc>
        <w:tc>
          <w:tcPr>
            <w:tcW w:w="1276" w:type="dxa"/>
            <w:vAlign w:val="center"/>
          </w:tcPr>
          <w:p>
            <w:pPr>
              <w:pStyle w:val="72"/>
              <w:rPr>
                <w:rFonts w:asciiTheme="minorHAnsi" w:hAnsiTheme="minorHAnsi" w:eastAsiaTheme="minorEastAsia"/>
              </w:rPr>
            </w:pPr>
            <w:r>
              <w:rPr>
                <w:rFonts w:asciiTheme="minorHAnsi" w:hAnsiTheme="minorHAnsi" w:eastAsiaTheme="minorEastAsia"/>
              </w:rPr>
              <w:t>mg/l</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&lt;0.05</w:t>
            </w:r>
          </w:p>
        </w:tc>
        <w:tc>
          <w:tcPr>
            <w:tcW w:w="994" w:type="dxa"/>
            <w:vAlign w:val="center"/>
          </w:tcPr>
          <w:p>
            <w:pPr>
              <w:pStyle w:val="72"/>
              <w:rPr>
                <w:rFonts w:asciiTheme="minorHAnsi" w:hAnsiTheme="minorHAnsi" w:eastAsiaTheme="minorEastAsia"/>
              </w:rPr>
            </w:pPr>
            <w:r>
              <w:rPr>
                <w:rFonts w:asciiTheme="minorHAnsi" w:hAnsiTheme="minorHAnsi" w:eastAsiaTheme="minorEastAsia"/>
              </w:rPr>
              <w:t>&lt;0.05</w:t>
            </w:r>
          </w:p>
        </w:tc>
        <w:tc>
          <w:tcPr>
            <w:tcW w:w="991" w:type="dxa"/>
            <w:vAlign w:val="center"/>
          </w:tcPr>
          <w:p>
            <w:pPr>
              <w:pStyle w:val="72"/>
              <w:rPr>
                <w:rFonts w:asciiTheme="minorHAnsi" w:hAnsiTheme="minorHAnsi" w:eastAsiaTheme="minorEastAsia"/>
              </w:rPr>
            </w:pPr>
            <w:r>
              <w:rPr>
                <w:rFonts w:asciiTheme="minorHAnsi" w:hAnsiTheme="minorHAnsi" w:eastAsiaTheme="minorEastAsia"/>
              </w:rPr>
              <w:t>&lt;0.05</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&lt;0.05</w:t>
            </w:r>
          </w:p>
        </w:tc>
      </w:tr>
      <w:tr>
        <w:tblPrEx>
          <w:tblBorders>
            <w:top w:val="single" w:color="auto" w:sz="18" w:space="0"/>
            <w:left w:val="single" w:color="auto" w:sz="18" w:space="0"/>
            <w:bottom w:val="none" w:color="auto" w:sz="0"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562" w:hRule="exact"/>
        </w:trPr>
        <w:tc>
          <w:tcPr>
            <w:tcW w:w="863" w:type="dxa"/>
            <w:vMerge w:val="continue"/>
            <w:vAlign w:val="center"/>
          </w:tcPr>
          <w:p>
            <w:pPr>
              <w:pStyle w:val="72"/>
              <w:rPr>
                <w:rFonts w:asciiTheme="minorHAnsi" w:hAnsiTheme="minorHAnsi" w:eastAsiaTheme="minorEastAsia"/>
              </w:rPr>
            </w:pPr>
          </w:p>
        </w:tc>
        <w:tc>
          <w:tcPr>
            <w:tcW w:w="1842" w:type="dxa"/>
            <w:vAlign w:val="center"/>
          </w:tcPr>
          <w:p>
            <w:pPr>
              <w:pStyle w:val="72"/>
              <w:rPr>
                <w:rFonts w:asciiTheme="minorHAnsi" w:hAnsiTheme="minorHAnsi" w:eastAsiaTheme="minorEastAsia"/>
              </w:rPr>
            </w:pPr>
            <w:r>
              <w:rPr>
                <w:rFonts w:asciiTheme="minorHAnsi" w:hAnsiTheme="minorHAnsi" w:eastAsiaTheme="minorEastAsia"/>
              </w:rPr>
              <w:t>铜(Cu)</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1</w:t>
            </w:r>
          </w:p>
        </w:tc>
        <w:tc>
          <w:tcPr>
            <w:tcW w:w="1276" w:type="dxa"/>
            <w:vAlign w:val="center"/>
          </w:tcPr>
          <w:p>
            <w:pPr>
              <w:pStyle w:val="72"/>
              <w:rPr>
                <w:rFonts w:asciiTheme="minorHAnsi" w:hAnsiTheme="minorHAnsi" w:eastAsiaTheme="minorEastAsia"/>
              </w:rPr>
            </w:pPr>
            <w:r>
              <w:rPr>
                <w:rFonts w:asciiTheme="minorHAnsi" w:hAnsiTheme="minorHAnsi" w:eastAsiaTheme="minorEastAsia"/>
              </w:rPr>
              <w:t>mg/l</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&lt;0.02</w:t>
            </w:r>
          </w:p>
        </w:tc>
        <w:tc>
          <w:tcPr>
            <w:tcW w:w="994" w:type="dxa"/>
            <w:vAlign w:val="center"/>
          </w:tcPr>
          <w:p>
            <w:pPr>
              <w:pStyle w:val="72"/>
              <w:rPr>
                <w:rFonts w:asciiTheme="minorHAnsi" w:hAnsiTheme="minorHAnsi" w:eastAsiaTheme="minorEastAsia"/>
              </w:rPr>
            </w:pPr>
            <w:r>
              <w:rPr>
                <w:rFonts w:asciiTheme="minorHAnsi" w:hAnsiTheme="minorHAnsi" w:eastAsiaTheme="minorEastAsia"/>
              </w:rPr>
              <w:t>&lt;0.02</w:t>
            </w:r>
          </w:p>
        </w:tc>
        <w:tc>
          <w:tcPr>
            <w:tcW w:w="991" w:type="dxa"/>
            <w:vAlign w:val="center"/>
          </w:tcPr>
          <w:p>
            <w:pPr>
              <w:pStyle w:val="72"/>
              <w:rPr>
                <w:rFonts w:asciiTheme="minorHAnsi" w:hAnsiTheme="minorHAnsi" w:eastAsiaTheme="minorEastAsia"/>
              </w:rPr>
            </w:pPr>
            <w:r>
              <w:rPr>
                <w:rFonts w:asciiTheme="minorHAnsi" w:hAnsiTheme="minorHAnsi" w:eastAsiaTheme="minorEastAsia"/>
              </w:rPr>
              <w:t>&lt;0.02</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&lt;0.02</w:t>
            </w:r>
          </w:p>
        </w:tc>
      </w:tr>
      <w:tr>
        <w:tblPrEx>
          <w:tblBorders>
            <w:top w:val="single" w:color="auto" w:sz="18" w:space="0"/>
            <w:left w:val="single" w:color="auto" w:sz="18" w:space="0"/>
            <w:bottom w:val="none" w:color="auto" w:sz="0"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562" w:hRule="exact"/>
        </w:trPr>
        <w:tc>
          <w:tcPr>
            <w:tcW w:w="863" w:type="dxa"/>
            <w:vMerge w:val="continue"/>
            <w:vAlign w:val="center"/>
          </w:tcPr>
          <w:p>
            <w:pPr>
              <w:pStyle w:val="72"/>
              <w:rPr>
                <w:rFonts w:asciiTheme="minorHAnsi" w:hAnsiTheme="minorHAnsi" w:eastAsiaTheme="minorEastAsia"/>
              </w:rPr>
            </w:pPr>
          </w:p>
        </w:tc>
        <w:tc>
          <w:tcPr>
            <w:tcW w:w="1842" w:type="dxa"/>
            <w:vAlign w:val="center"/>
          </w:tcPr>
          <w:p>
            <w:pPr>
              <w:pStyle w:val="72"/>
              <w:rPr>
                <w:rFonts w:asciiTheme="minorHAnsi" w:hAnsiTheme="minorHAnsi" w:eastAsiaTheme="minorEastAsia"/>
              </w:rPr>
            </w:pPr>
            <w:r>
              <w:rPr>
                <w:rFonts w:asciiTheme="minorHAnsi" w:hAnsiTheme="minorHAnsi" w:eastAsiaTheme="minorEastAsia"/>
              </w:rPr>
              <w:t>锌（Zn）</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1</w:t>
            </w:r>
          </w:p>
        </w:tc>
        <w:tc>
          <w:tcPr>
            <w:tcW w:w="1276" w:type="dxa"/>
            <w:vAlign w:val="center"/>
          </w:tcPr>
          <w:p>
            <w:pPr>
              <w:pStyle w:val="72"/>
              <w:rPr>
                <w:rFonts w:asciiTheme="minorHAnsi" w:hAnsiTheme="minorHAnsi" w:eastAsiaTheme="minorEastAsia"/>
              </w:rPr>
            </w:pPr>
            <w:r>
              <w:rPr>
                <w:rFonts w:asciiTheme="minorHAnsi" w:hAnsiTheme="minorHAnsi" w:eastAsiaTheme="minorEastAsia"/>
              </w:rPr>
              <w:t>mg/l</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&lt;0.05</w:t>
            </w:r>
          </w:p>
        </w:tc>
        <w:tc>
          <w:tcPr>
            <w:tcW w:w="994" w:type="dxa"/>
            <w:vAlign w:val="center"/>
          </w:tcPr>
          <w:p>
            <w:pPr>
              <w:pStyle w:val="72"/>
              <w:rPr>
                <w:rFonts w:asciiTheme="minorHAnsi" w:hAnsiTheme="minorHAnsi" w:eastAsiaTheme="minorEastAsia"/>
              </w:rPr>
            </w:pPr>
            <w:r>
              <w:rPr>
                <w:rFonts w:asciiTheme="minorHAnsi" w:hAnsiTheme="minorHAnsi" w:eastAsiaTheme="minorEastAsia"/>
              </w:rPr>
              <w:t>&lt;0.05</w:t>
            </w:r>
          </w:p>
        </w:tc>
        <w:tc>
          <w:tcPr>
            <w:tcW w:w="991" w:type="dxa"/>
            <w:vAlign w:val="center"/>
          </w:tcPr>
          <w:p>
            <w:pPr>
              <w:pStyle w:val="72"/>
              <w:rPr>
                <w:rFonts w:asciiTheme="minorHAnsi" w:hAnsiTheme="minorHAnsi" w:eastAsiaTheme="minorEastAsia"/>
              </w:rPr>
            </w:pPr>
            <w:r>
              <w:rPr>
                <w:rFonts w:asciiTheme="minorHAnsi" w:hAnsiTheme="minorHAnsi" w:eastAsiaTheme="minorEastAsia"/>
              </w:rPr>
              <w:t>0.152</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&lt;0.05</w:t>
            </w:r>
          </w:p>
        </w:tc>
      </w:tr>
      <w:tr>
        <w:tblPrEx>
          <w:tblBorders>
            <w:top w:val="single" w:color="auto" w:sz="18" w:space="0"/>
            <w:left w:val="single" w:color="auto" w:sz="18" w:space="0"/>
            <w:bottom w:val="none" w:color="auto" w:sz="0"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562" w:hRule="exact"/>
        </w:trPr>
        <w:tc>
          <w:tcPr>
            <w:tcW w:w="863" w:type="dxa"/>
            <w:vMerge w:val="continue"/>
            <w:vAlign w:val="center"/>
          </w:tcPr>
          <w:p>
            <w:pPr>
              <w:pStyle w:val="72"/>
              <w:rPr>
                <w:rFonts w:asciiTheme="minorHAnsi" w:hAnsiTheme="minorHAnsi" w:eastAsiaTheme="minorEastAsia"/>
              </w:rPr>
            </w:pPr>
          </w:p>
        </w:tc>
        <w:tc>
          <w:tcPr>
            <w:tcW w:w="1842" w:type="dxa"/>
            <w:vAlign w:val="center"/>
          </w:tcPr>
          <w:p>
            <w:pPr>
              <w:pStyle w:val="72"/>
              <w:rPr>
                <w:rFonts w:asciiTheme="minorHAnsi" w:hAnsiTheme="minorHAnsi" w:eastAsiaTheme="minorEastAsia"/>
              </w:rPr>
            </w:pPr>
            <w:r>
              <w:rPr>
                <w:rFonts w:asciiTheme="minorHAnsi" w:hAnsiTheme="minorHAnsi" w:eastAsiaTheme="minorEastAsia"/>
              </w:rPr>
              <w:t>氯化物（Cl-）</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250</w:t>
            </w:r>
          </w:p>
        </w:tc>
        <w:tc>
          <w:tcPr>
            <w:tcW w:w="1276" w:type="dxa"/>
            <w:vAlign w:val="center"/>
          </w:tcPr>
          <w:p>
            <w:pPr>
              <w:pStyle w:val="72"/>
              <w:rPr>
                <w:rFonts w:asciiTheme="minorHAnsi" w:hAnsiTheme="minorHAnsi" w:eastAsiaTheme="minorEastAsia"/>
              </w:rPr>
            </w:pPr>
            <w:r>
              <w:rPr>
                <w:rFonts w:asciiTheme="minorHAnsi" w:hAnsiTheme="minorHAnsi" w:eastAsiaTheme="minorEastAsia"/>
              </w:rPr>
              <w:t>mg/l</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62.5</w:t>
            </w:r>
          </w:p>
        </w:tc>
        <w:tc>
          <w:tcPr>
            <w:tcW w:w="994" w:type="dxa"/>
            <w:vAlign w:val="center"/>
          </w:tcPr>
          <w:p>
            <w:pPr>
              <w:pStyle w:val="72"/>
              <w:rPr>
                <w:rFonts w:asciiTheme="minorHAnsi" w:hAnsiTheme="minorHAnsi" w:eastAsiaTheme="minorEastAsia"/>
              </w:rPr>
            </w:pPr>
            <w:r>
              <w:rPr>
                <w:rFonts w:asciiTheme="minorHAnsi" w:hAnsiTheme="minorHAnsi" w:eastAsiaTheme="minorEastAsia"/>
              </w:rPr>
              <w:t>24.5</w:t>
            </w:r>
          </w:p>
        </w:tc>
        <w:tc>
          <w:tcPr>
            <w:tcW w:w="991" w:type="dxa"/>
            <w:vAlign w:val="center"/>
          </w:tcPr>
          <w:p>
            <w:pPr>
              <w:pStyle w:val="72"/>
              <w:rPr>
                <w:rFonts w:asciiTheme="minorHAnsi" w:hAnsiTheme="minorHAnsi" w:eastAsiaTheme="minorEastAsia"/>
              </w:rPr>
            </w:pPr>
            <w:r>
              <w:rPr>
                <w:rFonts w:asciiTheme="minorHAnsi" w:hAnsiTheme="minorHAnsi" w:eastAsiaTheme="minorEastAsia"/>
              </w:rPr>
              <w:t>25.5</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28.5</w:t>
            </w:r>
          </w:p>
        </w:tc>
      </w:tr>
      <w:tr>
        <w:tblPrEx>
          <w:tblBorders>
            <w:top w:val="single" w:color="auto" w:sz="18" w:space="0"/>
            <w:left w:val="single" w:color="auto" w:sz="18" w:space="0"/>
            <w:bottom w:val="none" w:color="auto" w:sz="0"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656" w:hRule="exact"/>
        </w:trPr>
        <w:tc>
          <w:tcPr>
            <w:tcW w:w="863" w:type="dxa"/>
            <w:vMerge w:val="continue"/>
            <w:vAlign w:val="center"/>
          </w:tcPr>
          <w:p>
            <w:pPr>
              <w:pStyle w:val="72"/>
              <w:rPr>
                <w:rFonts w:asciiTheme="minorHAnsi" w:hAnsiTheme="minorHAnsi" w:eastAsiaTheme="minorEastAsia"/>
              </w:rPr>
            </w:pPr>
          </w:p>
        </w:tc>
        <w:tc>
          <w:tcPr>
            <w:tcW w:w="1842" w:type="dxa"/>
            <w:vAlign w:val="center"/>
          </w:tcPr>
          <w:p>
            <w:pPr>
              <w:pStyle w:val="72"/>
              <w:rPr>
                <w:rFonts w:asciiTheme="minorHAnsi" w:hAnsiTheme="minorHAnsi" w:eastAsiaTheme="minorEastAsia"/>
              </w:rPr>
            </w:pPr>
            <w:r>
              <w:rPr>
                <w:rFonts w:asciiTheme="minorHAnsi" w:hAnsiTheme="minorHAnsi" w:eastAsiaTheme="minorEastAsia"/>
              </w:rPr>
              <w:t>硫酸盐（S04-）</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250</w:t>
            </w:r>
          </w:p>
        </w:tc>
        <w:tc>
          <w:tcPr>
            <w:tcW w:w="1276" w:type="dxa"/>
            <w:vAlign w:val="center"/>
          </w:tcPr>
          <w:p>
            <w:pPr>
              <w:pStyle w:val="72"/>
              <w:rPr>
                <w:rFonts w:asciiTheme="minorHAnsi" w:hAnsiTheme="minorHAnsi" w:eastAsiaTheme="minorEastAsia"/>
              </w:rPr>
            </w:pPr>
            <w:r>
              <w:rPr>
                <w:rFonts w:asciiTheme="minorHAnsi" w:hAnsiTheme="minorHAnsi" w:eastAsiaTheme="minorEastAsia"/>
              </w:rPr>
              <w:t>mg/l</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55.7</w:t>
            </w:r>
          </w:p>
        </w:tc>
        <w:tc>
          <w:tcPr>
            <w:tcW w:w="994" w:type="dxa"/>
            <w:vAlign w:val="center"/>
          </w:tcPr>
          <w:p>
            <w:pPr>
              <w:pStyle w:val="72"/>
              <w:rPr>
                <w:rFonts w:asciiTheme="minorHAnsi" w:hAnsiTheme="minorHAnsi" w:eastAsiaTheme="minorEastAsia"/>
              </w:rPr>
            </w:pPr>
            <w:r>
              <w:rPr>
                <w:rFonts w:asciiTheme="minorHAnsi" w:hAnsiTheme="minorHAnsi" w:eastAsiaTheme="minorEastAsia"/>
              </w:rPr>
              <w:t>36.3</w:t>
            </w:r>
          </w:p>
        </w:tc>
        <w:tc>
          <w:tcPr>
            <w:tcW w:w="991" w:type="dxa"/>
            <w:vAlign w:val="center"/>
          </w:tcPr>
          <w:p>
            <w:pPr>
              <w:pStyle w:val="72"/>
              <w:rPr>
                <w:rFonts w:asciiTheme="minorHAnsi" w:hAnsiTheme="minorHAnsi" w:eastAsiaTheme="minorEastAsia"/>
              </w:rPr>
            </w:pPr>
            <w:r>
              <w:rPr>
                <w:rFonts w:asciiTheme="minorHAnsi" w:hAnsiTheme="minorHAnsi" w:eastAsiaTheme="minorEastAsia"/>
              </w:rPr>
              <w:t>46.0</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48.1</w:t>
            </w:r>
          </w:p>
        </w:tc>
      </w:tr>
    </w:tbl>
    <w:tbl>
      <w:tblPr>
        <w:tblStyle w:val="87"/>
        <w:tblW w:w="9356" w:type="dxa"/>
        <w:tblInd w:w="147" w:type="dxa"/>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851"/>
        <w:gridCol w:w="1842"/>
        <w:gridCol w:w="1134"/>
        <w:gridCol w:w="1276"/>
        <w:gridCol w:w="1134"/>
        <w:gridCol w:w="992"/>
        <w:gridCol w:w="993"/>
        <w:gridCol w:w="1134"/>
      </w:tblGrid>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2" w:hRule="exact"/>
        </w:trPr>
        <w:tc>
          <w:tcPr>
            <w:tcW w:w="851" w:type="dxa"/>
            <w:vMerge w:val="restart"/>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溶解性总固体</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1000</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581</w:t>
            </w:r>
          </w:p>
        </w:tc>
        <w:tc>
          <w:tcPr>
            <w:tcW w:w="99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477</w:t>
            </w:r>
          </w:p>
        </w:tc>
        <w:tc>
          <w:tcPr>
            <w:tcW w:w="993"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464</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487</w:t>
            </w: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57" w:hRule="exact"/>
        </w:trPr>
        <w:tc>
          <w:tcPr>
            <w:tcW w:w="851"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总硬度（CaCO3</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450</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443</w:t>
            </w:r>
          </w:p>
        </w:tc>
        <w:tc>
          <w:tcPr>
            <w:tcW w:w="99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365</w:t>
            </w:r>
          </w:p>
        </w:tc>
        <w:tc>
          <w:tcPr>
            <w:tcW w:w="993"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353</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381</w:t>
            </w: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2" w:hRule="exact"/>
        </w:trPr>
        <w:tc>
          <w:tcPr>
            <w:tcW w:w="851"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耗氧量（O2）</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3</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0.48</w:t>
            </w:r>
          </w:p>
        </w:tc>
        <w:tc>
          <w:tcPr>
            <w:tcW w:w="99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0.48</w:t>
            </w:r>
          </w:p>
        </w:tc>
        <w:tc>
          <w:tcPr>
            <w:tcW w:w="993"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0.40</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0.46</w:t>
            </w: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1114" w:hRule="exact"/>
        </w:trPr>
        <w:tc>
          <w:tcPr>
            <w:tcW w:w="851"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挥发酚类</w:t>
            </w:r>
          </w:p>
          <w:p>
            <w:pPr>
              <w:pStyle w:val="72"/>
              <w:rPr>
                <w:rFonts w:asciiTheme="minorHAnsi" w:hAnsiTheme="minorHAnsi" w:eastAsiaTheme="minorEastAsia"/>
                <w:szCs w:val="18"/>
                <w:lang w:eastAsia="en-US"/>
              </w:rPr>
            </w:pPr>
          </w:p>
          <w:p>
            <w:pPr>
              <w:pStyle w:val="72"/>
              <w:rPr>
                <w:rFonts w:asciiTheme="minorHAnsi" w:hAnsiTheme="minorHAnsi" w:eastAsiaTheme="minorEastAsia"/>
                <w:lang w:eastAsia="en-US"/>
              </w:rPr>
            </w:pPr>
            <w:r>
              <w:rPr>
                <w:rFonts w:asciiTheme="minorHAnsi" w:hAnsiTheme="minorHAnsi" w:eastAsiaTheme="minorEastAsia"/>
                <w:lang w:eastAsia="en-US"/>
              </w:rPr>
              <w:t>(以苯酚计)</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0.002</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&lt;0.002</w:t>
            </w:r>
          </w:p>
        </w:tc>
        <w:tc>
          <w:tcPr>
            <w:tcW w:w="99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&lt;0.002</w:t>
            </w:r>
          </w:p>
        </w:tc>
        <w:tc>
          <w:tcPr>
            <w:tcW w:w="993"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&lt;0.002</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&lt;0.002</w:t>
            </w: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1109" w:hRule="exact"/>
        </w:trPr>
        <w:tc>
          <w:tcPr>
            <w:tcW w:w="851"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阴离子合成</w:t>
            </w:r>
          </w:p>
          <w:p>
            <w:pPr>
              <w:pStyle w:val="72"/>
              <w:rPr>
                <w:rFonts w:asciiTheme="minorHAnsi" w:hAnsiTheme="minorHAnsi" w:eastAsiaTheme="minorEastAsia"/>
                <w:lang w:eastAsia="en-US"/>
              </w:rPr>
            </w:pPr>
            <w:r>
              <w:rPr>
                <w:rFonts w:asciiTheme="minorHAnsi" w:hAnsiTheme="minorHAnsi" w:eastAsiaTheme="minorEastAsia"/>
                <w:lang w:eastAsia="en-US"/>
              </w:rPr>
              <w:t>洗涤剂</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0.3</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p>
        </w:tc>
        <w:tc>
          <w:tcPr>
            <w:tcW w:w="992" w:type="dxa"/>
            <w:vAlign w:val="center"/>
          </w:tcPr>
          <w:p>
            <w:pPr>
              <w:pStyle w:val="72"/>
              <w:rPr>
                <w:rFonts w:asciiTheme="minorHAnsi" w:hAnsiTheme="minorHAnsi" w:eastAsiaTheme="minorEastAsia"/>
                <w:lang w:eastAsia="en-US"/>
              </w:rPr>
            </w:pPr>
          </w:p>
        </w:tc>
        <w:tc>
          <w:tcPr>
            <w:tcW w:w="993" w:type="dxa"/>
            <w:vAlign w:val="center"/>
          </w:tcPr>
          <w:p>
            <w:pPr>
              <w:pStyle w:val="72"/>
              <w:rPr>
                <w:rFonts w:asciiTheme="minorHAnsi" w:hAnsiTheme="minorHAnsi" w:eastAsiaTheme="minorEastAsia"/>
                <w:lang w:eastAsia="en-US"/>
              </w:rPr>
            </w:pPr>
          </w:p>
        </w:tc>
        <w:tc>
          <w:tcPr>
            <w:tcW w:w="1134" w:type="dxa"/>
            <w:vAlign w:val="center"/>
          </w:tcPr>
          <w:p>
            <w:pPr>
              <w:pStyle w:val="72"/>
              <w:rPr>
                <w:rFonts w:asciiTheme="minorHAnsi" w:hAnsiTheme="minorHAnsi" w:eastAsiaTheme="minorEastAsia"/>
                <w:lang w:eastAsia="en-US"/>
              </w:rPr>
            </w:pP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2" w:hRule="exact"/>
        </w:trPr>
        <w:tc>
          <w:tcPr>
            <w:tcW w:w="851" w:type="dxa"/>
            <w:vMerge w:val="restart"/>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毒 理 指 标</w:t>
            </w: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砷（AS）</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0.01</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&lt;0.001</w:t>
            </w:r>
          </w:p>
        </w:tc>
        <w:tc>
          <w:tcPr>
            <w:tcW w:w="99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&lt;0.001</w:t>
            </w:r>
          </w:p>
        </w:tc>
        <w:tc>
          <w:tcPr>
            <w:tcW w:w="993"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&lt;0.001</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&lt;0.001</w:t>
            </w: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2" w:hRule="exact"/>
        </w:trPr>
        <w:tc>
          <w:tcPr>
            <w:tcW w:w="851"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镉（Cd）</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0.005</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&lt;0.0005</w:t>
            </w:r>
          </w:p>
        </w:tc>
        <w:tc>
          <w:tcPr>
            <w:tcW w:w="99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&lt;0.0005</w:t>
            </w:r>
          </w:p>
        </w:tc>
        <w:tc>
          <w:tcPr>
            <w:tcW w:w="993"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&lt;0.0005</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&lt;0.0005</w:t>
            </w: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57" w:hRule="exact"/>
        </w:trPr>
        <w:tc>
          <w:tcPr>
            <w:tcW w:w="851"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铬（Cr6+）</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0.05</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&lt;0.004</w:t>
            </w:r>
          </w:p>
        </w:tc>
        <w:tc>
          <w:tcPr>
            <w:tcW w:w="99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&lt;0.004</w:t>
            </w:r>
          </w:p>
        </w:tc>
        <w:tc>
          <w:tcPr>
            <w:tcW w:w="993"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&lt;0.004</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&lt;0.004</w:t>
            </w: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2" w:hRule="exact"/>
        </w:trPr>
        <w:tc>
          <w:tcPr>
            <w:tcW w:w="851"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铅（Pb）</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0.01</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&lt;0.0025</w:t>
            </w:r>
          </w:p>
        </w:tc>
        <w:tc>
          <w:tcPr>
            <w:tcW w:w="99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&lt;0.0025</w:t>
            </w:r>
          </w:p>
        </w:tc>
        <w:tc>
          <w:tcPr>
            <w:tcW w:w="993"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&lt;0.0025</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&lt;0.0025</w:t>
            </w: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2" w:hRule="exact"/>
        </w:trPr>
        <w:tc>
          <w:tcPr>
            <w:tcW w:w="851"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汞（Hg）</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0.001</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&lt;0.0001</w:t>
            </w:r>
          </w:p>
        </w:tc>
        <w:tc>
          <w:tcPr>
            <w:tcW w:w="99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&lt;0.0001</w:t>
            </w:r>
          </w:p>
        </w:tc>
        <w:tc>
          <w:tcPr>
            <w:tcW w:w="993"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&lt;0.0001</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&lt;0.0001</w:t>
            </w: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2" w:hRule="exact"/>
        </w:trPr>
        <w:tc>
          <w:tcPr>
            <w:tcW w:w="851"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硒（Sc）</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0.01</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p>
        </w:tc>
        <w:tc>
          <w:tcPr>
            <w:tcW w:w="992" w:type="dxa"/>
            <w:vAlign w:val="center"/>
          </w:tcPr>
          <w:p>
            <w:pPr>
              <w:pStyle w:val="72"/>
              <w:rPr>
                <w:rFonts w:asciiTheme="minorHAnsi" w:hAnsiTheme="minorHAnsi" w:eastAsiaTheme="minorEastAsia"/>
                <w:lang w:eastAsia="en-US"/>
              </w:rPr>
            </w:pPr>
          </w:p>
        </w:tc>
        <w:tc>
          <w:tcPr>
            <w:tcW w:w="993" w:type="dxa"/>
            <w:vAlign w:val="center"/>
          </w:tcPr>
          <w:p>
            <w:pPr>
              <w:pStyle w:val="72"/>
              <w:rPr>
                <w:rFonts w:asciiTheme="minorHAnsi" w:hAnsiTheme="minorHAnsi" w:eastAsiaTheme="minorEastAsia"/>
                <w:lang w:eastAsia="en-US"/>
              </w:rPr>
            </w:pPr>
          </w:p>
        </w:tc>
        <w:tc>
          <w:tcPr>
            <w:tcW w:w="1134" w:type="dxa"/>
            <w:vAlign w:val="center"/>
          </w:tcPr>
          <w:p>
            <w:pPr>
              <w:pStyle w:val="72"/>
              <w:rPr>
                <w:rFonts w:asciiTheme="minorHAnsi" w:hAnsiTheme="minorHAnsi" w:eastAsiaTheme="minorEastAsia"/>
                <w:lang w:eastAsia="en-US"/>
              </w:rPr>
            </w:pP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57" w:hRule="exact"/>
        </w:trPr>
        <w:tc>
          <w:tcPr>
            <w:tcW w:w="851"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氰化物</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0.05</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&lt;0.002</w:t>
            </w:r>
          </w:p>
        </w:tc>
        <w:tc>
          <w:tcPr>
            <w:tcW w:w="99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&lt;0.002</w:t>
            </w:r>
          </w:p>
        </w:tc>
        <w:tc>
          <w:tcPr>
            <w:tcW w:w="993"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&lt;0.002</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&lt;0.002</w:t>
            </w: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2" w:hRule="exact"/>
        </w:trPr>
        <w:tc>
          <w:tcPr>
            <w:tcW w:w="851"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氟化物</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1.0</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0.39</w:t>
            </w:r>
          </w:p>
        </w:tc>
        <w:tc>
          <w:tcPr>
            <w:tcW w:w="99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0.05</w:t>
            </w:r>
          </w:p>
        </w:tc>
        <w:tc>
          <w:tcPr>
            <w:tcW w:w="993"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0.55</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0.51</w:t>
            </w: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2" w:hRule="exact"/>
        </w:trPr>
        <w:tc>
          <w:tcPr>
            <w:tcW w:w="851"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硝酸盐(N)</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10</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2.4</w:t>
            </w:r>
          </w:p>
        </w:tc>
        <w:tc>
          <w:tcPr>
            <w:tcW w:w="99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5.1</w:t>
            </w:r>
          </w:p>
        </w:tc>
        <w:tc>
          <w:tcPr>
            <w:tcW w:w="993"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10.4</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1.9</w:t>
            </w: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2" w:hRule="exact"/>
        </w:trPr>
        <w:tc>
          <w:tcPr>
            <w:tcW w:w="851"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三氯甲烷</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0.06</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p>
        </w:tc>
        <w:tc>
          <w:tcPr>
            <w:tcW w:w="992" w:type="dxa"/>
            <w:vAlign w:val="center"/>
          </w:tcPr>
          <w:p>
            <w:pPr>
              <w:pStyle w:val="72"/>
              <w:rPr>
                <w:rFonts w:asciiTheme="minorHAnsi" w:hAnsiTheme="minorHAnsi" w:eastAsiaTheme="minorEastAsia"/>
                <w:lang w:eastAsia="en-US"/>
              </w:rPr>
            </w:pPr>
          </w:p>
        </w:tc>
        <w:tc>
          <w:tcPr>
            <w:tcW w:w="993" w:type="dxa"/>
            <w:vAlign w:val="center"/>
          </w:tcPr>
          <w:p>
            <w:pPr>
              <w:pStyle w:val="72"/>
              <w:rPr>
                <w:rFonts w:asciiTheme="minorHAnsi" w:hAnsiTheme="minorHAnsi" w:eastAsiaTheme="minorEastAsia"/>
                <w:lang w:eastAsia="en-US"/>
              </w:rPr>
            </w:pPr>
          </w:p>
        </w:tc>
        <w:tc>
          <w:tcPr>
            <w:tcW w:w="1134" w:type="dxa"/>
            <w:vAlign w:val="center"/>
          </w:tcPr>
          <w:p>
            <w:pPr>
              <w:pStyle w:val="72"/>
              <w:rPr>
                <w:rFonts w:asciiTheme="minorHAnsi" w:hAnsiTheme="minorHAnsi" w:eastAsiaTheme="minorEastAsia"/>
                <w:lang w:eastAsia="en-US"/>
              </w:rPr>
            </w:pP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2" w:hRule="exact"/>
        </w:trPr>
        <w:tc>
          <w:tcPr>
            <w:tcW w:w="851"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四氯化碳</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0.002</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p>
        </w:tc>
        <w:tc>
          <w:tcPr>
            <w:tcW w:w="992" w:type="dxa"/>
            <w:vAlign w:val="center"/>
          </w:tcPr>
          <w:p>
            <w:pPr>
              <w:pStyle w:val="72"/>
              <w:rPr>
                <w:rFonts w:asciiTheme="minorHAnsi" w:hAnsiTheme="minorHAnsi" w:eastAsiaTheme="minorEastAsia"/>
                <w:lang w:eastAsia="en-US"/>
              </w:rPr>
            </w:pPr>
          </w:p>
        </w:tc>
        <w:tc>
          <w:tcPr>
            <w:tcW w:w="993" w:type="dxa"/>
            <w:vAlign w:val="center"/>
          </w:tcPr>
          <w:p>
            <w:pPr>
              <w:pStyle w:val="72"/>
              <w:rPr>
                <w:rFonts w:asciiTheme="minorHAnsi" w:hAnsiTheme="minorHAnsi" w:eastAsiaTheme="minorEastAsia"/>
                <w:lang w:eastAsia="en-US"/>
              </w:rPr>
            </w:pPr>
          </w:p>
        </w:tc>
        <w:tc>
          <w:tcPr>
            <w:tcW w:w="1134" w:type="dxa"/>
            <w:vAlign w:val="center"/>
          </w:tcPr>
          <w:p>
            <w:pPr>
              <w:pStyle w:val="72"/>
              <w:rPr>
                <w:rFonts w:asciiTheme="minorHAnsi" w:hAnsiTheme="minorHAnsi" w:eastAsiaTheme="minorEastAsia"/>
                <w:lang w:eastAsia="en-US"/>
              </w:rPr>
            </w:pP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57" w:hRule="exact"/>
        </w:trPr>
        <w:tc>
          <w:tcPr>
            <w:tcW w:w="851"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溴酸盐</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0.01</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p>
        </w:tc>
        <w:tc>
          <w:tcPr>
            <w:tcW w:w="992" w:type="dxa"/>
            <w:vAlign w:val="center"/>
          </w:tcPr>
          <w:p>
            <w:pPr>
              <w:pStyle w:val="72"/>
              <w:rPr>
                <w:rFonts w:asciiTheme="minorHAnsi" w:hAnsiTheme="minorHAnsi" w:eastAsiaTheme="minorEastAsia"/>
                <w:lang w:eastAsia="en-US"/>
              </w:rPr>
            </w:pPr>
          </w:p>
        </w:tc>
        <w:tc>
          <w:tcPr>
            <w:tcW w:w="993" w:type="dxa"/>
            <w:vAlign w:val="center"/>
          </w:tcPr>
          <w:p>
            <w:pPr>
              <w:pStyle w:val="72"/>
              <w:rPr>
                <w:rFonts w:asciiTheme="minorHAnsi" w:hAnsiTheme="minorHAnsi" w:eastAsiaTheme="minorEastAsia"/>
                <w:lang w:eastAsia="en-US"/>
              </w:rPr>
            </w:pPr>
          </w:p>
        </w:tc>
        <w:tc>
          <w:tcPr>
            <w:tcW w:w="1134" w:type="dxa"/>
            <w:vAlign w:val="center"/>
          </w:tcPr>
          <w:p>
            <w:pPr>
              <w:pStyle w:val="72"/>
              <w:rPr>
                <w:rFonts w:asciiTheme="minorHAnsi" w:hAnsiTheme="minorHAnsi" w:eastAsiaTheme="minorEastAsia"/>
                <w:lang w:eastAsia="en-US"/>
              </w:rPr>
            </w:pP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2" w:hRule="exact"/>
        </w:trPr>
        <w:tc>
          <w:tcPr>
            <w:tcW w:w="851"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甲醛</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0.9</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p>
        </w:tc>
        <w:tc>
          <w:tcPr>
            <w:tcW w:w="992" w:type="dxa"/>
            <w:vAlign w:val="center"/>
          </w:tcPr>
          <w:p>
            <w:pPr>
              <w:pStyle w:val="72"/>
              <w:rPr>
                <w:rFonts w:asciiTheme="minorHAnsi" w:hAnsiTheme="minorHAnsi" w:eastAsiaTheme="minorEastAsia"/>
                <w:lang w:eastAsia="en-US"/>
              </w:rPr>
            </w:pPr>
          </w:p>
        </w:tc>
        <w:tc>
          <w:tcPr>
            <w:tcW w:w="993" w:type="dxa"/>
            <w:vAlign w:val="center"/>
          </w:tcPr>
          <w:p>
            <w:pPr>
              <w:pStyle w:val="72"/>
              <w:rPr>
                <w:rFonts w:asciiTheme="minorHAnsi" w:hAnsiTheme="minorHAnsi" w:eastAsiaTheme="minorEastAsia"/>
                <w:lang w:eastAsia="en-US"/>
              </w:rPr>
            </w:pPr>
          </w:p>
        </w:tc>
        <w:tc>
          <w:tcPr>
            <w:tcW w:w="1134" w:type="dxa"/>
            <w:vAlign w:val="center"/>
          </w:tcPr>
          <w:p>
            <w:pPr>
              <w:pStyle w:val="72"/>
              <w:rPr>
                <w:rFonts w:asciiTheme="minorHAnsi" w:hAnsiTheme="minorHAnsi" w:eastAsiaTheme="minorEastAsia"/>
                <w:lang w:eastAsia="en-US"/>
              </w:rPr>
            </w:pPr>
          </w:p>
        </w:tc>
      </w:tr>
      <w:tr>
        <w:tblPrEx>
          <w:tblBorders>
            <w:top w:val="none" w:color="auto" w:sz="0" w:space="0"/>
            <w:left w:val="single" w:color="000000" w:sz="18" w:space="0"/>
            <w:bottom w:val="none" w:color="auto" w:sz="0"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2" w:hRule="exact"/>
        </w:trPr>
        <w:tc>
          <w:tcPr>
            <w:tcW w:w="851"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亚氯酸盐</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0.7</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p>
        </w:tc>
        <w:tc>
          <w:tcPr>
            <w:tcW w:w="992" w:type="dxa"/>
            <w:vAlign w:val="center"/>
          </w:tcPr>
          <w:p>
            <w:pPr>
              <w:pStyle w:val="72"/>
              <w:rPr>
                <w:rFonts w:asciiTheme="minorHAnsi" w:hAnsiTheme="minorHAnsi" w:eastAsiaTheme="minorEastAsia"/>
                <w:lang w:eastAsia="en-US"/>
              </w:rPr>
            </w:pPr>
          </w:p>
        </w:tc>
        <w:tc>
          <w:tcPr>
            <w:tcW w:w="993" w:type="dxa"/>
            <w:vAlign w:val="center"/>
          </w:tcPr>
          <w:p>
            <w:pPr>
              <w:pStyle w:val="72"/>
              <w:rPr>
                <w:rFonts w:asciiTheme="minorHAnsi" w:hAnsiTheme="minorHAnsi" w:eastAsiaTheme="minorEastAsia"/>
                <w:lang w:eastAsia="en-US"/>
              </w:rPr>
            </w:pPr>
          </w:p>
        </w:tc>
        <w:tc>
          <w:tcPr>
            <w:tcW w:w="1134" w:type="dxa"/>
            <w:vAlign w:val="center"/>
          </w:tcPr>
          <w:p>
            <w:pPr>
              <w:pStyle w:val="72"/>
              <w:rPr>
                <w:rFonts w:asciiTheme="minorHAnsi" w:hAnsiTheme="minorHAnsi" w:eastAsiaTheme="minorEastAsia"/>
                <w:lang w:eastAsia="en-US"/>
              </w:rPr>
            </w:pPr>
          </w:p>
        </w:tc>
      </w:tr>
    </w:tbl>
    <w:tbl>
      <w:tblPr>
        <w:tblStyle w:val="88"/>
        <w:tblW w:w="9338" w:type="dxa"/>
        <w:tblInd w:w="165" w:type="dxa"/>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833"/>
        <w:gridCol w:w="1842"/>
        <w:gridCol w:w="1134"/>
        <w:gridCol w:w="1276"/>
        <w:gridCol w:w="1134"/>
        <w:gridCol w:w="994"/>
        <w:gridCol w:w="1009"/>
        <w:gridCol w:w="1116"/>
      </w:tblGrid>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2" w:hRule="exact"/>
        </w:trPr>
        <w:tc>
          <w:tcPr>
            <w:tcW w:w="833" w:type="dxa"/>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氯酸盐</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0.7</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mg/l</w:t>
            </w:r>
          </w:p>
        </w:tc>
        <w:tc>
          <w:tcPr>
            <w:tcW w:w="1134" w:type="dxa"/>
            <w:vAlign w:val="center"/>
          </w:tcPr>
          <w:p>
            <w:pPr>
              <w:pStyle w:val="72"/>
              <w:rPr>
                <w:rFonts w:asciiTheme="minorHAnsi" w:hAnsiTheme="minorHAnsi" w:eastAsiaTheme="minorEastAsia"/>
                <w:lang w:eastAsia="en-US"/>
              </w:rPr>
            </w:pPr>
          </w:p>
        </w:tc>
        <w:tc>
          <w:tcPr>
            <w:tcW w:w="994" w:type="dxa"/>
            <w:vAlign w:val="center"/>
          </w:tcPr>
          <w:p>
            <w:pPr>
              <w:pStyle w:val="72"/>
              <w:rPr>
                <w:rFonts w:asciiTheme="minorHAnsi" w:hAnsiTheme="minorHAnsi" w:eastAsiaTheme="minorEastAsia"/>
                <w:lang w:eastAsia="en-US"/>
              </w:rPr>
            </w:pPr>
          </w:p>
        </w:tc>
        <w:tc>
          <w:tcPr>
            <w:tcW w:w="1009" w:type="dxa"/>
            <w:vAlign w:val="center"/>
          </w:tcPr>
          <w:p>
            <w:pPr>
              <w:pStyle w:val="72"/>
              <w:rPr>
                <w:rFonts w:asciiTheme="minorHAnsi" w:hAnsiTheme="minorHAnsi" w:eastAsiaTheme="minorEastAsia"/>
                <w:lang w:eastAsia="en-US"/>
              </w:rPr>
            </w:pPr>
          </w:p>
        </w:tc>
        <w:tc>
          <w:tcPr>
            <w:tcW w:w="1116" w:type="dxa"/>
            <w:vAlign w:val="center"/>
          </w:tcPr>
          <w:p>
            <w:pPr>
              <w:pStyle w:val="72"/>
              <w:rPr>
                <w:rFonts w:asciiTheme="minorHAnsi" w:hAnsiTheme="minorHAnsi" w:eastAsiaTheme="minorEastAsia"/>
                <w:lang w:eastAsia="en-US"/>
              </w:rPr>
            </w:pP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57" w:hRule="exact"/>
        </w:trPr>
        <w:tc>
          <w:tcPr>
            <w:tcW w:w="833" w:type="dxa"/>
            <w:vMerge w:val="restart"/>
            <w:vAlign w:val="center"/>
          </w:tcPr>
          <w:p>
            <w:pPr>
              <w:pStyle w:val="72"/>
              <w:rPr>
                <w:rFonts w:asciiTheme="minorHAnsi" w:hAnsiTheme="minorHAnsi" w:eastAsiaTheme="minorEastAsia"/>
                <w:lang w:eastAsia="en-US"/>
              </w:rPr>
            </w:pPr>
          </w:p>
          <w:p>
            <w:pPr>
              <w:pStyle w:val="72"/>
              <w:rPr>
                <w:rFonts w:asciiTheme="minorHAnsi" w:hAnsiTheme="minorHAnsi" w:eastAsiaTheme="minorEastAsia"/>
                <w:lang w:eastAsia="en-US"/>
              </w:rPr>
            </w:pPr>
          </w:p>
          <w:p>
            <w:pPr>
              <w:pStyle w:val="72"/>
              <w:rPr>
                <w:rFonts w:asciiTheme="minorHAnsi" w:hAnsiTheme="minorHAnsi" w:eastAsiaTheme="minorEastAsia"/>
                <w:lang w:eastAsia="en-US"/>
              </w:rPr>
            </w:pPr>
            <w:r>
              <w:rPr>
                <w:rFonts w:asciiTheme="minorHAnsi" w:hAnsiTheme="minorHAnsi" w:eastAsiaTheme="minorEastAsia"/>
                <w:lang w:eastAsia="en-US"/>
              </w:rPr>
              <w:t>微生物</w:t>
            </w:r>
          </w:p>
          <w:p>
            <w:pPr>
              <w:pStyle w:val="72"/>
              <w:rPr>
                <w:rFonts w:asciiTheme="minorHAnsi" w:hAnsiTheme="minorHAnsi" w:eastAsiaTheme="minorEastAsia"/>
                <w:lang w:eastAsia="en-US"/>
              </w:rPr>
            </w:pPr>
          </w:p>
          <w:p>
            <w:pPr>
              <w:pStyle w:val="72"/>
              <w:rPr>
                <w:rFonts w:asciiTheme="minorHAnsi" w:hAnsiTheme="minorHAnsi" w:eastAsiaTheme="minorEastAsia"/>
                <w:lang w:eastAsia="en-US"/>
              </w:rPr>
            </w:pPr>
            <w:r>
              <w:rPr>
                <w:rFonts w:asciiTheme="minorHAnsi" w:hAnsiTheme="minorHAnsi" w:eastAsiaTheme="minorEastAsia"/>
                <w:lang w:eastAsia="en-US"/>
              </w:rPr>
              <w:t>指标</w:t>
            </w: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总大肠菌群</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不得检出</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CFU/100mL</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未检出</w:t>
            </w:r>
          </w:p>
        </w:tc>
        <w:tc>
          <w:tcPr>
            <w:tcW w:w="99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未检出</w:t>
            </w:r>
          </w:p>
        </w:tc>
        <w:tc>
          <w:tcPr>
            <w:tcW w:w="1009"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未检出</w:t>
            </w:r>
          </w:p>
        </w:tc>
        <w:tc>
          <w:tcPr>
            <w:tcW w:w="111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未检出</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2" w:hRule="exact"/>
        </w:trPr>
        <w:tc>
          <w:tcPr>
            <w:tcW w:w="833"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耐热大肠菌群</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不得检出</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CFU/100mL</w:t>
            </w:r>
          </w:p>
        </w:tc>
        <w:tc>
          <w:tcPr>
            <w:tcW w:w="1134" w:type="dxa"/>
            <w:vAlign w:val="center"/>
          </w:tcPr>
          <w:p>
            <w:pPr>
              <w:pStyle w:val="72"/>
              <w:rPr>
                <w:rFonts w:asciiTheme="minorHAnsi" w:hAnsiTheme="minorHAnsi" w:eastAsiaTheme="minorEastAsia"/>
                <w:lang w:eastAsia="en-US"/>
              </w:rPr>
            </w:pPr>
          </w:p>
        </w:tc>
        <w:tc>
          <w:tcPr>
            <w:tcW w:w="994" w:type="dxa"/>
            <w:vAlign w:val="center"/>
          </w:tcPr>
          <w:p>
            <w:pPr>
              <w:pStyle w:val="72"/>
              <w:rPr>
                <w:rFonts w:asciiTheme="minorHAnsi" w:hAnsiTheme="minorHAnsi" w:eastAsiaTheme="minorEastAsia"/>
                <w:lang w:eastAsia="en-US"/>
              </w:rPr>
            </w:pPr>
          </w:p>
        </w:tc>
        <w:tc>
          <w:tcPr>
            <w:tcW w:w="1009" w:type="dxa"/>
            <w:vAlign w:val="center"/>
          </w:tcPr>
          <w:p>
            <w:pPr>
              <w:pStyle w:val="72"/>
              <w:rPr>
                <w:rFonts w:asciiTheme="minorHAnsi" w:hAnsiTheme="minorHAnsi" w:eastAsiaTheme="minorEastAsia"/>
                <w:lang w:eastAsia="en-US"/>
              </w:rPr>
            </w:pPr>
          </w:p>
        </w:tc>
        <w:tc>
          <w:tcPr>
            <w:tcW w:w="1116" w:type="dxa"/>
            <w:vAlign w:val="center"/>
          </w:tcPr>
          <w:p>
            <w:pPr>
              <w:pStyle w:val="72"/>
              <w:rPr>
                <w:rFonts w:asciiTheme="minorHAnsi" w:hAnsiTheme="minorHAnsi" w:eastAsiaTheme="minorEastAsia"/>
                <w:lang w:eastAsia="en-US"/>
              </w:rPr>
            </w:pP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2" w:hRule="exact"/>
        </w:trPr>
        <w:tc>
          <w:tcPr>
            <w:tcW w:w="833"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大肠埃希氏菌</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不得检出</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CFU/100mL</w:t>
            </w:r>
          </w:p>
        </w:tc>
        <w:tc>
          <w:tcPr>
            <w:tcW w:w="1134" w:type="dxa"/>
            <w:vAlign w:val="center"/>
          </w:tcPr>
          <w:p>
            <w:pPr>
              <w:pStyle w:val="72"/>
              <w:rPr>
                <w:rFonts w:asciiTheme="minorHAnsi" w:hAnsiTheme="minorHAnsi" w:eastAsiaTheme="minorEastAsia"/>
                <w:lang w:eastAsia="en-US"/>
              </w:rPr>
            </w:pPr>
          </w:p>
        </w:tc>
        <w:tc>
          <w:tcPr>
            <w:tcW w:w="994" w:type="dxa"/>
            <w:vAlign w:val="center"/>
          </w:tcPr>
          <w:p>
            <w:pPr>
              <w:pStyle w:val="72"/>
              <w:rPr>
                <w:rFonts w:asciiTheme="minorHAnsi" w:hAnsiTheme="minorHAnsi" w:eastAsiaTheme="minorEastAsia"/>
                <w:lang w:eastAsia="en-US"/>
              </w:rPr>
            </w:pPr>
          </w:p>
        </w:tc>
        <w:tc>
          <w:tcPr>
            <w:tcW w:w="1009" w:type="dxa"/>
            <w:vAlign w:val="center"/>
          </w:tcPr>
          <w:p>
            <w:pPr>
              <w:pStyle w:val="72"/>
              <w:rPr>
                <w:rFonts w:asciiTheme="minorHAnsi" w:hAnsiTheme="minorHAnsi" w:eastAsiaTheme="minorEastAsia"/>
                <w:lang w:eastAsia="en-US"/>
              </w:rPr>
            </w:pPr>
          </w:p>
        </w:tc>
        <w:tc>
          <w:tcPr>
            <w:tcW w:w="1116" w:type="dxa"/>
            <w:vAlign w:val="center"/>
          </w:tcPr>
          <w:p>
            <w:pPr>
              <w:pStyle w:val="72"/>
              <w:rPr>
                <w:rFonts w:asciiTheme="minorHAnsi" w:hAnsiTheme="minorHAnsi" w:eastAsiaTheme="minorEastAsia"/>
                <w:lang w:eastAsia="en-US"/>
              </w:rPr>
            </w:pP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2" w:hRule="exact"/>
        </w:trPr>
        <w:tc>
          <w:tcPr>
            <w:tcW w:w="833"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菌落总数</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100</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CFU/mL</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未检出</w:t>
            </w:r>
          </w:p>
        </w:tc>
        <w:tc>
          <w:tcPr>
            <w:tcW w:w="99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未检出</w:t>
            </w:r>
          </w:p>
        </w:tc>
        <w:tc>
          <w:tcPr>
            <w:tcW w:w="1009"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14</w:t>
            </w:r>
          </w:p>
        </w:tc>
        <w:tc>
          <w:tcPr>
            <w:tcW w:w="111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1</w:t>
            </w: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59" w:hRule="exact"/>
        </w:trPr>
        <w:tc>
          <w:tcPr>
            <w:tcW w:w="833" w:type="dxa"/>
            <w:vMerge w:val="restart"/>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放射性</w:t>
            </w:r>
          </w:p>
          <w:p>
            <w:pPr>
              <w:pStyle w:val="72"/>
              <w:rPr>
                <w:rFonts w:asciiTheme="minorHAnsi" w:hAnsiTheme="minorHAnsi" w:eastAsiaTheme="minorEastAsia"/>
                <w:lang w:eastAsia="en-US"/>
              </w:rPr>
            </w:pPr>
          </w:p>
          <w:p>
            <w:pPr>
              <w:pStyle w:val="72"/>
              <w:rPr>
                <w:rFonts w:asciiTheme="minorHAnsi" w:hAnsiTheme="minorHAnsi" w:eastAsiaTheme="minorEastAsia"/>
                <w:sz w:val="24"/>
                <w:lang w:eastAsia="en-US"/>
              </w:rPr>
            </w:pPr>
            <w:r>
              <w:rPr>
                <w:rFonts w:asciiTheme="minorHAnsi" w:hAnsiTheme="minorHAnsi" w:eastAsiaTheme="minorEastAsia"/>
                <w:lang w:eastAsia="en-US"/>
              </w:rPr>
              <w:t>指标</w:t>
            </w: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总α放射性</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0.5</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Bq/L</w:t>
            </w:r>
          </w:p>
        </w:tc>
        <w:tc>
          <w:tcPr>
            <w:tcW w:w="1134" w:type="dxa"/>
            <w:vAlign w:val="center"/>
          </w:tcPr>
          <w:p>
            <w:pPr>
              <w:pStyle w:val="72"/>
              <w:rPr>
                <w:rFonts w:asciiTheme="minorHAnsi" w:hAnsiTheme="minorHAnsi" w:eastAsiaTheme="minorEastAsia"/>
                <w:lang w:eastAsia="en-US"/>
              </w:rPr>
            </w:pPr>
          </w:p>
        </w:tc>
        <w:tc>
          <w:tcPr>
            <w:tcW w:w="994" w:type="dxa"/>
            <w:vAlign w:val="center"/>
          </w:tcPr>
          <w:p>
            <w:pPr>
              <w:pStyle w:val="72"/>
              <w:rPr>
                <w:rFonts w:asciiTheme="minorHAnsi" w:hAnsiTheme="minorHAnsi" w:eastAsiaTheme="minorEastAsia"/>
                <w:lang w:eastAsia="en-US"/>
              </w:rPr>
            </w:pPr>
          </w:p>
        </w:tc>
        <w:tc>
          <w:tcPr>
            <w:tcW w:w="1009" w:type="dxa"/>
            <w:vAlign w:val="center"/>
          </w:tcPr>
          <w:p>
            <w:pPr>
              <w:pStyle w:val="72"/>
              <w:rPr>
                <w:rFonts w:asciiTheme="minorHAnsi" w:hAnsiTheme="minorHAnsi" w:eastAsiaTheme="minorEastAsia"/>
                <w:lang w:eastAsia="en-US"/>
              </w:rPr>
            </w:pPr>
          </w:p>
        </w:tc>
        <w:tc>
          <w:tcPr>
            <w:tcW w:w="1116" w:type="dxa"/>
            <w:vAlign w:val="center"/>
          </w:tcPr>
          <w:p>
            <w:pPr>
              <w:pStyle w:val="72"/>
              <w:rPr>
                <w:rFonts w:asciiTheme="minorHAnsi" w:hAnsiTheme="minorHAnsi" w:eastAsiaTheme="minorEastAsia"/>
                <w:lang w:eastAsia="en-US"/>
              </w:rPr>
            </w:pPr>
          </w:p>
        </w:tc>
      </w:tr>
      <w:tr>
        <w:tblPrEx>
          <w:tblBorders>
            <w:top w:val="none" w:color="auto" w:sz="0"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564" w:hRule="exact"/>
        </w:trPr>
        <w:tc>
          <w:tcPr>
            <w:tcW w:w="833" w:type="dxa"/>
            <w:vMerge w:val="continue"/>
            <w:vAlign w:val="center"/>
          </w:tcPr>
          <w:p>
            <w:pPr>
              <w:pStyle w:val="72"/>
              <w:rPr>
                <w:rFonts w:asciiTheme="minorHAnsi" w:hAnsiTheme="minorHAnsi" w:eastAsiaTheme="minorEastAsia"/>
                <w:lang w:eastAsia="en-US"/>
              </w:rPr>
            </w:pPr>
          </w:p>
        </w:tc>
        <w:tc>
          <w:tcPr>
            <w:tcW w:w="1842"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总β放射性</w:t>
            </w:r>
          </w:p>
        </w:tc>
        <w:tc>
          <w:tcPr>
            <w:tcW w:w="1134"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1</w:t>
            </w:r>
          </w:p>
        </w:tc>
        <w:tc>
          <w:tcPr>
            <w:tcW w:w="1276" w:type="dxa"/>
            <w:vAlign w:val="center"/>
          </w:tcPr>
          <w:p>
            <w:pPr>
              <w:pStyle w:val="72"/>
              <w:rPr>
                <w:rFonts w:asciiTheme="minorHAnsi" w:hAnsiTheme="minorHAnsi" w:eastAsiaTheme="minorEastAsia"/>
                <w:lang w:eastAsia="en-US"/>
              </w:rPr>
            </w:pPr>
            <w:r>
              <w:rPr>
                <w:rFonts w:asciiTheme="minorHAnsi" w:hAnsiTheme="minorHAnsi" w:eastAsiaTheme="minorEastAsia"/>
                <w:lang w:eastAsia="en-US"/>
              </w:rPr>
              <w:t>Bq/L</w:t>
            </w:r>
          </w:p>
        </w:tc>
        <w:tc>
          <w:tcPr>
            <w:tcW w:w="1134" w:type="dxa"/>
            <w:vAlign w:val="center"/>
          </w:tcPr>
          <w:p>
            <w:pPr>
              <w:pStyle w:val="72"/>
              <w:rPr>
                <w:rFonts w:asciiTheme="minorHAnsi" w:hAnsiTheme="minorHAnsi" w:eastAsiaTheme="minorEastAsia"/>
                <w:lang w:eastAsia="en-US"/>
              </w:rPr>
            </w:pPr>
          </w:p>
        </w:tc>
        <w:tc>
          <w:tcPr>
            <w:tcW w:w="994" w:type="dxa"/>
            <w:vAlign w:val="center"/>
          </w:tcPr>
          <w:p>
            <w:pPr>
              <w:pStyle w:val="72"/>
              <w:rPr>
                <w:rFonts w:asciiTheme="minorHAnsi" w:hAnsiTheme="minorHAnsi" w:eastAsiaTheme="minorEastAsia"/>
                <w:lang w:eastAsia="en-US"/>
              </w:rPr>
            </w:pPr>
          </w:p>
        </w:tc>
        <w:tc>
          <w:tcPr>
            <w:tcW w:w="1009" w:type="dxa"/>
            <w:vAlign w:val="center"/>
          </w:tcPr>
          <w:p>
            <w:pPr>
              <w:pStyle w:val="72"/>
              <w:rPr>
                <w:rFonts w:asciiTheme="minorHAnsi" w:hAnsiTheme="minorHAnsi" w:eastAsiaTheme="minorEastAsia"/>
                <w:lang w:eastAsia="en-US"/>
              </w:rPr>
            </w:pPr>
          </w:p>
        </w:tc>
        <w:tc>
          <w:tcPr>
            <w:tcW w:w="1116" w:type="dxa"/>
            <w:vAlign w:val="center"/>
          </w:tcPr>
          <w:p>
            <w:pPr>
              <w:pStyle w:val="72"/>
              <w:rPr>
                <w:rFonts w:asciiTheme="minorHAnsi" w:hAnsiTheme="minorHAnsi" w:eastAsiaTheme="minorEastAsia"/>
                <w:lang w:eastAsia="en-US"/>
              </w:rPr>
            </w:pPr>
          </w:p>
        </w:tc>
      </w:tr>
    </w:tbl>
    <w:p>
      <w:pPr>
        <w:pStyle w:val="16"/>
        <w:kinsoku w:val="0"/>
        <w:overflowPunct w:val="0"/>
        <w:spacing w:line="360" w:lineRule="auto"/>
        <w:ind w:right="106" w:firstLine="592"/>
        <w:jc w:val="both"/>
        <w:rPr>
          <w:rFonts w:cs="Times New Roman"/>
          <w:spacing w:val="16"/>
        </w:rPr>
      </w:pPr>
      <w:r>
        <w:rPr>
          <w:rFonts w:hint="eastAsia" w:cs="Times New Roman"/>
          <w:spacing w:val="16"/>
        </w:rPr>
        <w:t>由上表分析可知，淮北市现状地下水水源井出水水质，除个别井个别指标外，均能满足《生活饮用水卫生标准》（GB 5749-2006）的要求。</w:t>
      </w:r>
    </w:p>
    <w:p>
      <w:pPr>
        <w:pStyle w:val="4"/>
      </w:pPr>
      <w:bookmarkStart w:id="96" w:name="_Toc8032517"/>
      <w:r>
        <w:rPr>
          <w:rFonts w:hint="eastAsia"/>
        </w:rPr>
        <w:t xml:space="preserve">2.3.4  </w:t>
      </w:r>
      <w:r>
        <w:t>自备水源</w:t>
      </w:r>
      <w:r>
        <w:rPr>
          <w:rFonts w:hint="eastAsia"/>
        </w:rPr>
        <w:t>情况</w:t>
      </w:r>
      <w:bookmarkEnd w:id="96"/>
    </w:p>
    <w:p>
      <w:pPr>
        <w:pStyle w:val="16"/>
        <w:kinsoku w:val="0"/>
        <w:overflowPunct w:val="0"/>
        <w:spacing w:line="360" w:lineRule="auto"/>
        <w:ind w:right="106" w:firstLine="592"/>
        <w:jc w:val="both"/>
        <w:rPr>
          <w:rFonts w:cs="Times New Roman"/>
          <w:spacing w:val="16"/>
        </w:rPr>
      </w:pPr>
      <w:r>
        <w:rPr>
          <w:rFonts w:cs="Times New Roman"/>
          <w:spacing w:val="16"/>
        </w:rPr>
        <w:t>201</w:t>
      </w:r>
      <w:r>
        <w:rPr>
          <w:rFonts w:hint="eastAsia" w:cs="Times New Roman"/>
          <w:spacing w:val="16"/>
        </w:rPr>
        <w:t>7年自备水源实际供水量3668.9万</w:t>
      </w:r>
      <w:r>
        <w:rPr>
          <w:rFonts w:cs="Times New Roman"/>
          <w:spacing w:val="16"/>
        </w:rPr>
        <w:t>m</w:t>
      </w:r>
      <w:r>
        <w:rPr>
          <w:rFonts w:cs="Times New Roman"/>
          <w:spacing w:val="16"/>
          <w:vertAlign w:val="superscript"/>
        </w:rPr>
        <w:t>3</w:t>
      </w:r>
      <w:r>
        <w:rPr>
          <w:rFonts w:hint="eastAsia" w:cs="Times New Roman"/>
          <w:spacing w:val="16"/>
        </w:rPr>
        <w:t>，即</w:t>
      </w:r>
      <w:r>
        <w:rPr>
          <w:rFonts w:cs="Times New Roman"/>
          <w:spacing w:val="16"/>
        </w:rPr>
        <w:t>13.</w:t>
      </w:r>
      <w:r>
        <w:rPr>
          <w:rFonts w:hint="eastAsia" w:cs="Times New Roman"/>
          <w:spacing w:val="16"/>
        </w:rPr>
        <w:t>07万</w:t>
      </w:r>
      <w:r>
        <w:rPr>
          <w:rFonts w:cs="Times New Roman"/>
          <w:spacing w:val="16"/>
        </w:rPr>
        <w:t>m</w:t>
      </w:r>
      <w:r>
        <w:rPr>
          <w:rFonts w:cs="Times New Roman"/>
          <w:spacing w:val="16"/>
          <w:vertAlign w:val="superscript"/>
        </w:rPr>
        <w:t>3</w:t>
      </w:r>
      <w:r>
        <w:rPr>
          <w:rFonts w:cs="Times New Roman"/>
          <w:spacing w:val="16"/>
        </w:rPr>
        <w:t>/d</w:t>
      </w:r>
      <w:r>
        <w:rPr>
          <w:rFonts w:hint="eastAsia" w:cs="Times New Roman"/>
          <w:spacing w:val="16"/>
        </w:rPr>
        <w:t>（最高日，按日变化系数</w:t>
      </w:r>
      <w:r>
        <w:rPr>
          <w:rFonts w:cs="Times New Roman"/>
          <w:spacing w:val="16"/>
        </w:rPr>
        <w:t xml:space="preserve">1.3 </w:t>
      </w:r>
      <w:r>
        <w:rPr>
          <w:rFonts w:hint="eastAsia" w:cs="Times New Roman"/>
          <w:spacing w:val="16"/>
        </w:rPr>
        <w:t>计算）。</w:t>
      </w:r>
      <w:r>
        <w:rPr>
          <w:rFonts w:cs="Times New Roman"/>
          <w:spacing w:val="16"/>
        </w:rPr>
        <w:t>201</w:t>
      </w:r>
      <w:r>
        <w:rPr>
          <w:rFonts w:hint="eastAsia" w:cs="Times New Roman"/>
          <w:spacing w:val="16"/>
        </w:rPr>
        <w:t>7</w:t>
      </w:r>
      <w:r>
        <w:rPr>
          <w:rFonts w:cs="Times New Roman"/>
          <w:spacing w:val="16"/>
        </w:rPr>
        <w:t xml:space="preserve"> </w:t>
      </w:r>
      <w:r>
        <w:rPr>
          <w:rFonts w:hint="eastAsia" w:cs="Times New Roman"/>
          <w:spacing w:val="16"/>
        </w:rPr>
        <w:t>年城市公共供水范围内主要自备井单位详见下表：</w:t>
      </w:r>
    </w:p>
    <w:p>
      <w:pPr>
        <w:pStyle w:val="16"/>
        <w:spacing w:line="360" w:lineRule="auto"/>
        <w:ind w:firstLine="2530" w:firstLineChars="1050"/>
        <w:rPr>
          <w:b/>
          <w:sz w:val="24"/>
        </w:rPr>
      </w:pPr>
      <w:r>
        <w:rPr>
          <w:rFonts w:hint="eastAsia" w:cs="Times New Roman"/>
          <w:b/>
          <w:sz w:val="24"/>
        </w:rPr>
        <w:t xml:space="preserve">表2-13    </w:t>
      </w:r>
      <w:r>
        <w:rPr>
          <w:rFonts w:hint="eastAsia"/>
          <w:b/>
          <w:sz w:val="24"/>
        </w:rPr>
        <w:t>城市公共供水范围内自备井单位明细表</w:t>
      </w:r>
    </w:p>
    <w:tbl>
      <w:tblPr>
        <w:tblStyle w:val="67"/>
        <w:tblW w:w="10060" w:type="dxa"/>
        <w:jc w:val="center"/>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881"/>
        <w:gridCol w:w="4235"/>
        <w:gridCol w:w="2473"/>
        <w:gridCol w:w="2471"/>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881" w:type="dxa"/>
            <w:vAlign w:val="center"/>
          </w:tcPr>
          <w:p>
            <w:pPr>
              <w:pStyle w:val="72"/>
              <w:rPr>
                <w:rFonts w:asciiTheme="minorHAnsi" w:hAnsiTheme="minorHAnsi" w:eastAsiaTheme="minorEastAsia"/>
              </w:rPr>
            </w:pPr>
            <w:r>
              <w:rPr>
                <w:rFonts w:asciiTheme="minorHAnsi" w:hAnsiTheme="minorHAnsi" w:eastAsiaTheme="minorEastAsia"/>
              </w:rPr>
              <w:t>序号</w:t>
            </w:r>
          </w:p>
        </w:tc>
        <w:tc>
          <w:tcPr>
            <w:tcW w:w="4235" w:type="dxa"/>
            <w:vAlign w:val="center"/>
          </w:tcPr>
          <w:p>
            <w:pPr>
              <w:pStyle w:val="72"/>
              <w:rPr>
                <w:rFonts w:asciiTheme="minorHAnsi" w:hAnsiTheme="minorHAnsi" w:eastAsiaTheme="minorEastAsia"/>
              </w:rPr>
            </w:pPr>
            <w:r>
              <w:rPr>
                <w:rFonts w:asciiTheme="minorHAnsi" w:hAnsiTheme="minorHAnsi" w:eastAsiaTheme="minorEastAsia"/>
              </w:rPr>
              <w:t>单位名称</w:t>
            </w:r>
          </w:p>
        </w:tc>
        <w:tc>
          <w:tcPr>
            <w:tcW w:w="2473" w:type="dxa"/>
            <w:vAlign w:val="center"/>
          </w:tcPr>
          <w:p>
            <w:pPr>
              <w:pStyle w:val="72"/>
              <w:rPr>
                <w:rFonts w:asciiTheme="minorHAnsi" w:hAnsiTheme="minorHAnsi" w:eastAsiaTheme="minorEastAsia"/>
              </w:rPr>
            </w:pPr>
            <w:r>
              <w:rPr>
                <w:rFonts w:asciiTheme="minorHAnsi" w:hAnsiTheme="minorHAnsi" w:eastAsiaTheme="minorEastAsia"/>
              </w:rPr>
              <w:t>行业类型</w:t>
            </w:r>
          </w:p>
        </w:tc>
        <w:tc>
          <w:tcPr>
            <w:tcW w:w="2471" w:type="dxa"/>
            <w:vAlign w:val="center"/>
          </w:tcPr>
          <w:p>
            <w:pPr>
              <w:pStyle w:val="72"/>
              <w:rPr>
                <w:rFonts w:asciiTheme="minorHAnsi" w:hAnsiTheme="minorHAnsi" w:eastAsiaTheme="minorEastAsia"/>
              </w:rPr>
            </w:pPr>
            <w:r>
              <w:rPr>
                <w:rFonts w:asciiTheme="minorHAnsi" w:hAnsiTheme="minorHAnsi" w:eastAsiaTheme="minorEastAsia"/>
              </w:rPr>
              <w:t>所属区域</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13" w:hRule="exact"/>
          <w:jc w:val="center"/>
        </w:trPr>
        <w:tc>
          <w:tcPr>
            <w:tcW w:w="881" w:type="dxa"/>
            <w:vAlign w:val="center"/>
          </w:tcPr>
          <w:p>
            <w:pPr>
              <w:pStyle w:val="72"/>
              <w:rPr>
                <w:rFonts w:asciiTheme="minorHAnsi" w:hAnsiTheme="minorHAnsi" w:eastAsiaTheme="minorEastAsia"/>
              </w:rPr>
            </w:pPr>
            <w:r>
              <w:rPr>
                <w:rFonts w:asciiTheme="minorHAnsi" w:hAnsiTheme="minorHAnsi" w:eastAsiaTheme="minorEastAsia"/>
              </w:rPr>
              <w:t>1</w:t>
            </w:r>
          </w:p>
        </w:tc>
        <w:tc>
          <w:tcPr>
            <w:tcW w:w="4235" w:type="dxa"/>
            <w:vAlign w:val="center"/>
          </w:tcPr>
          <w:p>
            <w:pPr>
              <w:pStyle w:val="72"/>
              <w:rPr>
                <w:rFonts w:asciiTheme="minorHAnsi" w:hAnsiTheme="minorHAnsi" w:eastAsiaTheme="minorEastAsia"/>
              </w:rPr>
            </w:pPr>
            <w:r>
              <w:rPr>
                <w:rFonts w:asciiTheme="minorHAnsi" w:hAnsiTheme="minorHAnsi" w:eastAsiaTheme="minorEastAsia"/>
              </w:rPr>
              <w:t>大唐淮北发电厂</w:t>
            </w:r>
          </w:p>
        </w:tc>
        <w:tc>
          <w:tcPr>
            <w:tcW w:w="2473" w:type="dxa"/>
            <w:vAlign w:val="center"/>
          </w:tcPr>
          <w:p>
            <w:pPr>
              <w:pStyle w:val="72"/>
              <w:rPr>
                <w:rFonts w:asciiTheme="minorHAnsi" w:hAnsiTheme="minorHAnsi" w:eastAsiaTheme="minorEastAsia"/>
              </w:rPr>
            </w:pPr>
            <w:r>
              <w:rPr>
                <w:rFonts w:asciiTheme="minorHAnsi" w:hAnsiTheme="minorHAnsi" w:eastAsiaTheme="minorEastAsia"/>
              </w:rPr>
              <w:t>电力</w:t>
            </w:r>
          </w:p>
        </w:tc>
        <w:tc>
          <w:tcPr>
            <w:tcW w:w="2471" w:type="dxa"/>
            <w:vAlign w:val="center"/>
          </w:tcPr>
          <w:p>
            <w:pPr>
              <w:pStyle w:val="72"/>
              <w:rPr>
                <w:rFonts w:asciiTheme="minorHAnsi" w:hAnsiTheme="minorHAnsi" w:eastAsiaTheme="minorEastAsia"/>
              </w:rPr>
            </w:pPr>
            <w:r>
              <w:rPr>
                <w:rFonts w:asciiTheme="minorHAnsi" w:hAnsiTheme="minorHAnsi" w:eastAsiaTheme="minorEastAsia"/>
              </w:rPr>
              <w:t>相山区</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13" w:hRule="exact"/>
          <w:jc w:val="center"/>
        </w:trPr>
        <w:tc>
          <w:tcPr>
            <w:tcW w:w="881" w:type="dxa"/>
            <w:vAlign w:val="center"/>
          </w:tcPr>
          <w:p>
            <w:pPr>
              <w:pStyle w:val="72"/>
              <w:rPr>
                <w:rFonts w:asciiTheme="minorHAnsi" w:hAnsiTheme="minorHAnsi" w:eastAsiaTheme="minorEastAsia"/>
              </w:rPr>
            </w:pPr>
            <w:r>
              <w:rPr>
                <w:rFonts w:asciiTheme="minorHAnsi" w:hAnsiTheme="minorHAnsi" w:eastAsiaTheme="minorEastAsia"/>
              </w:rPr>
              <w:t>2</w:t>
            </w:r>
          </w:p>
        </w:tc>
        <w:tc>
          <w:tcPr>
            <w:tcW w:w="4235" w:type="dxa"/>
            <w:vAlign w:val="center"/>
          </w:tcPr>
          <w:p>
            <w:pPr>
              <w:pStyle w:val="72"/>
              <w:rPr>
                <w:rFonts w:asciiTheme="minorHAnsi" w:hAnsiTheme="minorHAnsi" w:eastAsiaTheme="minorEastAsia"/>
              </w:rPr>
            </w:pPr>
            <w:r>
              <w:rPr>
                <w:rFonts w:hint="eastAsia" w:asciiTheme="minorHAnsi" w:hAnsiTheme="minorHAnsi" w:eastAsiaTheme="minorEastAsia"/>
              </w:rPr>
              <w:t>淮北矿业相山水泥有限公司</w:t>
            </w:r>
          </w:p>
        </w:tc>
        <w:tc>
          <w:tcPr>
            <w:tcW w:w="2473" w:type="dxa"/>
            <w:vAlign w:val="center"/>
          </w:tcPr>
          <w:p>
            <w:pPr>
              <w:pStyle w:val="72"/>
              <w:rPr>
                <w:rFonts w:asciiTheme="minorHAnsi" w:hAnsiTheme="minorHAnsi" w:eastAsiaTheme="minorEastAsia"/>
              </w:rPr>
            </w:pPr>
            <w:r>
              <w:rPr>
                <w:rFonts w:hint="eastAsia" w:asciiTheme="minorHAnsi" w:hAnsiTheme="minorHAnsi" w:eastAsiaTheme="minorEastAsia"/>
              </w:rPr>
              <w:t>水泥</w:t>
            </w:r>
          </w:p>
        </w:tc>
        <w:tc>
          <w:tcPr>
            <w:tcW w:w="2471" w:type="dxa"/>
            <w:vAlign w:val="center"/>
          </w:tcPr>
          <w:p>
            <w:pPr>
              <w:pStyle w:val="72"/>
              <w:rPr>
                <w:rFonts w:asciiTheme="minorHAnsi" w:hAnsiTheme="minorHAnsi" w:eastAsiaTheme="minorEastAsia"/>
              </w:rPr>
            </w:pPr>
            <w:r>
              <w:rPr>
                <w:rFonts w:asciiTheme="minorHAnsi" w:hAnsiTheme="minorHAnsi" w:eastAsiaTheme="minorEastAsia"/>
              </w:rPr>
              <w:t>相山区</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13" w:hRule="exact"/>
          <w:jc w:val="center"/>
        </w:trPr>
        <w:tc>
          <w:tcPr>
            <w:tcW w:w="881" w:type="dxa"/>
            <w:vAlign w:val="center"/>
          </w:tcPr>
          <w:p>
            <w:pPr>
              <w:pStyle w:val="72"/>
              <w:rPr>
                <w:rFonts w:asciiTheme="minorHAnsi" w:hAnsiTheme="minorHAnsi" w:eastAsiaTheme="minorEastAsia"/>
              </w:rPr>
            </w:pPr>
            <w:r>
              <w:rPr>
                <w:rFonts w:asciiTheme="minorHAnsi" w:hAnsiTheme="minorHAnsi" w:eastAsiaTheme="minorEastAsia"/>
              </w:rPr>
              <w:t>3</w:t>
            </w:r>
          </w:p>
        </w:tc>
        <w:tc>
          <w:tcPr>
            <w:tcW w:w="4235" w:type="dxa"/>
            <w:vAlign w:val="center"/>
          </w:tcPr>
          <w:p>
            <w:pPr>
              <w:pStyle w:val="72"/>
              <w:rPr>
                <w:rFonts w:asciiTheme="minorHAnsi" w:hAnsiTheme="minorHAnsi" w:eastAsiaTheme="minorEastAsia"/>
              </w:rPr>
            </w:pPr>
            <w:r>
              <w:rPr>
                <w:rFonts w:hint="eastAsia" w:asciiTheme="minorHAnsi" w:hAnsiTheme="minorHAnsi" w:eastAsiaTheme="minorEastAsia"/>
              </w:rPr>
              <w:t>华润雪花啤酒（淮北）有限公司</w:t>
            </w:r>
          </w:p>
        </w:tc>
        <w:tc>
          <w:tcPr>
            <w:tcW w:w="2473" w:type="dxa"/>
            <w:vAlign w:val="center"/>
          </w:tcPr>
          <w:p>
            <w:pPr>
              <w:pStyle w:val="72"/>
              <w:rPr>
                <w:rFonts w:asciiTheme="minorHAnsi" w:hAnsiTheme="minorHAnsi" w:eastAsiaTheme="minorEastAsia"/>
              </w:rPr>
            </w:pPr>
            <w:r>
              <w:rPr>
                <w:rFonts w:hint="eastAsia" w:asciiTheme="minorHAnsi" w:hAnsiTheme="minorHAnsi" w:eastAsiaTheme="minorEastAsia"/>
              </w:rPr>
              <w:t>酒业</w:t>
            </w:r>
          </w:p>
        </w:tc>
        <w:tc>
          <w:tcPr>
            <w:tcW w:w="2471" w:type="dxa"/>
            <w:vAlign w:val="center"/>
          </w:tcPr>
          <w:p>
            <w:pPr>
              <w:pStyle w:val="72"/>
              <w:rPr>
                <w:rFonts w:asciiTheme="minorHAnsi" w:hAnsiTheme="minorHAnsi" w:eastAsiaTheme="minorEastAsia"/>
              </w:rPr>
            </w:pPr>
            <w:r>
              <w:rPr>
                <w:rFonts w:asciiTheme="minorHAnsi" w:hAnsiTheme="minorHAnsi" w:eastAsiaTheme="minorEastAsia"/>
              </w:rPr>
              <w:t>相山区</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13" w:hRule="exact"/>
          <w:jc w:val="center"/>
        </w:trPr>
        <w:tc>
          <w:tcPr>
            <w:tcW w:w="881" w:type="dxa"/>
            <w:vAlign w:val="center"/>
          </w:tcPr>
          <w:p>
            <w:pPr>
              <w:pStyle w:val="72"/>
              <w:rPr>
                <w:rFonts w:asciiTheme="minorHAnsi" w:hAnsiTheme="minorHAnsi" w:eastAsiaTheme="minorEastAsia"/>
              </w:rPr>
            </w:pPr>
            <w:r>
              <w:rPr>
                <w:rFonts w:asciiTheme="minorHAnsi" w:hAnsiTheme="minorHAnsi" w:eastAsiaTheme="minorEastAsia"/>
              </w:rPr>
              <w:t>4</w:t>
            </w:r>
          </w:p>
        </w:tc>
        <w:tc>
          <w:tcPr>
            <w:tcW w:w="4235" w:type="dxa"/>
            <w:vAlign w:val="center"/>
          </w:tcPr>
          <w:p>
            <w:pPr>
              <w:pStyle w:val="72"/>
              <w:rPr>
                <w:rFonts w:asciiTheme="minorHAnsi" w:hAnsiTheme="minorHAnsi" w:eastAsiaTheme="minorEastAsia"/>
              </w:rPr>
            </w:pPr>
            <w:r>
              <w:rPr>
                <w:rFonts w:hint="eastAsia" w:asciiTheme="minorHAnsi" w:hAnsiTheme="minorHAnsi" w:eastAsiaTheme="minorEastAsia"/>
              </w:rPr>
              <w:t>安徽金冠玻璃有限公司</w:t>
            </w:r>
          </w:p>
        </w:tc>
        <w:tc>
          <w:tcPr>
            <w:tcW w:w="2473" w:type="dxa"/>
            <w:vAlign w:val="center"/>
          </w:tcPr>
          <w:p>
            <w:pPr>
              <w:pStyle w:val="72"/>
              <w:rPr>
                <w:rFonts w:asciiTheme="minorHAnsi" w:hAnsiTheme="minorHAnsi" w:eastAsiaTheme="minorEastAsia"/>
              </w:rPr>
            </w:pPr>
            <w:r>
              <w:rPr>
                <w:rFonts w:asciiTheme="minorHAnsi" w:hAnsiTheme="minorHAnsi" w:eastAsiaTheme="minorEastAsia"/>
              </w:rPr>
              <w:t>玻璃</w:t>
            </w:r>
          </w:p>
        </w:tc>
        <w:tc>
          <w:tcPr>
            <w:tcW w:w="2471" w:type="dxa"/>
            <w:vAlign w:val="center"/>
          </w:tcPr>
          <w:p>
            <w:pPr>
              <w:pStyle w:val="72"/>
              <w:rPr>
                <w:rFonts w:asciiTheme="minorHAnsi" w:hAnsiTheme="minorHAnsi" w:eastAsiaTheme="minorEastAsia"/>
              </w:rPr>
            </w:pPr>
            <w:r>
              <w:rPr>
                <w:rFonts w:asciiTheme="minorHAnsi" w:hAnsiTheme="minorHAnsi" w:eastAsiaTheme="minorEastAsia"/>
              </w:rPr>
              <w:t>相山区</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13" w:hRule="exact"/>
          <w:jc w:val="center"/>
        </w:trPr>
        <w:tc>
          <w:tcPr>
            <w:tcW w:w="881" w:type="dxa"/>
            <w:vAlign w:val="center"/>
          </w:tcPr>
          <w:p>
            <w:pPr>
              <w:pStyle w:val="72"/>
              <w:rPr>
                <w:rFonts w:asciiTheme="minorHAnsi" w:hAnsiTheme="minorHAnsi" w:eastAsiaTheme="minorEastAsia"/>
              </w:rPr>
            </w:pPr>
            <w:r>
              <w:rPr>
                <w:rFonts w:asciiTheme="minorHAnsi" w:hAnsiTheme="minorHAnsi" w:eastAsiaTheme="minorEastAsia"/>
              </w:rPr>
              <w:t>5</w:t>
            </w:r>
          </w:p>
        </w:tc>
        <w:tc>
          <w:tcPr>
            <w:tcW w:w="4235" w:type="dxa"/>
            <w:vAlign w:val="center"/>
          </w:tcPr>
          <w:p>
            <w:pPr>
              <w:pStyle w:val="72"/>
              <w:rPr>
                <w:rFonts w:asciiTheme="minorHAnsi" w:hAnsiTheme="minorHAnsi" w:eastAsiaTheme="minorEastAsia"/>
              </w:rPr>
            </w:pPr>
            <w:r>
              <w:rPr>
                <w:rFonts w:asciiTheme="minorHAnsi" w:hAnsiTheme="minorHAnsi" w:eastAsiaTheme="minorEastAsia"/>
              </w:rPr>
              <w:t>安徽雷鸣科化</w:t>
            </w:r>
            <w:r>
              <w:rPr>
                <w:rFonts w:hint="eastAsia" w:asciiTheme="minorHAnsi" w:hAnsiTheme="minorHAnsi" w:eastAsiaTheme="minorEastAsia"/>
              </w:rPr>
              <w:t>股份</w:t>
            </w:r>
            <w:r>
              <w:rPr>
                <w:rFonts w:asciiTheme="minorHAnsi" w:hAnsiTheme="minorHAnsi" w:eastAsiaTheme="minorEastAsia"/>
              </w:rPr>
              <w:t>有限公司</w:t>
            </w:r>
          </w:p>
        </w:tc>
        <w:tc>
          <w:tcPr>
            <w:tcW w:w="2473" w:type="dxa"/>
            <w:vAlign w:val="center"/>
          </w:tcPr>
          <w:p>
            <w:pPr>
              <w:pStyle w:val="72"/>
              <w:rPr>
                <w:rFonts w:asciiTheme="minorHAnsi" w:hAnsiTheme="minorHAnsi" w:eastAsiaTheme="minorEastAsia"/>
              </w:rPr>
            </w:pPr>
            <w:r>
              <w:rPr>
                <w:rFonts w:asciiTheme="minorHAnsi" w:hAnsiTheme="minorHAnsi" w:eastAsiaTheme="minorEastAsia"/>
              </w:rPr>
              <w:t>炸药、雷管</w:t>
            </w:r>
          </w:p>
        </w:tc>
        <w:tc>
          <w:tcPr>
            <w:tcW w:w="2471" w:type="dxa"/>
            <w:vAlign w:val="center"/>
          </w:tcPr>
          <w:p>
            <w:pPr>
              <w:pStyle w:val="72"/>
              <w:rPr>
                <w:rFonts w:asciiTheme="minorHAnsi" w:hAnsiTheme="minorHAnsi" w:eastAsiaTheme="minorEastAsia"/>
              </w:rPr>
            </w:pPr>
            <w:r>
              <w:rPr>
                <w:rFonts w:asciiTheme="minorHAnsi" w:hAnsiTheme="minorHAnsi" w:eastAsiaTheme="minorEastAsia"/>
              </w:rPr>
              <w:t>杜集区</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881" w:type="dxa"/>
            <w:vAlign w:val="center"/>
          </w:tcPr>
          <w:p>
            <w:pPr>
              <w:pStyle w:val="72"/>
              <w:rPr>
                <w:rFonts w:asciiTheme="minorHAnsi" w:hAnsiTheme="minorHAnsi" w:eastAsiaTheme="minorEastAsia"/>
              </w:rPr>
            </w:pPr>
            <w:r>
              <w:rPr>
                <w:rFonts w:asciiTheme="minorHAnsi" w:hAnsiTheme="minorHAnsi" w:eastAsiaTheme="minorEastAsia"/>
              </w:rPr>
              <w:t>6</w:t>
            </w:r>
          </w:p>
        </w:tc>
        <w:tc>
          <w:tcPr>
            <w:tcW w:w="4235" w:type="dxa"/>
            <w:vAlign w:val="center"/>
          </w:tcPr>
          <w:p>
            <w:pPr>
              <w:pStyle w:val="72"/>
              <w:rPr>
                <w:rFonts w:asciiTheme="minorHAnsi" w:hAnsiTheme="minorHAnsi" w:eastAsiaTheme="minorEastAsia"/>
              </w:rPr>
            </w:pPr>
            <w:r>
              <w:rPr>
                <w:rFonts w:hint="eastAsia" w:asciiTheme="minorHAnsi" w:hAnsiTheme="minorHAnsi" w:eastAsiaTheme="minorEastAsia"/>
              </w:rPr>
              <w:t>淮北</w:t>
            </w:r>
            <w:r>
              <w:rPr>
                <w:rFonts w:asciiTheme="minorHAnsi" w:hAnsiTheme="minorHAnsi" w:eastAsiaTheme="minorEastAsia"/>
              </w:rPr>
              <w:t>金帆船食品有限公司</w:t>
            </w:r>
          </w:p>
        </w:tc>
        <w:tc>
          <w:tcPr>
            <w:tcW w:w="2473" w:type="dxa"/>
            <w:vAlign w:val="center"/>
          </w:tcPr>
          <w:p>
            <w:pPr>
              <w:pStyle w:val="72"/>
              <w:rPr>
                <w:rFonts w:asciiTheme="minorHAnsi" w:hAnsiTheme="minorHAnsi" w:eastAsiaTheme="minorEastAsia"/>
              </w:rPr>
            </w:pPr>
            <w:r>
              <w:rPr>
                <w:rFonts w:asciiTheme="minorHAnsi" w:hAnsiTheme="minorHAnsi" w:eastAsiaTheme="minorEastAsia"/>
              </w:rPr>
              <w:t>食品</w:t>
            </w:r>
          </w:p>
        </w:tc>
        <w:tc>
          <w:tcPr>
            <w:tcW w:w="2471" w:type="dxa"/>
            <w:vAlign w:val="center"/>
          </w:tcPr>
          <w:p>
            <w:pPr>
              <w:pStyle w:val="72"/>
              <w:rPr>
                <w:rFonts w:asciiTheme="minorHAnsi" w:hAnsiTheme="minorHAnsi" w:eastAsiaTheme="minorEastAsia"/>
              </w:rPr>
            </w:pPr>
            <w:r>
              <w:rPr>
                <w:rFonts w:asciiTheme="minorHAnsi" w:hAnsiTheme="minorHAnsi" w:eastAsiaTheme="minorEastAsia"/>
              </w:rPr>
              <w:t>杜集区</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08" w:hRule="exact"/>
          <w:jc w:val="center"/>
        </w:trPr>
        <w:tc>
          <w:tcPr>
            <w:tcW w:w="881" w:type="dxa"/>
            <w:vAlign w:val="center"/>
          </w:tcPr>
          <w:p>
            <w:pPr>
              <w:pStyle w:val="72"/>
              <w:rPr>
                <w:rFonts w:asciiTheme="minorHAnsi" w:hAnsiTheme="minorHAnsi" w:eastAsiaTheme="minorEastAsia"/>
              </w:rPr>
            </w:pPr>
            <w:r>
              <w:rPr>
                <w:rFonts w:asciiTheme="minorHAnsi" w:hAnsiTheme="minorHAnsi" w:eastAsiaTheme="minorEastAsia"/>
              </w:rPr>
              <w:t>7</w:t>
            </w:r>
          </w:p>
        </w:tc>
        <w:tc>
          <w:tcPr>
            <w:tcW w:w="4235" w:type="dxa"/>
            <w:vAlign w:val="center"/>
          </w:tcPr>
          <w:p>
            <w:pPr>
              <w:pStyle w:val="72"/>
              <w:rPr>
                <w:rFonts w:asciiTheme="minorHAnsi" w:hAnsiTheme="minorHAnsi" w:eastAsiaTheme="minorEastAsia"/>
              </w:rPr>
            </w:pPr>
            <w:r>
              <w:rPr>
                <w:rFonts w:hint="eastAsia" w:asciiTheme="minorHAnsi" w:hAnsiTheme="minorHAnsi" w:eastAsiaTheme="minorEastAsia"/>
              </w:rPr>
              <w:t>淮北岱河高岳服务中心</w:t>
            </w:r>
          </w:p>
        </w:tc>
        <w:tc>
          <w:tcPr>
            <w:tcW w:w="2473" w:type="dxa"/>
            <w:vAlign w:val="center"/>
          </w:tcPr>
          <w:p>
            <w:pPr>
              <w:pStyle w:val="72"/>
              <w:rPr>
                <w:rFonts w:asciiTheme="minorHAnsi" w:hAnsiTheme="minorHAnsi" w:eastAsiaTheme="minorEastAsia"/>
              </w:rPr>
            </w:pPr>
          </w:p>
        </w:tc>
        <w:tc>
          <w:tcPr>
            <w:tcW w:w="2471" w:type="dxa"/>
            <w:vAlign w:val="center"/>
          </w:tcPr>
          <w:p>
            <w:pPr>
              <w:pStyle w:val="72"/>
              <w:rPr>
                <w:rFonts w:asciiTheme="minorHAnsi" w:hAnsiTheme="minorHAnsi" w:eastAsiaTheme="minorEastAsia"/>
              </w:rPr>
            </w:pPr>
            <w:r>
              <w:rPr>
                <w:rFonts w:asciiTheme="minorHAnsi" w:hAnsiTheme="minorHAnsi" w:eastAsiaTheme="minorEastAsia"/>
              </w:rPr>
              <w:t>杜集区</w:t>
            </w:r>
          </w:p>
        </w:tc>
      </w:tr>
    </w:tbl>
    <w:p>
      <w:pPr>
        <w:pStyle w:val="4"/>
      </w:pPr>
      <w:bookmarkStart w:id="97" w:name="_Toc8032518"/>
      <w:r>
        <w:rPr>
          <w:rFonts w:hint="eastAsia"/>
        </w:rPr>
        <w:t>2</w:t>
      </w:r>
      <w:r>
        <w:t>.</w:t>
      </w:r>
      <w:r>
        <w:rPr>
          <w:rFonts w:hint="eastAsia"/>
        </w:rPr>
        <w:t>3</w:t>
      </w:r>
      <w:r>
        <w:t>.</w:t>
      </w:r>
      <w:r>
        <w:rPr>
          <w:rFonts w:hint="eastAsia"/>
        </w:rPr>
        <w:t>5</w:t>
      </w:r>
      <w:r>
        <w:t xml:space="preserve"> 现行水价情况</w:t>
      </w:r>
      <w:bookmarkEnd w:id="97"/>
    </w:p>
    <w:p>
      <w:pPr>
        <w:pStyle w:val="16"/>
        <w:spacing w:line="360" w:lineRule="auto"/>
        <w:ind w:firstLine="560"/>
      </w:pPr>
      <w:r>
        <w:t>淮北市供水水源主要是地下水，水价由水资源费、自来水厂供水费、城市附加费及污水处理费等四部分组成。淮北市目前地下水资源费为0.</w:t>
      </w:r>
      <w:r>
        <w:rPr>
          <w:rFonts w:hint="eastAsia"/>
        </w:rPr>
        <w:t>16</w:t>
      </w:r>
      <w:r>
        <w:t>元/m</w:t>
      </w:r>
      <w:r>
        <w:rPr>
          <w:vertAlign w:val="superscript"/>
        </w:rPr>
        <w:t>3</w:t>
      </w:r>
      <w:r>
        <w:t>。</w:t>
      </w:r>
    </w:p>
    <w:p>
      <w:pPr>
        <w:pStyle w:val="16"/>
        <w:spacing w:line="360" w:lineRule="auto"/>
        <w:ind w:firstLine="482"/>
        <w:jc w:val="center"/>
        <w:rPr>
          <w:rFonts w:cs="Times New Roman"/>
          <w:b/>
          <w:sz w:val="24"/>
        </w:rPr>
      </w:pPr>
      <w:r>
        <w:rPr>
          <w:rFonts w:hint="eastAsia" w:cs="Times New Roman"/>
          <w:b/>
          <w:sz w:val="24"/>
        </w:rPr>
        <w:t xml:space="preserve">表2-14     </w:t>
      </w:r>
      <w:r>
        <w:rPr>
          <w:rFonts w:cs="Times New Roman"/>
          <w:b/>
          <w:sz w:val="24"/>
        </w:rPr>
        <w:t>淮北市水价一览表</w:t>
      </w:r>
      <w:r>
        <w:rPr>
          <w:rFonts w:hint="eastAsia" w:cs="Times New Roman"/>
          <w:b/>
          <w:sz w:val="24"/>
        </w:rPr>
        <w:t xml:space="preserve">      </w:t>
      </w:r>
      <w:r>
        <w:rPr>
          <w:rFonts w:cs="Times New Roman"/>
          <w:b/>
          <w:sz w:val="24"/>
        </w:rPr>
        <w:t>（单位：元/吨）</w:t>
      </w:r>
    </w:p>
    <w:tbl>
      <w:tblPr>
        <w:tblStyle w:val="67"/>
        <w:tblW w:w="10060" w:type="dxa"/>
        <w:jc w:val="center"/>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2777"/>
        <w:gridCol w:w="1139"/>
        <w:gridCol w:w="1652"/>
        <w:gridCol w:w="1088"/>
        <w:gridCol w:w="6"/>
        <w:gridCol w:w="952"/>
        <w:gridCol w:w="1219"/>
        <w:gridCol w:w="1227"/>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89" w:hRule="atLeast"/>
          <w:jc w:val="center"/>
        </w:trPr>
        <w:tc>
          <w:tcPr>
            <w:tcW w:w="3916" w:type="dxa"/>
            <w:gridSpan w:val="2"/>
            <w:vMerge w:val="restart"/>
            <w:vAlign w:val="center"/>
          </w:tcPr>
          <w:p>
            <w:pPr>
              <w:pStyle w:val="72"/>
              <w:rPr>
                <w:rFonts w:asciiTheme="minorHAnsi" w:hAnsiTheme="minorHAnsi" w:eastAsiaTheme="minorEastAsia"/>
              </w:rPr>
            </w:pPr>
            <w:r>
              <w:rPr>
                <w:rFonts w:hint="eastAsia" w:asciiTheme="minorHAnsi" w:hAnsiTheme="minorHAnsi" w:eastAsiaTheme="minorEastAsia"/>
              </w:rPr>
              <w:t>用水性质</w:t>
            </w:r>
          </w:p>
          <w:p>
            <w:pPr>
              <w:pStyle w:val="72"/>
              <w:rPr>
                <w:rFonts w:asciiTheme="minorHAnsi" w:hAnsiTheme="minorHAnsi" w:eastAsiaTheme="minorEastAsia"/>
              </w:rPr>
            </w:pPr>
          </w:p>
        </w:tc>
        <w:tc>
          <w:tcPr>
            <w:tcW w:w="1652" w:type="dxa"/>
            <w:vMerge w:val="restart"/>
            <w:vAlign w:val="center"/>
          </w:tcPr>
          <w:p>
            <w:pPr>
              <w:pStyle w:val="72"/>
              <w:rPr>
                <w:rFonts w:asciiTheme="minorHAnsi" w:hAnsiTheme="minorHAnsi" w:eastAsiaTheme="minorEastAsia"/>
              </w:rPr>
            </w:pPr>
            <w:r>
              <w:rPr>
                <w:rFonts w:hint="eastAsia" w:asciiTheme="minorHAnsi" w:hAnsiTheme="minorHAnsi" w:eastAsiaTheme="minorEastAsia"/>
              </w:rPr>
              <w:t>基本水价</w:t>
            </w:r>
          </w:p>
        </w:tc>
        <w:tc>
          <w:tcPr>
            <w:tcW w:w="3265" w:type="dxa"/>
            <w:gridSpan w:val="4"/>
            <w:vAlign w:val="center"/>
          </w:tcPr>
          <w:p>
            <w:pPr>
              <w:pStyle w:val="72"/>
              <w:rPr>
                <w:rFonts w:asciiTheme="minorHAnsi" w:hAnsiTheme="minorHAnsi" w:eastAsiaTheme="minorEastAsia"/>
              </w:rPr>
            </w:pPr>
            <w:r>
              <w:rPr>
                <w:rFonts w:hint="eastAsia" w:asciiTheme="minorHAnsi" w:hAnsiTheme="minorHAnsi" w:eastAsiaTheme="minorEastAsia"/>
              </w:rPr>
              <w:t>随水价征收费用（元/m³）</w:t>
            </w:r>
          </w:p>
        </w:tc>
        <w:tc>
          <w:tcPr>
            <w:tcW w:w="1227" w:type="dxa"/>
            <w:vMerge w:val="restart"/>
            <w:vAlign w:val="center"/>
          </w:tcPr>
          <w:p>
            <w:pPr>
              <w:pStyle w:val="72"/>
              <w:rPr>
                <w:rFonts w:asciiTheme="minorHAnsi" w:hAnsiTheme="minorHAnsi" w:eastAsiaTheme="minorEastAsia"/>
              </w:rPr>
            </w:pPr>
            <w:r>
              <w:rPr>
                <w:rFonts w:hint="eastAsia" w:asciiTheme="minorHAnsi" w:hAnsiTheme="minorHAnsi" w:eastAsiaTheme="minorEastAsia"/>
              </w:rPr>
              <w:t>到户价格</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42" w:hRule="exact"/>
          <w:jc w:val="center"/>
        </w:trPr>
        <w:tc>
          <w:tcPr>
            <w:tcW w:w="3916" w:type="dxa"/>
            <w:gridSpan w:val="2"/>
            <w:vMerge w:val="continue"/>
            <w:vAlign w:val="center"/>
          </w:tcPr>
          <w:p>
            <w:pPr>
              <w:pStyle w:val="72"/>
              <w:rPr>
                <w:rFonts w:asciiTheme="minorHAnsi" w:hAnsiTheme="minorHAnsi" w:eastAsiaTheme="minorEastAsia"/>
              </w:rPr>
            </w:pPr>
          </w:p>
        </w:tc>
        <w:tc>
          <w:tcPr>
            <w:tcW w:w="1652" w:type="dxa"/>
            <w:vMerge w:val="continue"/>
            <w:vAlign w:val="center"/>
          </w:tcPr>
          <w:p>
            <w:pPr>
              <w:pStyle w:val="72"/>
              <w:rPr>
                <w:rFonts w:asciiTheme="minorHAnsi" w:hAnsiTheme="minorHAnsi" w:eastAsiaTheme="minorEastAsia"/>
              </w:rPr>
            </w:pPr>
          </w:p>
        </w:tc>
        <w:tc>
          <w:tcPr>
            <w:tcW w:w="1088" w:type="dxa"/>
            <w:vAlign w:val="center"/>
          </w:tcPr>
          <w:p>
            <w:pPr>
              <w:pStyle w:val="72"/>
              <w:rPr>
                <w:rFonts w:asciiTheme="minorHAnsi" w:hAnsiTheme="minorHAnsi" w:eastAsiaTheme="minorEastAsia"/>
              </w:rPr>
            </w:pPr>
            <w:r>
              <w:rPr>
                <w:rFonts w:asciiTheme="minorHAnsi" w:hAnsiTheme="minorHAnsi" w:eastAsiaTheme="minorEastAsia"/>
              </w:rPr>
              <w:t>污水处理费</w:t>
            </w:r>
          </w:p>
        </w:tc>
        <w:tc>
          <w:tcPr>
            <w:tcW w:w="958" w:type="dxa"/>
            <w:gridSpan w:val="2"/>
            <w:vAlign w:val="center"/>
          </w:tcPr>
          <w:p>
            <w:pPr>
              <w:pStyle w:val="72"/>
              <w:rPr>
                <w:rFonts w:asciiTheme="minorHAnsi" w:hAnsiTheme="minorHAnsi" w:eastAsiaTheme="minorEastAsia"/>
              </w:rPr>
            </w:pPr>
            <w:r>
              <w:rPr>
                <w:rFonts w:hint="eastAsia" w:asciiTheme="minorHAnsi" w:hAnsiTheme="minorHAnsi" w:eastAsiaTheme="minorEastAsia"/>
              </w:rPr>
              <w:t>水资源费</w:t>
            </w:r>
          </w:p>
        </w:tc>
        <w:tc>
          <w:tcPr>
            <w:tcW w:w="1219" w:type="dxa"/>
            <w:vAlign w:val="center"/>
          </w:tcPr>
          <w:p>
            <w:pPr>
              <w:pStyle w:val="72"/>
              <w:rPr>
                <w:rFonts w:asciiTheme="minorHAnsi" w:hAnsiTheme="minorHAnsi" w:eastAsiaTheme="minorEastAsia"/>
              </w:rPr>
            </w:pPr>
            <w:r>
              <w:rPr>
                <w:rFonts w:hint="eastAsia" w:asciiTheme="minorHAnsi" w:hAnsiTheme="minorHAnsi" w:eastAsiaTheme="minorEastAsia"/>
              </w:rPr>
              <w:t>小计</w:t>
            </w:r>
          </w:p>
        </w:tc>
        <w:tc>
          <w:tcPr>
            <w:tcW w:w="1227" w:type="dxa"/>
            <w:vMerge w:val="continue"/>
            <w:vAlign w:val="center"/>
          </w:tcPr>
          <w:p>
            <w:pPr>
              <w:pStyle w:val="72"/>
              <w:rPr>
                <w:rFonts w:asciiTheme="minorHAnsi" w:hAnsiTheme="minorHAnsi" w:eastAsiaTheme="minorEastAsia"/>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7" w:hRule="exact"/>
          <w:jc w:val="center"/>
        </w:trPr>
        <w:tc>
          <w:tcPr>
            <w:tcW w:w="2777" w:type="dxa"/>
            <w:vMerge w:val="restart"/>
            <w:vAlign w:val="center"/>
          </w:tcPr>
          <w:p>
            <w:pPr>
              <w:pStyle w:val="72"/>
              <w:rPr>
                <w:rFonts w:asciiTheme="minorHAnsi" w:hAnsiTheme="minorHAnsi" w:eastAsiaTheme="minorEastAsia"/>
              </w:rPr>
            </w:pPr>
            <w:r>
              <w:rPr>
                <w:rFonts w:asciiTheme="minorHAnsi" w:hAnsiTheme="minorHAnsi" w:eastAsiaTheme="minorEastAsia"/>
              </w:rPr>
              <w:t>居民</w:t>
            </w:r>
            <w:r>
              <w:rPr>
                <w:rFonts w:hint="eastAsia" w:asciiTheme="minorHAnsi" w:hAnsiTheme="minorHAnsi" w:eastAsiaTheme="minorEastAsia"/>
              </w:rPr>
              <w:t>阶梯</w:t>
            </w:r>
            <w:r>
              <w:rPr>
                <w:rFonts w:asciiTheme="minorHAnsi" w:hAnsiTheme="minorHAnsi" w:eastAsiaTheme="minorEastAsia"/>
              </w:rPr>
              <w:t>用水</w:t>
            </w:r>
          </w:p>
        </w:tc>
        <w:tc>
          <w:tcPr>
            <w:tcW w:w="1139" w:type="dxa"/>
            <w:vAlign w:val="center"/>
          </w:tcPr>
          <w:p>
            <w:pPr>
              <w:pStyle w:val="72"/>
              <w:rPr>
                <w:rFonts w:asciiTheme="minorHAnsi" w:hAnsiTheme="minorHAnsi" w:eastAsiaTheme="minorEastAsia"/>
              </w:rPr>
            </w:pPr>
            <w:r>
              <w:rPr>
                <w:rFonts w:hint="eastAsia" w:asciiTheme="minorHAnsi" w:hAnsiTheme="minorHAnsi" w:eastAsiaTheme="minorEastAsia"/>
              </w:rPr>
              <w:t>第一级</w:t>
            </w:r>
          </w:p>
        </w:tc>
        <w:tc>
          <w:tcPr>
            <w:tcW w:w="1652" w:type="dxa"/>
            <w:vAlign w:val="center"/>
          </w:tcPr>
          <w:p>
            <w:pPr>
              <w:pStyle w:val="72"/>
              <w:rPr>
                <w:rFonts w:asciiTheme="minorHAnsi" w:hAnsiTheme="minorHAnsi" w:eastAsiaTheme="minorEastAsia"/>
              </w:rPr>
            </w:pPr>
            <w:r>
              <w:rPr>
                <w:rFonts w:hint="eastAsia" w:asciiTheme="minorHAnsi" w:hAnsiTheme="minorHAnsi" w:eastAsiaTheme="minorEastAsia"/>
              </w:rPr>
              <w:t>1.35</w:t>
            </w:r>
          </w:p>
        </w:tc>
        <w:tc>
          <w:tcPr>
            <w:tcW w:w="1094" w:type="dxa"/>
            <w:gridSpan w:val="2"/>
            <w:vAlign w:val="center"/>
          </w:tcPr>
          <w:p>
            <w:pPr>
              <w:pStyle w:val="72"/>
              <w:rPr>
                <w:rFonts w:asciiTheme="minorHAnsi" w:hAnsiTheme="minorHAnsi" w:eastAsiaTheme="minorEastAsia"/>
              </w:rPr>
            </w:pPr>
            <w:r>
              <w:rPr>
                <w:rFonts w:hint="eastAsia" w:asciiTheme="minorHAnsi" w:hAnsiTheme="minorHAnsi" w:eastAsiaTheme="minorEastAsia"/>
              </w:rPr>
              <w:t>0.95</w:t>
            </w:r>
          </w:p>
        </w:tc>
        <w:tc>
          <w:tcPr>
            <w:tcW w:w="952" w:type="dxa"/>
            <w:vAlign w:val="center"/>
          </w:tcPr>
          <w:p>
            <w:pPr>
              <w:pStyle w:val="72"/>
              <w:rPr>
                <w:rFonts w:asciiTheme="minorHAnsi" w:hAnsiTheme="minorHAnsi" w:eastAsiaTheme="minorEastAsia"/>
              </w:rPr>
            </w:pPr>
            <w:r>
              <w:rPr>
                <w:rFonts w:hint="eastAsia" w:asciiTheme="minorHAnsi" w:hAnsiTheme="minorHAnsi" w:eastAsiaTheme="minorEastAsia"/>
              </w:rPr>
              <w:t>0.16</w:t>
            </w:r>
          </w:p>
        </w:tc>
        <w:tc>
          <w:tcPr>
            <w:tcW w:w="1219" w:type="dxa"/>
            <w:vMerge w:val="restart"/>
            <w:vAlign w:val="center"/>
          </w:tcPr>
          <w:p>
            <w:pPr>
              <w:pStyle w:val="72"/>
              <w:rPr>
                <w:rFonts w:asciiTheme="minorHAnsi" w:hAnsiTheme="minorHAnsi" w:eastAsiaTheme="minorEastAsia"/>
              </w:rPr>
            </w:pPr>
            <w:r>
              <w:rPr>
                <w:rFonts w:hint="eastAsia" w:asciiTheme="minorHAnsi" w:hAnsiTheme="minorHAnsi" w:eastAsiaTheme="minorEastAsia"/>
              </w:rPr>
              <w:t>1.11</w:t>
            </w:r>
          </w:p>
        </w:tc>
        <w:tc>
          <w:tcPr>
            <w:tcW w:w="1227" w:type="dxa"/>
            <w:vAlign w:val="center"/>
          </w:tcPr>
          <w:p>
            <w:pPr>
              <w:pStyle w:val="72"/>
              <w:rPr>
                <w:rFonts w:asciiTheme="minorHAnsi" w:hAnsiTheme="minorHAnsi" w:eastAsiaTheme="minorEastAsia"/>
              </w:rPr>
            </w:pPr>
            <w:r>
              <w:rPr>
                <w:rFonts w:hint="eastAsia" w:asciiTheme="minorHAnsi" w:hAnsiTheme="minorHAnsi" w:eastAsiaTheme="minorEastAsia"/>
              </w:rPr>
              <w:t>2.46</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293" w:hRule="exact"/>
          <w:jc w:val="center"/>
        </w:trPr>
        <w:tc>
          <w:tcPr>
            <w:tcW w:w="2777" w:type="dxa"/>
            <w:vMerge w:val="continue"/>
            <w:vAlign w:val="center"/>
          </w:tcPr>
          <w:p>
            <w:pPr>
              <w:pStyle w:val="72"/>
              <w:rPr>
                <w:rFonts w:asciiTheme="minorHAnsi" w:hAnsiTheme="minorHAnsi" w:eastAsiaTheme="minorEastAsia"/>
              </w:rPr>
            </w:pPr>
          </w:p>
        </w:tc>
        <w:tc>
          <w:tcPr>
            <w:tcW w:w="1139" w:type="dxa"/>
            <w:vAlign w:val="center"/>
          </w:tcPr>
          <w:p>
            <w:pPr>
              <w:pStyle w:val="72"/>
              <w:rPr>
                <w:rFonts w:asciiTheme="minorHAnsi" w:hAnsiTheme="minorHAnsi" w:eastAsiaTheme="minorEastAsia"/>
              </w:rPr>
            </w:pPr>
            <w:r>
              <w:rPr>
                <w:rFonts w:hint="eastAsia" w:asciiTheme="minorHAnsi" w:hAnsiTheme="minorHAnsi" w:eastAsiaTheme="minorEastAsia"/>
              </w:rPr>
              <w:t>第二级</w:t>
            </w:r>
          </w:p>
        </w:tc>
        <w:tc>
          <w:tcPr>
            <w:tcW w:w="1652" w:type="dxa"/>
            <w:vAlign w:val="center"/>
          </w:tcPr>
          <w:p>
            <w:pPr>
              <w:pStyle w:val="72"/>
              <w:rPr>
                <w:rFonts w:asciiTheme="minorHAnsi" w:hAnsiTheme="minorHAnsi" w:eastAsiaTheme="minorEastAsia"/>
              </w:rPr>
            </w:pPr>
            <w:r>
              <w:rPr>
                <w:rFonts w:hint="eastAsia" w:asciiTheme="minorHAnsi" w:hAnsiTheme="minorHAnsi" w:eastAsiaTheme="minorEastAsia"/>
              </w:rPr>
              <w:t>2.03</w:t>
            </w:r>
          </w:p>
        </w:tc>
        <w:tc>
          <w:tcPr>
            <w:tcW w:w="1094" w:type="dxa"/>
            <w:gridSpan w:val="2"/>
            <w:vAlign w:val="center"/>
          </w:tcPr>
          <w:p>
            <w:pPr>
              <w:pStyle w:val="72"/>
              <w:rPr>
                <w:rFonts w:asciiTheme="minorHAnsi" w:hAnsiTheme="minorHAnsi" w:eastAsiaTheme="minorEastAsia"/>
              </w:rPr>
            </w:pPr>
            <w:r>
              <w:rPr>
                <w:rFonts w:hint="eastAsia" w:asciiTheme="minorHAnsi" w:hAnsiTheme="minorHAnsi" w:eastAsiaTheme="minorEastAsia"/>
              </w:rPr>
              <w:t>0.95</w:t>
            </w:r>
          </w:p>
        </w:tc>
        <w:tc>
          <w:tcPr>
            <w:tcW w:w="952" w:type="dxa"/>
            <w:vAlign w:val="center"/>
          </w:tcPr>
          <w:p>
            <w:pPr>
              <w:pStyle w:val="72"/>
              <w:rPr>
                <w:rFonts w:asciiTheme="minorHAnsi" w:hAnsiTheme="minorHAnsi" w:eastAsiaTheme="minorEastAsia"/>
              </w:rPr>
            </w:pPr>
            <w:r>
              <w:rPr>
                <w:rFonts w:hint="eastAsia" w:asciiTheme="minorHAnsi" w:hAnsiTheme="minorHAnsi" w:eastAsiaTheme="minorEastAsia"/>
              </w:rPr>
              <w:t>0.16</w:t>
            </w:r>
          </w:p>
        </w:tc>
        <w:tc>
          <w:tcPr>
            <w:tcW w:w="1219" w:type="dxa"/>
            <w:vMerge w:val="continue"/>
            <w:vAlign w:val="center"/>
          </w:tcPr>
          <w:p>
            <w:pPr>
              <w:pStyle w:val="72"/>
              <w:rPr>
                <w:rFonts w:asciiTheme="minorHAnsi" w:hAnsiTheme="minorHAnsi" w:eastAsiaTheme="minorEastAsia"/>
              </w:rPr>
            </w:pPr>
          </w:p>
        </w:tc>
        <w:tc>
          <w:tcPr>
            <w:tcW w:w="1227" w:type="dxa"/>
            <w:vAlign w:val="center"/>
          </w:tcPr>
          <w:p>
            <w:pPr>
              <w:pStyle w:val="72"/>
              <w:rPr>
                <w:rFonts w:asciiTheme="minorHAnsi" w:hAnsiTheme="minorHAnsi" w:eastAsiaTheme="minorEastAsia"/>
              </w:rPr>
            </w:pPr>
            <w:r>
              <w:rPr>
                <w:rFonts w:hint="eastAsia" w:asciiTheme="minorHAnsi" w:hAnsiTheme="minorHAnsi" w:eastAsiaTheme="minorEastAsia"/>
              </w:rPr>
              <w:t>3.14</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287" w:hRule="exact"/>
          <w:jc w:val="center"/>
        </w:trPr>
        <w:tc>
          <w:tcPr>
            <w:tcW w:w="2777" w:type="dxa"/>
            <w:vMerge w:val="continue"/>
            <w:vAlign w:val="center"/>
          </w:tcPr>
          <w:p>
            <w:pPr>
              <w:pStyle w:val="72"/>
              <w:rPr>
                <w:rFonts w:asciiTheme="minorHAnsi" w:hAnsiTheme="minorHAnsi" w:eastAsiaTheme="minorEastAsia"/>
              </w:rPr>
            </w:pPr>
          </w:p>
        </w:tc>
        <w:tc>
          <w:tcPr>
            <w:tcW w:w="1139" w:type="dxa"/>
            <w:vAlign w:val="center"/>
          </w:tcPr>
          <w:p>
            <w:pPr>
              <w:pStyle w:val="72"/>
              <w:rPr>
                <w:rFonts w:asciiTheme="minorHAnsi" w:hAnsiTheme="minorHAnsi" w:eastAsiaTheme="minorEastAsia"/>
              </w:rPr>
            </w:pPr>
            <w:r>
              <w:rPr>
                <w:rFonts w:hint="eastAsia" w:asciiTheme="minorHAnsi" w:hAnsiTheme="minorHAnsi" w:eastAsiaTheme="minorEastAsia"/>
              </w:rPr>
              <w:t>第三极</w:t>
            </w:r>
          </w:p>
        </w:tc>
        <w:tc>
          <w:tcPr>
            <w:tcW w:w="1652" w:type="dxa"/>
            <w:vAlign w:val="center"/>
          </w:tcPr>
          <w:p>
            <w:pPr>
              <w:pStyle w:val="72"/>
              <w:rPr>
                <w:rFonts w:asciiTheme="minorHAnsi" w:hAnsiTheme="minorHAnsi" w:eastAsiaTheme="minorEastAsia"/>
              </w:rPr>
            </w:pPr>
            <w:r>
              <w:rPr>
                <w:rFonts w:hint="eastAsia" w:asciiTheme="minorHAnsi" w:hAnsiTheme="minorHAnsi" w:eastAsiaTheme="minorEastAsia"/>
              </w:rPr>
              <w:t>4.73</w:t>
            </w:r>
          </w:p>
        </w:tc>
        <w:tc>
          <w:tcPr>
            <w:tcW w:w="1094" w:type="dxa"/>
            <w:gridSpan w:val="2"/>
            <w:vAlign w:val="center"/>
          </w:tcPr>
          <w:p>
            <w:pPr>
              <w:pStyle w:val="72"/>
              <w:rPr>
                <w:rFonts w:asciiTheme="minorHAnsi" w:hAnsiTheme="minorHAnsi" w:eastAsiaTheme="minorEastAsia"/>
              </w:rPr>
            </w:pPr>
            <w:r>
              <w:rPr>
                <w:rFonts w:hint="eastAsia" w:asciiTheme="minorHAnsi" w:hAnsiTheme="minorHAnsi" w:eastAsiaTheme="minorEastAsia"/>
              </w:rPr>
              <w:t>0.95</w:t>
            </w:r>
          </w:p>
        </w:tc>
        <w:tc>
          <w:tcPr>
            <w:tcW w:w="952" w:type="dxa"/>
            <w:vAlign w:val="center"/>
          </w:tcPr>
          <w:p>
            <w:pPr>
              <w:pStyle w:val="72"/>
              <w:rPr>
                <w:rFonts w:asciiTheme="minorHAnsi" w:hAnsiTheme="minorHAnsi" w:eastAsiaTheme="minorEastAsia"/>
              </w:rPr>
            </w:pPr>
            <w:r>
              <w:rPr>
                <w:rFonts w:hint="eastAsia" w:asciiTheme="minorHAnsi" w:hAnsiTheme="minorHAnsi" w:eastAsiaTheme="minorEastAsia"/>
              </w:rPr>
              <w:t>0.16</w:t>
            </w:r>
          </w:p>
        </w:tc>
        <w:tc>
          <w:tcPr>
            <w:tcW w:w="1219" w:type="dxa"/>
            <w:vMerge w:val="continue"/>
            <w:vAlign w:val="center"/>
          </w:tcPr>
          <w:p>
            <w:pPr>
              <w:pStyle w:val="72"/>
              <w:rPr>
                <w:rFonts w:asciiTheme="minorHAnsi" w:hAnsiTheme="minorHAnsi" w:eastAsiaTheme="minorEastAsia"/>
              </w:rPr>
            </w:pPr>
          </w:p>
        </w:tc>
        <w:tc>
          <w:tcPr>
            <w:tcW w:w="1227" w:type="dxa"/>
            <w:vAlign w:val="center"/>
          </w:tcPr>
          <w:p>
            <w:pPr>
              <w:pStyle w:val="72"/>
              <w:rPr>
                <w:rFonts w:asciiTheme="minorHAnsi" w:hAnsiTheme="minorHAnsi" w:eastAsiaTheme="minorEastAsia"/>
              </w:rPr>
            </w:pPr>
            <w:r>
              <w:rPr>
                <w:rFonts w:hint="eastAsia" w:asciiTheme="minorHAnsi" w:hAnsiTheme="minorHAnsi" w:eastAsiaTheme="minorEastAsia"/>
              </w:rPr>
              <w:t>5.84</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7" w:hRule="exact"/>
          <w:jc w:val="center"/>
        </w:trPr>
        <w:tc>
          <w:tcPr>
            <w:tcW w:w="3916" w:type="dxa"/>
            <w:gridSpan w:val="2"/>
            <w:vAlign w:val="center"/>
          </w:tcPr>
          <w:p>
            <w:pPr>
              <w:pStyle w:val="72"/>
              <w:rPr>
                <w:rFonts w:asciiTheme="minorHAnsi" w:hAnsiTheme="minorHAnsi" w:eastAsiaTheme="minorEastAsia"/>
              </w:rPr>
            </w:pPr>
            <w:r>
              <w:rPr>
                <w:rFonts w:hint="eastAsia" w:asciiTheme="minorHAnsi" w:hAnsiTheme="minorHAnsi" w:eastAsiaTheme="minorEastAsia"/>
              </w:rPr>
              <w:t>非居民用水</w:t>
            </w:r>
          </w:p>
        </w:tc>
        <w:tc>
          <w:tcPr>
            <w:tcW w:w="1652" w:type="dxa"/>
            <w:vAlign w:val="center"/>
          </w:tcPr>
          <w:p>
            <w:pPr>
              <w:pStyle w:val="72"/>
              <w:rPr>
                <w:rFonts w:asciiTheme="minorHAnsi" w:hAnsiTheme="minorHAnsi" w:eastAsiaTheme="minorEastAsia"/>
              </w:rPr>
            </w:pPr>
            <w:r>
              <w:rPr>
                <w:rFonts w:hint="eastAsia" w:asciiTheme="minorHAnsi" w:hAnsiTheme="minorHAnsi" w:eastAsiaTheme="minorEastAsia"/>
              </w:rPr>
              <w:t>1.95</w:t>
            </w:r>
          </w:p>
        </w:tc>
        <w:tc>
          <w:tcPr>
            <w:tcW w:w="1094" w:type="dxa"/>
            <w:gridSpan w:val="2"/>
            <w:vAlign w:val="center"/>
          </w:tcPr>
          <w:p>
            <w:pPr>
              <w:pStyle w:val="72"/>
              <w:rPr>
                <w:rFonts w:asciiTheme="minorHAnsi" w:hAnsiTheme="minorHAnsi" w:eastAsiaTheme="minorEastAsia"/>
              </w:rPr>
            </w:pPr>
            <w:r>
              <w:rPr>
                <w:rFonts w:hint="eastAsia" w:asciiTheme="minorHAnsi" w:hAnsiTheme="minorHAnsi" w:eastAsiaTheme="minorEastAsia"/>
              </w:rPr>
              <w:t>1.4</w:t>
            </w:r>
          </w:p>
        </w:tc>
        <w:tc>
          <w:tcPr>
            <w:tcW w:w="952" w:type="dxa"/>
            <w:vAlign w:val="center"/>
          </w:tcPr>
          <w:p>
            <w:pPr>
              <w:pStyle w:val="72"/>
              <w:rPr>
                <w:rFonts w:asciiTheme="minorHAnsi" w:hAnsiTheme="minorHAnsi" w:eastAsiaTheme="minorEastAsia"/>
              </w:rPr>
            </w:pPr>
            <w:r>
              <w:rPr>
                <w:rFonts w:hint="eastAsia" w:asciiTheme="minorHAnsi" w:hAnsiTheme="minorHAnsi" w:eastAsiaTheme="minorEastAsia"/>
              </w:rPr>
              <w:t>0.16</w:t>
            </w:r>
          </w:p>
        </w:tc>
        <w:tc>
          <w:tcPr>
            <w:tcW w:w="1219" w:type="dxa"/>
            <w:vAlign w:val="center"/>
          </w:tcPr>
          <w:p>
            <w:pPr>
              <w:pStyle w:val="72"/>
              <w:rPr>
                <w:rFonts w:asciiTheme="minorHAnsi" w:hAnsiTheme="minorHAnsi" w:eastAsiaTheme="minorEastAsia"/>
              </w:rPr>
            </w:pPr>
            <w:r>
              <w:rPr>
                <w:rFonts w:hint="eastAsia" w:asciiTheme="minorHAnsi" w:hAnsiTheme="minorHAnsi" w:eastAsiaTheme="minorEastAsia"/>
              </w:rPr>
              <w:t>1.56</w:t>
            </w:r>
          </w:p>
        </w:tc>
        <w:tc>
          <w:tcPr>
            <w:tcW w:w="1227" w:type="dxa"/>
            <w:vAlign w:val="center"/>
          </w:tcPr>
          <w:p>
            <w:pPr>
              <w:pStyle w:val="72"/>
              <w:rPr>
                <w:rFonts w:asciiTheme="minorHAnsi" w:hAnsiTheme="minorHAnsi" w:eastAsiaTheme="minorEastAsia"/>
              </w:rPr>
            </w:pPr>
            <w:r>
              <w:rPr>
                <w:rFonts w:hint="eastAsia" w:asciiTheme="minorHAnsi" w:hAnsiTheme="minorHAnsi" w:eastAsiaTheme="minorEastAsia"/>
              </w:rPr>
              <w:t>3.51</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7" w:hRule="exact"/>
          <w:jc w:val="center"/>
        </w:trPr>
        <w:tc>
          <w:tcPr>
            <w:tcW w:w="3916" w:type="dxa"/>
            <w:gridSpan w:val="2"/>
            <w:vAlign w:val="center"/>
          </w:tcPr>
          <w:p>
            <w:pPr>
              <w:pStyle w:val="72"/>
              <w:rPr>
                <w:rFonts w:asciiTheme="minorHAnsi" w:hAnsiTheme="minorHAnsi" w:eastAsiaTheme="minorEastAsia"/>
              </w:rPr>
            </w:pPr>
            <w:r>
              <w:rPr>
                <w:rFonts w:asciiTheme="minorHAnsi" w:hAnsiTheme="minorHAnsi" w:eastAsiaTheme="minorEastAsia"/>
              </w:rPr>
              <w:t>特种</w:t>
            </w:r>
            <w:r>
              <w:rPr>
                <w:rFonts w:hint="eastAsia" w:asciiTheme="minorHAnsi" w:hAnsiTheme="minorHAnsi" w:eastAsiaTheme="minorEastAsia"/>
              </w:rPr>
              <w:t>行业</w:t>
            </w:r>
            <w:r>
              <w:rPr>
                <w:rFonts w:asciiTheme="minorHAnsi" w:hAnsiTheme="minorHAnsi" w:eastAsiaTheme="minorEastAsia"/>
              </w:rPr>
              <w:t>用水</w:t>
            </w:r>
          </w:p>
        </w:tc>
        <w:tc>
          <w:tcPr>
            <w:tcW w:w="1652" w:type="dxa"/>
            <w:vAlign w:val="center"/>
          </w:tcPr>
          <w:p>
            <w:pPr>
              <w:pStyle w:val="72"/>
              <w:rPr>
                <w:rFonts w:asciiTheme="minorHAnsi" w:hAnsiTheme="minorHAnsi" w:eastAsiaTheme="minorEastAsia"/>
              </w:rPr>
            </w:pPr>
            <w:r>
              <w:rPr>
                <w:rFonts w:hint="eastAsia" w:asciiTheme="minorHAnsi" w:hAnsiTheme="minorHAnsi" w:eastAsiaTheme="minorEastAsia"/>
              </w:rPr>
              <w:t>8.15</w:t>
            </w:r>
          </w:p>
        </w:tc>
        <w:tc>
          <w:tcPr>
            <w:tcW w:w="1094" w:type="dxa"/>
            <w:gridSpan w:val="2"/>
            <w:vAlign w:val="center"/>
          </w:tcPr>
          <w:p>
            <w:pPr>
              <w:pStyle w:val="72"/>
              <w:rPr>
                <w:rFonts w:asciiTheme="minorHAnsi" w:hAnsiTheme="minorHAnsi" w:eastAsiaTheme="minorEastAsia"/>
              </w:rPr>
            </w:pPr>
            <w:r>
              <w:rPr>
                <w:rFonts w:hint="eastAsia" w:asciiTheme="minorHAnsi" w:hAnsiTheme="minorHAnsi" w:eastAsiaTheme="minorEastAsia"/>
              </w:rPr>
              <w:t>1.4</w:t>
            </w:r>
          </w:p>
        </w:tc>
        <w:tc>
          <w:tcPr>
            <w:tcW w:w="952" w:type="dxa"/>
            <w:vAlign w:val="center"/>
          </w:tcPr>
          <w:p>
            <w:pPr>
              <w:pStyle w:val="72"/>
              <w:rPr>
                <w:rFonts w:asciiTheme="minorHAnsi" w:hAnsiTheme="minorHAnsi" w:eastAsiaTheme="minorEastAsia"/>
              </w:rPr>
            </w:pPr>
            <w:r>
              <w:rPr>
                <w:rFonts w:hint="eastAsia" w:asciiTheme="minorHAnsi" w:hAnsiTheme="minorHAnsi" w:eastAsiaTheme="minorEastAsia"/>
              </w:rPr>
              <w:t>0.16</w:t>
            </w:r>
          </w:p>
        </w:tc>
        <w:tc>
          <w:tcPr>
            <w:tcW w:w="1219" w:type="dxa"/>
            <w:vAlign w:val="center"/>
          </w:tcPr>
          <w:p>
            <w:pPr>
              <w:pStyle w:val="72"/>
              <w:rPr>
                <w:rFonts w:asciiTheme="minorHAnsi" w:hAnsiTheme="minorHAnsi" w:eastAsiaTheme="minorEastAsia"/>
              </w:rPr>
            </w:pPr>
            <w:r>
              <w:rPr>
                <w:rFonts w:hint="eastAsia" w:asciiTheme="minorHAnsi" w:hAnsiTheme="minorHAnsi" w:eastAsiaTheme="minorEastAsia"/>
              </w:rPr>
              <w:t>1.56</w:t>
            </w:r>
          </w:p>
        </w:tc>
        <w:tc>
          <w:tcPr>
            <w:tcW w:w="1227" w:type="dxa"/>
            <w:vAlign w:val="center"/>
          </w:tcPr>
          <w:p>
            <w:pPr>
              <w:pStyle w:val="72"/>
              <w:rPr>
                <w:rFonts w:asciiTheme="minorHAnsi" w:hAnsiTheme="minorHAnsi" w:eastAsiaTheme="minorEastAsia"/>
              </w:rPr>
            </w:pPr>
            <w:r>
              <w:rPr>
                <w:rFonts w:hint="eastAsia" w:asciiTheme="minorHAnsi" w:hAnsiTheme="minorHAnsi" w:eastAsiaTheme="minorEastAsia"/>
              </w:rPr>
              <w:t>9.71</w:t>
            </w:r>
          </w:p>
        </w:tc>
      </w:tr>
    </w:tbl>
    <w:p>
      <w:pPr>
        <w:pStyle w:val="16"/>
        <w:kinsoku w:val="0"/>
        <w:overflowPunct w:val="0"/>
        <w:spacing w:line="360" w:lineRule="auto"/>
        <w:ind w:right="106" w:firstLine="592"/>
        <w:jc w:val="both"/>
        <w:rPr>
          <w:rFonts w:cs="Times New Roman"/>
          <w:spacing w:val="16"/>
        </w:rPr>
      </w:pPr>
      <w:r>
        <w:rPr>
          <w:rFonts w:cs="Times New Roman"/>
          <w:spacing w:val="16"/>
        </w:rPr>
        <w:t>目前，淮北市内各主要生产企业的生产用水是通过自备水源井自行解决的，这不但增加了生产企业的负担，也降低了供水公司的效益，同时因缺乏统一调度和合 理使用，造成了对宝贵的地下水资源的浪费。</w:t>
      </w:r>
    </w:p>
    <w:p>
      <w:pPr>
        <w:pStyle w:val="4"/>
      </w:pPr>
      <w:bookmarkStart w:id="98" w:name="_Toc8032519"/>
      <w:r>
        <w:rPr>
          <w:rFonts w:hint="eastAsia"/>
        </w:rPr>
        <w:t>2.3.</w:t>
      </w:r>
      <w:r>
        <w:t>6</w:t>
      </w:r>
      <w:r>
        <w:rPr>
          <w:rFonts w:hint="eastAsia"/>
        </w:rPr>
        <w:t xml:space="preserve"> 《</w:t>
      </w:r>
      <w:r>
        <w:t>淮北市城区供水专项规划</w:t>
      </w:r>
      <w:r>
        <w:rPr>
          <w:rFonts w:hint="eastAsia"/>
        </w:rPr>
        <w:t xml:space="preserve"> 2011-2020》</w:t>
      </w:r>
      <w:bookmarkEnd w:id="98"/>
    </w:p>
    <w:p>
      <w:pPr>
        <w:pStyle w:val="5"/>
        <w:spacing w:before="120"/>
      </w:pPr>
      <w:bookmarkStart w:id="99" w:name="_Toc8032520"/>
      <w:r>
        <w:rPr>
          <w:rFonts w:hint="eastAsia"/>
        </w:rPr>
        <w:t>2.3.</w:t>
      </w:r>
      <w:r>
        <w:t>6</w:t>
      </w:r>
      <w:r>
        <w:rPr>
          <w:rFonts w:hint="eastAsia"/>
        </w:rPr>
        <w:t>.1 规划期限及范围</w:t>
      </w:r>
      <w:bookmarkEnd w:id="99"/>
    </w:p>
    <w:p>
      <w:pPr>
        <w:ind w:firstLine="560"/>
        <w:rPr>
          <w:szCs w:val="28"/>
        </w:rPr>
      </w:pPr>
      <w:r>
        <w:rPr>
          <w:rFonts w:hint="eastAsia"/>
          <w:szCs w:val="28"/>
        </w:rPr>
        <w:t>规划期限及范围根据《淮北市城市总体规划（2006~2020）》及《淮北市经济开发新区总体规划（2011-2030）》确定。</w:t>
      </w:r>
    </w:p>
    <w:p>
      <w:pPr>
        <w:ind w:firstLine="560"/>
        <w:rPr>
          <w:szCs w:val="28"/>
        </w:rPr>
      </w:pPr>
      <w:r>
        <w:rPr>
          <w:rFonts w:hint="eastAsia"/>
          <w:szCs w:val="28"/>
        </w:rPr>
        <w:t xml:space="preserve">规划近期（2015 年），主城区人口 90 万人，建设用地约 95.87 km </w:t>
      </w:r>
      <w:r>
        <w:rPr>
          <w:rFonts w:hint="eastAsia"/>
          <w:szCs w:val="28"/>
          <w:vertAlign w:val="superscript"/>
        </w:rPr>
        <w:t>2</w:t>
      </w:r>
      <w:r>
        <w:rPr>
          <w:rFonts w:hint="eastAsia"/>
          <w:szCs w:val="28"/>
        </w:rPr>
        <w:t xml:space="preserve"> ；经济开发区新区人口3万人，建设用地约13.5 km </w:t>
      </w:r>
      <w:r>
        <w:rPr>
          <w:rFonts w:hint="eastAsia"/>
          <w:szCs w:val="28"/>
          <w:vertAlign w:val="superscript"/>
        </w:rPr>
        <w:t>2</w:t>
      </w:r>
      <w:r>
        <w:rPr>
          <w:rFonts w:hint="eastAsia"/>
          <w:szCs w:val="28"/>
        </w:rPr>
        <w:t xml:space="preserve"> 。总人口约93.0万人，建设用地约109.37km </w:t>
      </w:r>
      <w:r>
        <w:rPr>
          <w:rFonts w:hint="eastAsia"/>
          <w:szCs w:val="28"/>
          <w:vertAlign w:val="superscript"/>
        </w:rPr>
        <w:t>2</w:t>
      </w:r>
      <w:r>
        <w:rPr>
          <w:rFonts w:hint="eastAsia"/>
          <w:szCs w:val="28"/>
        </w:rPr>
        <w:t xml:space="preserve"> ；</w:t>
      </w:r>
    </w:p>
    <w:p>
      <w:pPr>
        <w:ind w:firstLine="560"/>
        <w:rPr>
          <w:szCs w:val="28"/>
        </w:rPr>
      </w:pPr>
      <w:r>
        <w:rPr>
          <w:rFonts w:hint="eastAsia"/>
          <w:szCs w:val="28"/>
        </w:rPr>
        <w:t xml:space="preserve">规划远期（2020 年），主城区人口 94 万人，建设用地约 96.25 km </w:t>
      </w:r>
      <w:r>
        <w:rPr>
          <w:rFonts w:hint="eastAsia"/>
          <w:szCs w:val="28"/>
          <w:vertAlign w:val="superscript"/>
        </w:rPr>
        <w:t>2</w:t>
      </w:r>
      <w:r>
        <w:rPr>
          <w:rFonts w:hint="eastAsia"/>
          <w:szCs w:val="28"/>
        </w:rPr>
        <w:t xml:space="preserve"> ；经济开发区新区人口 13.2 万人，建设用地约 30km </w:t>
      </w:r>
      <w:r>
        <w:rPr>
          <w:rFonts w:hint="eastAsia"/>
          <w:szCs w:val="28"/>
          <w:vertAlign w:val="superscript"/>
        </w:rPr>
        <w:t>2</w:t>
      </w:r>
      <w:r>
        <w:rPr>
          <w:rFonts w:hint="eastAsia"/>
          <w:szCs w:val="28"/>
        </w:rPr>
        <w:t xml:space="preserve"> 。总人口约 107.2 万人，建设用地约126.25km </w:t>
      </w:r>
      <w:r>
        <w:rPr>
          <w:rFonts w:hint="eastAsia"/>
          <w:szCs w:val="28"/>
          <w:vertAlign w:val="superscript"/>
        </w:rPr>
        <w:t>2</w:t>
      </w:r>
      <w:r>
        <w:rPr>
          <w:rFonts w:hint="eastAsia"/>
          <w:szCs w:val="28"/>
        </w:rPr>
        <w:t xml:space="preserve"> 。</w:t>
      </w:r>
    </w:p>
    <w:p>
      <w:pPr>
        <w:pStyle w:val="5"/>
        <w:spacing w:before="120"/>
      </w:pPr>
      <w:bookmarkStart w:id="100" w:name="_Toc8032521"/>
      <w:r>
        <w:rPr>
          <w:rFonts w:hint="eastAsia"/>
        </w:rPr>
        <w:t>2.3.</w:t>
      </w:r>
      <w:r>
        <w:t>6</w:t>
      </w:r>
      <w:r>
        <w:rPr>
          <w:rFonts w:hint="eastAsia"/>
        </w:rPr>
        <w:t>.2 城市用水量</w:t>
      </w:r>
      <w:bookmarkEnd w:id="100"/>
    </w:p>
    <w:p>
      <w:pPr>
        <w:ind w:firstLine="560"/>
        <w:rPr>
          <w:szCs w:val="28"/>
        </w:rPr>
      </w:pPr>
      <w:r>
        <w:rPr>
          <w:szCs w:val="28"/>
        </w:rPr>
        <w:t>2015 年（近期）：最高日用水量：25 万 m</w:t>
      </w:r>
      <w:r>
        <w:rPr>
          <w:szCs w:val="28"/>
          <w:vertAlign w:val="superscript"/>
        </w:rPr>
        <w:t>3</w:t>
      </w:r>
      <w:r>
        <w:rPr>
          <w:szCs w:val="28"/>
        </w:rPr>
        <w:t>/d；</w:t>
      </w:r>
    </w:p>
    <w:p>
      <w:pPr>
        <w:ind w:firstLine="560"/>
        <w:rPr>
          <w:szCs w:val="28"/>
        </w:rPr>
      </w:pPr>
      <w:r>
        <w:rPr>
          <w:szCs w:val="28"/>
        </w:rPr>
        <w:t>2020年（远期）：最高日用水量：40 万 m</w:t>
      </w:r>
      <w:r>
        <w:rPr>
          <w:szCs w:val="28"/>
          <w:vertAlign w:val="superscript"/>
        </w:rPr>
        <w:t>3</w:t>
      </w:r>
      <w:r>
        <w:rPr>
          <w:szCs w:val="28"/>
        </w:rPr>
        <w:t>/d。</w:t>
      </w:r>
    </w:p>
    <w:p>
      <w:pPr>
        <w:pStyle w:val="5"/>
        <w:spacing w:before="120"/>
      </w:pPr>
      <w:bookmarkStart w:id="101" w:name="_Toc8032522"/>
      <w:r>
        <w:rPr>
          <w:rFonts w:hint="eastAsia"/>
        </w:rPr>
        <w:t>2.3.</w:t>
      </w:r>
      <w:r>
        <w:t>6</w:t>
      </w:r>
      <w:r>
        <w:rPr>
          <w:rFonts w:hint="eastAsia"/>
        </w:rPr>
        <w:t xml:space="preserve">.3 </w:t>
      </w:r>
      <w:r>
        <w:t>供水工程规划</w:t>
      </w:r>
      <w:bookmarkEnd w:id="101"/>
    </w:p>
    <w:p>
      <w:pPr>
        <w:ind w:firstLine="560"/>
        <w:rPr>
          <w:szCs w:val="28"/>
        </w:rPr>
      </w:pPr>
      <w:r>
        <w:rPr>
          <w:szCs w:val="28"/>
        </w:rPr>
        <w:t>规划方案：近期新辟徐楼岩溶水源地（4 万吨/日）、穆浅子岩溶水源地（2 万吨/日）、时村水源地（2 万吨/日），增加城市供水能力 8 万吨/日；削减漏斗中</w:t>
      </w:r>
      <w:bookmarkStart w:id="102" w:name="1.4.5_淮北市黑臭水体整治方案"/>
      <w:bookmarkEnd w:id="102"/>
      <w:bookmarkStart w:id="103" w:name="_bookmark15"/>
      <w:bookmarkEnd w:id="103"/>
      <w:r>
        <w:rPr>
          <w:szCs w:val="28"/>
        </w:rPr>
        <w:t>心淮北发电厂-三堤口一带岩溶水源井 10 眼，削减开采量 2.5 万吨/日；充分利用地 表水的蓄水工程增加需水量；对市区采煤塌陷洼地进行综合治理并与河道相沟通， 以增加地表水的调蓄能力；跨区域调水工程。</w:t>
      </w:r>
    </w:p>
    <w:p>
      <w:pPr>
        <w:ind w:firstLine="560"/>
        <w:rPr>
          <w:szCs w:val="28"/>
        </w:rPr>
      </w:pPr>
      <w:r>
        <w:rPr>
          <w:szCs w:val="28"/>
        </w:rPr>
        <w:t>水厂规划：在规划区域范围内共设 11 座供水厂，改造扩建供水厂 3 座、新建供水厂 8 座。其中高岳水厂扩建规模为 3.0 万 m</w:t>
      </w:r>
      <w:r>
        <w:rPr>
          <w:szCs w:val="28"/>
          <w:vertAlign w:val="superscript"/>
        </w:rPr>
        <w:t>3</w:t>
      </w:r>
      <w:r>
        <w:rPr>
          <w:szCs w:val="28"/>
        </w:rPr>
        <w:t>/d；相南水厂扩建规模为 2.0 万 m</w:t>
      </w:r>
      <w:r>
        <w:rPr>
          <w:szCs w:val="28"/>
          <w:vertAlign w:val="superscript"/>
        </w:rPr>
        <w:t>3</w:t>
      </w:r>
      <w:r>
        <w:rPr>
          <w:szCs w:val="28"/>
        </w:rPr>
        <w:t>/d；东部水池水厂扩建规模为 1.0 万 m</w:t>
      </w:r>
      <w:r>
        <w:rPr>
          <w:szCs w:val="28"/>
          <w:vertAlign w:val="superscript"/>
        </w:rPr>
        <w:t>3</w:t>
      </w:r>
      <w:r>
        <w:rPr>
          <w:szCs w:val="28"/>
        </w:rPr>
        <w:t>/d；凤凰山水厂设计规模为 3.0 万 m</w:t>
      </w:r>
      <w:r>
        <w:rPr>
          <w:szCs w:val="28"/>
          <w:vertAlign w:val="superscript"/>
        </w:rPr>
        <w:t>3</w:t>
      </w:r>
      <w:r>
        <w:rPr>
          <w:szCs w:val="28"/>
        </w:rPr>
        <w:t>/d； 官庄水厂设计规模为 3.5 万 m</w:t>
      </w:r>
      <w:r>
        <w:rPr>
          <w:szCs w:val="28"/>
          <w:vertAlign w:val="superscript"/>
        </w:rPr>
        <w:t>3</w:t>
      </w:r>
      <w:r>
        <w:rPr>
          <w:szCs w:val="28"/>
        </w:rPr>
        <w:t>/d；龙湖水厂设计规模为 3.5 万 m</w:t>
      </w:r>
      <w:r>
        <w:rPr>
          <w:szCs w:val="28"/>
          <w:vertAlign w:val="superscript"/>
        </w:rPr>
        <w:t>3</w:t>
      </w:r>
      <w:r>
        <w:rPr>
          <w:szCs w:val="28"/>
        </w:rPr>
        <w:t>/d；烈山水厂设计 规模为 1.0 万 m</w:t>
      </w:r>
      <w:r>
        <w:rPr>
          <w:szCs w:val="28"/>
          <w:vertAlign w:val="superscript"/>
        </w:rPr>
        <w:t>3</w:t>
      </w:r>
      <w:r>
        <w:rPr>
          <w:szCs w:val="28"/>
        </w:rPr>
        <w:t>/d；新蔡水厂设计规模为 3.0 万 m</w:t>
      </w:r>
      <w:r>
        <w:rPr>
          <w:szCs w:val="28"/>
          <w:vertAlign w:val="superscript"/>
        </w:rPr>
        <w:t>3</w:t>
      </w:r>
      <w:r>
        <w:rPr>
          <w:szCs w:val="28"/>
        </w:rPr>
        <w:t>/d；开发区一水厂设计规模为 3.0 万 m</w:t>
      </w:r>
      <w:r>
        <w:rPr>
          <w:szCs w:val="28"/>
          <w:vertAlign w:val="superscript"/>
        </w:rPr>
        <w:t>3</w:t>
      </w:r>
      <w:r>
        <w:rPr>
          <w:szCs w:val="28"/>
        </w:rPr>
        <w:t>/d；开发区二水厂设计规模为 2.0 万 m</w:t>
      </w:r>
      <w:r>
        <w:rPr>
          <w:szCs w:val="28"/>
          <w:vertAlign w:val="superscript"/>
        </w:rPr>
        <w:t>3</w:t>
      </w:r>
      <w:r>
        <w:rPr>
          <w:szCs w:val="28"/>
        </w:rPr>
        <w:t>/d；开发区地表水厂设计规模为 10.0 万 m</w:t>
      </w:r>
      <w:r>
        <w:rPr>
          <w:szCs w:val="28"/>
          <w:vertAlign w:val="superscript"/>
        </w:rPr>
        <w:t>3</w:t>
      </w:r>
      <w:r>
        <w:rPr>
          <w:szCs w:val="28"/>
        </w:rPr>
        <w:t>/d。</w:t>
      </w:r>
    </w:p>
    <w:p>
      <w:pPr>
        <w:pStyle w:val="3"/>
        <w:spacing w:before="120" w:after="60" w:line="360" w:lineRule="auto"/>
        <w:ind w:firstLine="602"/>
        <w:rPr>
          <w:rFonts w:ascii="Times New Roman" w:hAnsi="Times New Roman"/>
        </w:rPr>
      </w:pPr>
      <w:bookmarkStart w:id="104" w:name="_Toc8032523"/>
      <w:bookmarkStart w:id="105" w:name="_Toc478634297"/>
      <w:r>
        <w:rPr>
          <w:rFonts w:hint="eastAsia" w:ascii="Times New Roman" w:hAnsi="Times New Roman"/>
        </w:rPr>
        <w:t>2.4</w:t>
      </w:r>
      <w:r>
        <w:rPr>
          <w:rFonts w:ascii="Times New Roman" w:hAnsi="Times New Roman"/>
        </w:rPr>
        <w:t>城市</w:t>
      </w:r>
      <w:r>
        <w:rPr>
          <w:rFonts w:hint="eastAsia" w:ascii="Times New Roman" w:hAnsi="Times New Roman"/>
        </w:rPr>
        <w:t>排</w:t>
      </w:r>
      <w:r>
        <w:rPr>
          <w:rFonts w:ascii="Times New Roman" w:hAnsi="Times New Roman"/>
        </w:rPr>
        <w:t>水现状及规划概况</w:t>
      </w:r>
      <w:bookmarkEnd w:id="104"/>
    </w:p>
    <w:p>
      <w:pPr>
        <w:pStyle w:val="4"/>
      </w:pPr>
      <w:bookmarkStart w:id="106" w:name="_Toc8032524"/>
      <w:r>
        <w:rPr>
          <w:rFonts w:hint="eastAsia"/>
        </w:rPr>
        <w:t>2</w:t>
      </w:r>
      <w:r>
        <w:t>.</w:t>
      </w:r>
      <w:r>
        <w:rPr>
          <w:rFonts w:hint="eastAsia"/>
        </w:rPr>
        <w:t>4.1</w:t>
      </w:r>
      <w:r>
        <w:t xml:space="preserve"> 城市排水简要情况</w:t>
      </w:r>
      <w:bookmarkEnd w:id="105"/>
      <w:bookmarkEnd w:id="106"/>
    </w:p>
    <w:p>
      <w:pPr>
        <w:pStyle w:val="16"/>
        <w:kinsoku w:val="0"/>
        <w:overflowPunct w:val="0"/>
        <w:spacing w:line="360" w:lineRule="auto"/>
        <w:ind w:right="106" w:firstLine="592"/>
        <w:jc w:val="both"/>
        <w:rPr>
          <w:rFonts w:cs="Times New Roman"/>
          <w:spacing w:val="16"/>
        </w:rPr>
      </w:pPr>
      <w:bookmarkStart w:id="107" w:name="_Toc478634299"/>
      <w:r>
        <w:rPr>
          <w:rFonts w:hint="eastAsia" w:cs="Times New Roman"/>
          <w:spacing w:val="16"/>
        </w:rPr>
        <w:t>淮北市排水工程历史悠久，据考证应与建市同时。淮北市铁路线以北系老城区，排水系统主要依托自北向南的</w:t>
      </w:r>
      <w:r>
        <w:rPr>
          <w:rFonts w:cs="Times New Roman"/>
          <w:spacing w:val="16"/>
        </w:rPr>
        <w:t>11</w:t>
      </w:r>
      <w:r>
        <w:rPr>
          <w:rFonts w:hint="eastAsia" w:cs="Times New Roman"/>
          <w:spacing w:val="16"/>
        </w:rPr>
        <w:t>道排水沟涵，沿地势向南排入濉河。建市后在对老城区排水设施的方面加强投入，特别是近年来，党和政府十分重视治水保民，疏通改造了老城区下水道，并随着城市道路建设新建和改建了许多排水设施，使城市排水设施得到了很大的改善。</w:t>
      </w:r>
    </w:p>
    <w:p>
      <w:pPr>
        <w:pStyle w:val="5"/>
        <w:spacing w:before="120"/>
      </w:pPr>
      <w:bookmarkStart w:id="108" w:name="_Toc8032525"/>
      <w:r>
        <w:rPr>
          <w:rFonts w:hint="eastAsia"/>
        </w:rPr>
        <w:t>2.4</w:t>
      </w:r>
      <w:r>
        <w:t>.1</w:t>
      </w:r>
      <w:r>
        <w:rPr>
          <w:rFonts w:hint="eastAsia"/>
        </w:rPr>
        <w:t>.1 现状雨水工程情况</w:t>
      </w:r>
      <w:bookmarkEnd w:id="108"/>
    </w:p>
    <w:p>
      <w:pPr>
        <w:pStyle w:val="16"/>
        <w:kinsoku w:val="0"/>
        <w:overflowPunct w:val="0"/>
        <w:spacing w:line="360" w:lineRule="auto"/>
        <w:ind w:right="106" w:firstLine="592"/>
        <w:jc w:val="both"/>
        <w:rPr>
          <w:rFonts w:cs="Times New Roman"/>
          <w:spacing w:val="16"/>
        </w:rPr>
      </w:pPr>
      <w:r>
        <w:rPr>
          <w:rFonts w:cs="Times New Roman"/>
          <w:spacing w:val="16"/>
        </w:rPr>
        <w:t>淮北市地处黄淮中下游平原，地貌类型以平原为主，海拔以 22.0～37.0m为主，地势由西北向东南倾斜。山区主要分布在城区北侧、南侧与东侧。主城区地势较为 平坦，其间穿城河流数目较多，除西流河与跃进河为东西流向外；其他河流基本为 自北向南，如西部的萧濉新河、老濉河，中部的龙河、岱河、龙岱河(烈山段称为 雷河)，东部的闸河等。</w:t>
      </w:r>
    </w:p>
    <w:p>
      <w:pPr>
        <w:pStyle w:val="16"/>
        <w:kinsoku w:val="0"/>
        <w:overflowPunct w:val="0"/>
        <w:spacing w:line="360" w:lineRule="auto"/>
        <w:ind w:right="106" w:firstLine="592"/>
        <w:jc w:val="both"/>
        <w:rPr>
          <w:rFonts w:cs="Times New Roman"/>
          <w:spacing w:val="16"/>
        </w:rPr>
      </w:pPr>
      <w:r>
        <w:rPr>
          <w:rFonts w:cs="Times New Roman"/>
          <w:spacing w:val="16"/>
        </w:rPr>
        <w:t>在《淮北市城市排水工程专项规划》中，按照淮北市河流的汇水区域，将雨水系统分为五大雨水分区，即：老濉河雨水分区、萧濉新河及刘河雨水分区、龙岱河雨水分区、岱河雨水分区以及闸河雨水分区。</w:t>
      </w:r>
    </w:p>
    <w:p>
      <w:pPr>
        <w:pStyle w:val="16"/>
        <w:kinsoku w:val="0"/>
        <w:overflowPunct w:val="0"/>
        <w:spacing w:line="360" w:lineRule="auto"/>
        <w:ind w:right="106" w:firstLine="592"/>
        <w:jc w:val="both"/>
        <w:rPr>
          <w:rFonts w:cs="Times New Roman"/>
          <w:spacing w:val="16"/>
        </w:rPr>
      </w:pPr>
      <w:r>
        <w:rPr>
          <w:rFonts w:cs="Times New Roman"/>
          <w:spacing w:val="16"/>
        </w:rPr>
        <w:t>据统计，淮北市现状敷设有排水管涵（含雨水管渠和合流管渠）总长度约为212km，断面尺寸为 d400-2500×3000，管材为PE管，钢筋砼圆管、砖砌方涵和钢筋砼方涵等。其中符夹铁路线以北为合流制管网系统，符夹铁路线以南为分流制管网系统。现状另建有排涝泵站 2 座。</w:t>
      </w:r>
    </w:p>
    <w:p>
      <w:pPr>
        <w:pStyle w:val="16"/>
        <w:kinsoku w:val="0"/>
        <w:overflowPunct w:val="0"/>
        <w:spacing w:line="360" w:lineRule="auto"/>
        <w:ind w:right="106" w:firstLine="592"/>
        <w:jc w:val="both"/>
        <w:rPr>
          <w:rFonts w:cs="Times New Roman"/>
          <w:spacing w:val="16"/>
        </w:rPr>
      </w:pPr>
    </w:p>
    <w:p>
      <w:pPr>
        <w:pStyle w:val="16"/>
        <w:spacing w:line="360" w:lineRule="auto"/>
        <w:ind w:firstLine="482"/>
        <w:jc w:val="center"/>
        <w:rPr>
          <w:rFonts w:cs="Times New Roman"/>
          <w:b/>
          <w:sz w:val="24"/>
        </w:rPr>
      </w:pPr>
    </w:p>
    <w:p>
      <w:pPr>
        <w:pStyle w:val="16"/>
        <w:spacing w:line="360" w:lineRule="auto"/>
        <w:ind w:firstLine="482"/>
        <w:jc w:val="center"/>
        <w:rPr>
          <w:rFonts w:cs="Times New Roman"/>
          <w:b/>
          <w:sz w:val="24"/>
        </w:rPr>
      </w:pPr>
      <w:r>
        <w:rPr>
          <w:rFonts w:hint="eastAsia" w:cs="Times New Roman"/>
          <w:b/>
          <w:sz w:val="24"/>
        </w:rPr>
        <w:t xml:space="preserve">表2-15   </w:t>
      </w:r>
      <w:r>
        <w:rPr>
          <w:rFonts w:cs="Times New Roman"/>
          <w:b/>
          <w:sz w:val="24"/>
        </w:rPr>
        <w:t>现状市政管渠系统</w:t>
      </w:r>
    </w:p>
    <w:tbl>
      <w:tblPr>
        <w:tblStyle w:val="67"/>
        <w:tblW w:w="9456" w:type="dxa"/>
        <w:tblInd w:w="32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0" w:type="dxa"/>
          <w:bottom w:w="0" w:type="dxa"/>
          <w:right w:w="0" w:type="dxa"/>
        </w:tblCellMar>
      </w:tblPr>
      <w:tblGrid>
        <w:gridCol w:w="1368"/>
        <w:gridCol w:w="1556"/>
        <w:gridCol w:w="1723"/>
        <w:gridCol w:w="1483"/>
        <w:gridCol w:w="1958"/>
        <w:gridCol w:w="1368"/>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435" w:hRule="exact"/>
        </w:trPr>
        <w:tc>
          <w:tcPr>
            <w:tcW w:w="1368" w:type="dxa"/>
            <w:vAlign w:val="center"/>
          </w:tcPr>
          <w:p>
            <w:pPr>
              <w:pStyle w:val="72"/>
              <w:rPr>
                <w:rFonts w:asciiTheme="minorHAnsi" w:hAnsiTheme="minorHAnsi" w:eastAsiaTheme="minorEastAsia"/>
              </w:rPr>
            </w:pPr>
            <w:r>
              <w:rPr>
                <w:rFonts w:asciiTheme="minorHAnsi" w:hAnsiTheme="minorHAnsi" w:eastAsiaTheme="minorEastAsia"/>
              </w:rPr>
              <w:t>现状人口</w:t>
            </w:r>
          </w:p>
        </w:tc>
        <w:tc>
          <w:tcPr>
            <w:tcW w:w="1556" w:type="dxa"/>
            <w:vAlign w:val="center"/>
          </w:tcPr>
          <w:p>
            <w:pPr>
              <w:pStyle w:val="72"/>
              <w:rPr>
                <w:rFonts w:asciiTheme="minorHAnsi" w:hAnsiTheme="minorHAnsi" w:eastAsiaTheme="minorEastAsia"/>
              </w:rPr>
            </w:pPr>
            <w:r>
              <w:rPr>
                <w:rFonts w:asciiTheme="minorHAnsi" w:hAnsiTheme="minorHAnsi" w:eastAsiaTheme="minorEastAsia"/>
              </w:rPr>
              <w:t>现状建成区</w:t>
            </w:r>
          </w:p>
        </w:tc>
        <w:tc>
          <w:tcPr>
            <w:tcW w:w="1723" w:type="dxa"/>
            <w:vAlign w:val="center"/>
          </w:tcPr>
          <w:p>
            <w:pPr>
              <w:pStyle w:val="72"/>
              <w:rPr>
                <w:rFonts w:asciiTheme="minorHAnsi" w:hAnsiTheme="minorHAnsi" w:eastAsiaTheme="minorEastAsia"/>
              </w:rPr>
            </w:pPr>
            <w:r>
              <w:rPr>
                <w:rFonts w:asciiTheme="minorHAnsi" w:hAnsiTheme="minorHAnsi" w:eastAsiaTheme="minorEastAsia"/>
              </w:rPr>
              <w:t>雨污合流管网</w:t>
            </w:r>
          </w:p>
        </w:tc>
        <w:tc>
          <w:tcPr>
            <w:tcW w:w="1483" w:type="dxa"/>
            <w:vAlign w:val="center"/>
          </w:tcPr>
          <w:p>
            <w:pPr>
              <w:pStyle w:val="72"/>
              <w:rPr>
                <w:rFonts w:asciiTheme="minorHAnsi" w:hAnsiTheme="minorHAnsi" w:eastAsiaTheme="minorEastAsia"/>
              </w:rPr>
            </w:pPr>
            <w:r>
              <w:rPr>
                <w:rFonts w:asciiTheme="minorHAnsi" w:hAnsiTheme="minorHAnsi" w:eastAsiaTheme="minorEastAsia"/>
              </w:rPr>
              <w:t>雨水管网长</w:t>
            </w:r>
          </w:p>
        </w:tc>
        <w:tc>
          <w:tcPr>
            <w:tcW w:w="1958" w:type="dxa"/>
            <w:vAlign w:val="center"/>
          </w:tcPr>
          <w:p>
            <w:pPr>
              <w:pStyle w:val="72"/>
              <w:rPr>
                <w:rFonts w:asciiTheme="minorHAnsi" w:hAnsiTheme="minorHAnsi" w:eastAsiaTheme="minorEastAsia"/>
              </w:rPr>
            </w:pPr>
            <w:r>
              <w:rPr>
                <w:rFonts w:asciiTheme="minorHAnsi" w:hAnsiTheme="minorHAnsi" w:eastAsiaTheme="minorEastAsia"/>
              </w:rPr>
              <w:t>合流制排水渠道</w:t>
            </w:r>
          </w:p>
        </w:tc>
        <w:tc>
          <w:tcPr>
            <w:tcW w:w="1368" w:type="dxa"/>
            <w:vAlign w:val="center"/>
          </w:tcPr>
          <w:p>
            <w:pPr>
              <w:pStyle w:val="72"/>
              <w:rPr>
                <w:rFonts w:asciiTheme="minorHAnsi" w:hAnsiTheme="minorHAnsi" w:eastAsiaTheme="minorEastAsia"/>
              </w:rPr>
            </w:pPr>
            <w:r>
              <w:rPr>
                <w:rFonts w:asciiTheme="minorHAnsi" w:hAnsiTheme="minorHAnsi" w:eastAsiaTheme="minorEastAsia"/>
              </w:rPr>
              <w:t>雨水明渠</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431" w:hRule="exact"/>
        </w:trPr>
        <w:tc>
          <w:tcPr>
            <w:tcW w:w="1368" w:type="dxa"/>
            <w:vAlign w:val="center"/>
          </w:tcPr>
          <w:p>
            <w:pPr>
              <w:pStyle w:val="72"/>
              <w:rPr>
                <w:rFonts w:asciiTheme="minorHAnsi" w:hAnsiTheme="minorHAnsi" w:eastAsiaTheme="minorEastAsia"/>
              </w:rPr>
            </w:pPr>
            <w:r>
              <w:rPr>
                <w:rFonts w:asciiTheme="minorHAnsi" w:hAnsiTheme="minorHAnsi" w:eastAsiaTheme="minorEastAsia"/>
              </w:rPr>
              <w:t>（万人）</w:t>
            </w:r>
          </w:p>
        </w:tc>
        <w:tc>
          <w:tcPr>
            <w:tcW w:w="1556" w:type="dxa"/>
            <w:vAlign w:val="center"/>
          </w:tcPr>
          <w:p>
            <w:pPr>
              <w:pStyle w:val="72"/>
              <w:rPr>
                <w:rFonts w:asciiTheme="minorHAnsi" w:hAnsiTheme="minorHAnsi" w:eastAsiaTheme="minorEastAsia"/>
              </w:rPr>
            </w:pPr>
            <w:r>
              <w:rPr>
                <w:rFonts w:asciiTheme="minorHAnsi" w:hAnsiTheme="minorHAnsi" w:eastAsiaTheme="minorEastAsia"/>
              </w:rPr>
              <w:t>面积（km</w:t>
            </w:r>
            <w:r>
              <w:rPr>
                <w:rFonts w:asciiTheme="minorHAnsi" w:hAnsiTheme="minorHAnsi" w:eastAsiaTheme="minorEastAsia"/>
                <w:szCs w:val="15"/>
                <w:vertAlign w:val="superscript"/>
              </w:rPr>
              <w:t>2</w:t>
            </w:r>
            <w:r>
              <w:rPr>
                <w:rFonts w:asciiTheme="minorHAnsi" w:hAnsiTheme="minorHAnsi" w:eastAsiaTheme="minorEastAsia"/>
              </w:rPr>
              <w:t>）</w:t>
            </w:r>
          </w:p>
        </w:tc>
        <w:tc>
          <w:tcPr>
            <w:tcW w:w="1723" w:type="dxa"/>
            <w:vAlign w:val="center"/>
          </w:tcPr>
          <w:p>
            <w:pPr>
              <w:pStyle w:val="72"/>
              <w:rPr>
                <w:rFonts w:asciiTheme="minorHAnsi" w:hAnsiTheme="minorHAnsi" w:eastAsiaTheme="minorEastAsia"/>
              </w:rPr>
            </w:pPr>
            <w:r>
              <w:rPr>
                <w:rFonts w:asciiTheme="minorHAnsi" w:hAnsiTheme="minorHAnsi" w:eastAsiaTheme="minorEastAsia"/>
              </w:rPr>
              <w:t>长度（km）</w:t>
            </w:r>
          </w:p>
        </w:tc>
        <w:tc>
          <w:tcPr>
            <w:tcW w:w="1483" w:type="dxa"/>
            <w:vAlign w:val="center"/>
          </w:tcPr>
          <w:p>
            <w:pPr>
              <w:pStyle w:val="72"/>
              <w:rPr>
                <w:rFonts w:asciiTheme="minorHAnsi" w:hAnsiTheme="minorHAnsi" w:eastAsiaTheme="minorEastAsia"/>
              </w:rPr>
            </w:pPr>
            <w:r>
              <w:rPr>
                <w:rFonts w:asciiTheme="minorHAnsi" w:hAnsiTheme="minorHAnsi" w:eastAsiaTheme="minorEastAsia"/>
              </w:rPr>
              <w:t>度（km）</w:t>
            </w:r>
          </w:p>
        </w:tc>
        <w:tc>
          <w:tcPr>
            <w:tcW w:w="1958" w:type="dxa"/>
            <w:vAlign w:val="center"/>
          </w:tcPr>
          <w:p>
            <w:pPr>
              <w:pStyle w:val="72"/>
              <w:rPr>
                <w:rFonts w:asciiTheme="minorHAnsi" w:hAnsiTheme="minorHAnsi" w:eastAsiaTheme="minorEastAsia"/>
              </w:rPr>
            </w:pPr>
            <w:r>
              <w:rPr>
                <w:rFonts w:asciiTheme="minorHAnsi" w:hAnsiTheme="minorHAnsi" w:eastAsiaTheme="minorEastAsia"/>
              </w:rPr>
              <w:t>长度（km）</w:t>
            </w:r>
          </w:p>
        </w:tc>
        <w:tc>
          <w:tcPr>
            <w:tcW w:w="1368" w:type="dxa"/>
            <w:vAlign w:val="center"/>
          </w:tcPr>
          <w:p>
            <w:pPr>
              <w:pStyle w:val="72"/>
              <w:rPr>
                <w:rFonts w:asciiTheme="minorHAnsi" w:hAnsiTheme="minorHAnsi" w:eastAsiaTheme="minorEastAsia"/>
              </w:rPr>
            </w:pPr>
            <w:r>
              <w:rPr>
                <w:rFonts w:asciiTheme="minorHAnsi" w:hAnsiTheme="minorHAnsi" w:eastAsiaTheme="minorEastAsia"/>
              </w:rPr>
              <w:t>长度（km）</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rPr>
          <w:trHeight w:val="431" w:hRule="exact"/>
        </w:trPr>
        <w:tc>
          <w:tcPr>
            <w:tcW w:w="1368" w:type="dxa"/>
            <w:vAlign w:val="center"/>
          </w:tcPr>
          <w:p>
            <w:pPr>
              <w:pStyle w:val="72"/>
              <w:rPr>
                <w:rFonts w:asciiTheme="minorHAnsi" w:hAnsiTheme="minorHAnsi" w:eastAsiaTheme="minorEastAsia"/>
              </w:rPr>
            </w:pPr>
            <w:r>
              <w:rPr>
                <w:rFonts w:asciiTheme="minorHAnsi" w:hAnsiTheme="minorHAnsi" w:eastAsiaTheme="minorEastAsia"/>
              </w:rPr>
              <w:t>66</w:t>
            </w:r>
          </w:p>
        </w:tc>
        <w:tc>
          <w:tcPr>
            <w:tcW w:w="1556" w:type="dxa"/>
            <w:vAlign w:val="center"/>
          </w:tcPr>
          <w:p>
            <w:pPr>
              <w:pStyle w:val="72"/>
              <w:rPr>
                <w:rFonts w:asciiTheme="minorHAnsi" w:hAnsiTheme="minorHAnsi" w:eastAsiaTheme="minorEastAsia"/>
              </w:rPr>
            </w:pPr>
            <w:r>
              <w:rPr>
                <w:rFonts w:asciiTheme="minorHAnsi" w:hAnsiTheme="minorHAnsi" w:eastAsiaTheme="minorEastAsia"/>
              </w:rPr>
              <w:t>71</w:t>
            </w:r>
          </w:p>
        </w:tc>
        <w:tc>
          <w:tcPr>
            <w:tcW w:w="1723" w:type="dxa"/>
            <w:vAlign w:val="center"/>
          </w:tcPr>
          <w:p>
            <w:pPr>
              <w:pStyle w:val="72"/>
              <w:rPr>
                <w:rFonts w:asciiTheme="minorHAnsi" w:hAnsiTheme="minorHAnsi" w:eastAsiaTheme="minorEastAsia"/>
              </w:rPr>
            </w:pPr>
            <w:r>
              <w:rPr>
                <w:rFonts w:asciiTheme="minorHAnsi" w:hAnsiTheme="minorHAnsi" w:eastAsiaTheme="minorEastAsia"/>
              </w:rPr>
              <w:t>23</w:t>
            </w:r>
          </w:p>
        </w:tc>
        <w:tc>
          <w:tcPr>
            <w:tcW w:w="1483" w:type="dxa"/>
            <w:vAlign w:val="center"/>
          </w:tcPr>
          <w:p>
            <w:pPr>
              <w:pStyle w:val="72"/>
              <w:rPr>
                <w:rFonts w:asciiTheme="minorHAnsi" w:hAnsiTheme="minorHAnsi" w:eastAsiaTheme="minorEastAsia"/>
              </w:rPr>
            </w:pPr>
            <w:r>
              <w:rPr>
                <w:rFonts w:asciiTheme="minorHAnsi" w:hAnsiTheme="minorHAnsi" w:eastAsiaTheme="minorEastAsia"/>
              </w:rPr>
              <w:t>189</w:t>
            </w:r>
          </w:p>
        </w:tc>
        <w:tc>
          <w:tcPr>
            <w:tcW w:w="1958" w:type="dxa"/>
            <w:vAlign w:val="center"/>
          </w:tcPr>
          <w:p>
            <w:pPr>
              <w:pStyle w:val="72"/>
              <w:rPr>
                <w:rFonts w:asciiTheme="minorHAnsi" w:hAnsiTheme="minorHAnsi" w:eastAsiaTheme="minorEastAsia"/>
              </w:rPr>
            </w:pPr>
            <w:r>
              <w:rPr>
                <w:rFonts w:asciiTheme="minorHAnsi" w:hAnsiTheme="minorHAnsi" w:eastAsiaTheme="minorEastAsia"/>
              </w:rPr>
              <w:t>19</w:t>
            </w:r>
          </w:p>
        </w:tc>
        <w:tc>
          <w:tcPr>
            <w:tcW w:w="1368" w:type="dxa"/>
            <w:vAlign w:val="center"/>
          </w:tcPr>
          <w:p>
            <w:pPr>
              <w:pStyle w:val="72"/>
              <w:rPr>
                <w:rFonts w:asciiTheme="minorHAnsi" w:hAnsiTheme="minorHAnsi" w:eastAsiaTheme="minorEastAsia"/>
              </w:rPr>
            </w:pPr>
            <w:r>
              <w:rPr>
                <w:rFonts w:asciiTheme="minorHAnsi" w:hAnsiTheme="minorHAnsi" w:eastAsiaTheme="minorEastAsia"/>
              </w:rPr>
              <w:t>75</w:t>
            </w:r>
          </w:p>
        </w:tc>
      </w:tr>
    </w:tbl>
    <w:p>
      <w:pPr>
        <w:pStyle w:val="16"/>
        <w:spacing w:line="360" w:lineRule="auto"/>
        <w:ind w:firstLine="482"/>
        <w:jc w:val="center"/>
        <w:rPr>
          <w:rFonts w:cs="Times New Roman"/>
          <w:b/>
          <w:sz w:val="24"/>
        </w:rPr>
      </w:pPr>
      <w:r>
        <w:rPr>
          <w:rFonts w:hint="eastAsia" w:cs="Times New Roman"/>
          <w:b/>
          <w:sz w:val="24"/>
        </w:rPr>
        <w:t>表2-16  现状城市排水管网设计重现期</w:t>
      </w:r>
    </w:p>
    <w:p>
      <w:pPr>
        <w:spacing w:before="6" w:line="240" w:lineRule="auto"/>
        <w:ind w:left="4340" w:leftChars="200" w:hanging="3780" w:hangingChars="1350"/>
        <w:jc w:val="center"/>
        <w:rPr>
          <w:rFonts w:cs="宋体"/>
          <w:b/>
          <w:sz w:val="24"/>
        </w:rPr>
      </w:pPr>
      <w:r>
        <w:drawing>
          <wp:inline distT="0" distB="0" distL="0" distR="0">
            <wp:extent cx="6073775" cy="1032510"/>
            <wp:effectExtent l="19050" t="0" r="3134"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36"/>
                    <a:srcRect/>
                    <a:stretch>
                      <a:fillRect/>
                    </a:stretch>
                  </pic:blipFill>
                  <pic:spPr>
                    <a:xfrm>
                      <a:off x="0" y="0"/>
                      <a:ext cx="6079104" cy="1033450"/>
                    </a:xfrm>
                    <a:prstGeom prst="rect">
                      <a:avLst/>
                    </a:prstGeom>
                    <a:noFill/>
                    <a:ln w="9525">
                      <a:noFill/>
                      <a:miter lim="800000"/>
                      <a:headEnd/>
                      <a:tailEnd/>
                    </a:ln>
                  </pic:spPr>
                </pic:pic>
              </a:graphicData>
            </a:graphic>
          </wp:inline>
        </w:drawing>
      </w:r>
    </w:p>
    <w:p>
      <w:pPr>
        <w:pStyle w:val="16"/>
        <w:spacing w:line="360" w:lineRule="auto"/>
        <w:ind w:firstLine="482"/>
        <w:jc w:val="center"/>
        <w:rPr>
          <w:rFonts w:cs="Times New Roman"/>
          <w:b/>
          <w:sz w:val="24"/>
        </w:rPr>
      </w:pPr>
      <w:r>
        <w:rPr>
          <w:rFonts w:hint="eastAsia" w:cs="Times New Roman"/>
          <w:b/>
          <w:sz w:val="24"/>
        </w:rPr>
        <w:t xml:space="preserve">表2-17   </w:t>
      </w:r>
      <w:r>
        <w:rPr>
          <w:rFonts w:cs="Times New Roman"/>
          <w:b/>
          <w:sz w:val="24"/>
        </w:rPr>
        <w:t>现状城市排涝泵站</w:t>
      </w:r>
    </w:p>
    <w:tbl>
      <w:tblPr>
        <w:tblStyle w:val="67"/>
        <w:tblW w:w="8928" w:type="dxa"/>
        <w:tblInd w:w="583" w:type="dxa"/>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1683"/>
        <w:gridCol w:w="3150"/>
        <w:gridCol w:w="1575"/>
        <w:gridCol w:w="2520"/>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654" w:hRule="exact"/>
        </w:trPr>
        <w:tc>
          <w:tcPr>
            <w:tcW w:w="1683" w:type="dxa"/>
            <w:vAlign w:val="center"/>
          </w:tcPr>
          <w:p>
            <w:pPr>
              <w:pStyle w:val="72"/>
              <w:rPr>
                <w:rFonts w:asciiTheme="minorHAnsi" w:hAnsiTheme="minorHAnsi" w:eastAsiaTheme="minorEastAsia"/>
              </w:rPr>
            </w:pPr>
            <w:r>
              <w:rPr>
                <w:rFonts w:asciiTheme="minorHAnsi" w:hAnsiTheme="minorHAnsi" w:eastAsiaTheme="minorEastAsia"/>
              </w:rPr>
              <w:t>泵站名称</w:t>
            </w:r>
          </w:p>
        </w:tc>
        <w:tc>
          <w:tcPr>
            <w:tcW w:w="3150" w:type="dxa"/>
            <w:vAlign w:val="center"/>
          </w:tcPr>
          <w:p>
            <w:pPr>
              <w:pStyle w:val="72"/>
              <w:rPr>
                <w:rFonts w:asciiTheme="minorHAnsi" w:hAnsiTheme="minorHAnsi" w:eastAsiaTheme="minorEastAsia"/>
              </w:rPr>
            </w:pPr>
            <w:r>
              <w:rPr>
                <w:rFonts w:asciiTheme="minorHAnsi" w:hAnsiTheme="minorHAnsi" w:eastAsiaTheme="minorEastAsia"/>
              </w:rPr>
              <w:t>泵站位置</w:t>
            </w:r>
          </w:p>
        </w:tc>
        <w:tc>
          <w:tcPr>
            <w:tcW w:w="1575" w:type="dxa"/>
            <w:vAlign w:val="center"/>
          </w:tcPr>
          <w:p>
            <w:pPr>
              <w:pStyle w:val="72"/>
              <w:rPr>
                <w:rFonts w:asciiTheme="minorHAnsi" w:hAnsiTheme="minorHAnsi" w:eastAsiaTheme="minorEastAsia"/>
              </w:rPr>
            </w:pPr>
            <w:r>
              <w:rPr>
                <w:rFonts w:asciiTheme="minorHAnsi" w:hAnsiTheme="minorHAnsi" w:eastAsiaTheme="minorEastAsia"/>
              </w:rPr>
              <w:t>泵站性质</w:t>
            </w:r>
          </w:p>
        </w:tc>
        <w:tc>
          <w:tcPr>
            <w:tcW w:w="2520" w:type="dxa"/>
            <w:vAlign w:val="center"/>
          </w:tcPr>
          <w:p>
            <w:pPr>
              <w:pStyle w:val="72"/>
              <w:rPr>
                <w:rFonts w:asciiTheme="minorHAnsi" w:hAnsiTheme="minorHAnsi" w:eastAsiaTheme="minorEastAsia"/>
              </w:rPr>
            </w:pPr>
            <w:r>
              <w:rPr>
                <w:rFonts w:asciiTheme="minorHAnsi" w:hAnsiTheme="minorHAnsi" w:eastAsiaTheme="minorEastAsia"/>
              </w:rPr>
              <w:t>设计流量（</w:t>
            </w:r>
            <w:r>
              <w:rPr>
                <w:rFonts w:eastAsia="Times New Roman" w:asciiTheme="minorHAnsi" w:hAnsiTheme="minorHAnsi"/>
              </w:rPr>
              <w:t>m</w:t>
            </w:r>
            <w:r>
              <w:rPr>
                <w:rFonts w:eastAsia="Times New Roman" w:asciiTheme="minorHAnsi" w:hAnsiTheme="minorHAnsi"/>
                <w:position w:val="8"/>
                <w:sz w:val="15"/>
                <w:szCs w:val="15"/>
              </w:rPr>
              <w:t>3</w:t>
            </w:r>
            <w:r>
              <w:rPr>
                <w:rFonts w:eastAsia="Times New Roman" w:asciiTheme="minorHAnsi" w:hAnsiTheme="minorHAnsi"/>
              </w:rPr>
              <w:t>/s</w:t>
            </w:r>
            <w:r>
              <w:rPr>
                <w:rFonts w:asciiTheme="minorHAnsi" w:hAnsiTheme="minorHAnsi" w:eastAsiaTheme="minorEastAsia"/>
              </w:rPr>
              <w:t>）</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78" w:hRule="exact"/>
        </w:trPr>
        <w:tc>
          <w:tcPr>
            <w:tcW w:w="1683" w:type="dxa"/>
            <w:vAlign w:val="center"/>
          </w:tcPr>
          <w:p>
            <w:pPr>
              <w:pStyle w:val="72"/>
              <w:rPr>
                <w:rFonts w:asciiTheme="minorHAnsi" w:hAnsiTheme="minorHAnsi" w:eastAsiaTheme="minorEastAsia"/>
              </w:rPr>
            </w:pPr>
            <w:r>
              <w:rPr>
                <w:rFonts w:asciiTheme="minorHAnsi" w:hAnsiTheme="minorHAnsi" w:eastAsiaTheme="minorEastAsia"/>
              </w:rPr>
              <w:t>丁任沟泵站</w:t>
            </w:r>
          </w:p>
        </w:tc>
        <w:tc>
          <w:tcPr>
            <w:tcW w:w="3150" w:type="dxa"/>
            <w:vAlign w:val="center"/>
          </w:tcPr>
          <w:p>
            <w:pPr>
              <w:pStyle w:val="72"/>
              <w:rPr>
                <w:rFonts w:asciiTheme="minorHAnsi" w:hAnsiTheme="minorHAnsi" w:eastAsiaTheme="minorEastAsia"/>
              </w:rPr>
            </w:pPr>
            <w:r>
              <w:rPr>
                <w:rFonts w:asciiTheme="minorHAnsi" w:hAnsiTheme="minorHAnsi" w:eastAsiaTheme="minorEastAsia"/>
              </w:rPr>
              <w:t>丁任沟与洪碱河交口</w:t>
            </w:r>
          </w:p>
        </w:tc>
        <w:tc>
          <w:tcPr>
            <w:tcW w:w="1575" w:type="dxa"/>
            <w:vAlign w:val="center"/>
          </w:tcPr>
          <w:p>
            <w:pPr>
              <w:pStyle w:val="72"/>
              <w:rPr>
                <w:rFonts w:asciiTheme="minorHAnsi" w:hAnsiTheme="minorHAnsi" w:eastAsiaTheme="minorEastAsia"/>
              </w:rPr>
            </w:pPr>
            <w:r>
              <w:rPr>
                <w:rFonts w:asciiTheme="minorHAnsi" w:hAnsiTheme="minorHAnsi" w:eastAsiaTheme="minorEastAsia"/>
              </w:rPr>
              <w:t>排涝泵站</w:t>
            </w:r>
          </w:p>
        </w:tc>
        <w:tc>
          <w:tcPr>
            <w:tcW w:w="2520" w:type="dxa"/>
            <w:vAlign w:val="center"/>
          </w:tcPr>
          <w:p>
            <w:pPr>
              <w:pStyle w:val="72"/>
              <w:rPr>
                <w:rFonts w:eastAsia="Times New Roman" w:asciiTheme="minorHAnsi" w:hAnsiTheme="minorHAnsi"/>
              </w:rPr>
            </w:pPr>
            <w:r>
              <w:rPr>
                <w:rFonts w:asciiTheme="minorHAnsi" w:hAnsiTheme="minorHAnsi" w:eastAsiaTheme="minorEastAsia"/>
              </w:rPr>
              <w:t>5.2</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78" w:hRule="exact"/>
        </w:trPr>
        <w:tc>
          <w:tcPr>
            <w:tcW w:w="1683" w:type="dxa"/>
            <w:vAlign w:val="center"/>
          </w:tcPr>
          <w:p>
            <w:pPr>
              <w:pStyle w:val="72"/>
              <w:rPr>
                <w:rFonts w:asciiTheme="minorHAnsi" w:hAnsiTheme="minorHAnsi" w:eastAsiaTheme="minorEastAsia"/>
              </w:rPr>
            </w:pPr>
            <w:r>
              <w:rPr>
                <w:rFonts w:asciiTheme="minorHAnsi" w:hAnsiTheme="minorHAnsi" w:eastAsiaTheme="minorEastAsia"/>
              </w:rPr>
              <w:t>龙湖沟泵站</w:t>
            </w:r>
          </w:p>
        </w:tc>
        <w:tc>
          <w:tcPr>
            <w:tcW w:w="3150" w:type="dxa"/>
            <w:vAlign w:val="center"/>
          </w:tcPr>
          <w:p>
            <w:pPr>
              <w:pStyle w:val="72"/>
              <w:rPr>
                <w:rFonts w:asciiTheme="minorHAnsi" w:hAnsiTheme="minorHAnsi" w:eastAsiaTheme="minorEastAsia"/>
              </w:rPr>
            </w:pPr>
            <w:r>
              <w:rPr>
                <w:rFonts w:asciiTheme="minorHAnsi" w:hAnsiTheme="minorHAnsi" w:eastAsiaTheme="minorEastAsia"/>
              </w:rPr>
              <w:t>龙湖沟与龙河交口</w:t>
            </w:r>
          </w:p>
        </w:tc>
        <w:tc>
          <w:tcPr>
            <w:tcW w:w="1575" w:type="dxa"/>
            <w:vAlign w:val="center"/>
          </w:tcPr>
          <w:p>
            <w:pPr>
              <w:pStyle w:val="72"/>
              <w:rPr>
                <w:rFonts w:asciiTheme="minorHAnsi" w:hAnsiTheme="minorHAnsi" w:eastAsiaTheme="minorEastAsia"/>
              </w:rPr>
            </w:pPr>
            <w:r>
              <w:rPr>
                <w:rFonts w:asciiTheme="minorHAnsi" w:hAnsiTheme="minorHAnsi" w:eastAsiaTheme="minorEastAsia"/>
              </w:rPr>
              <w:t>排涝泵站</w:t>
            </w:r>
          </w:p>
        </w:tc>
        <w:tc>
          <w:tcPr>
            <w:tcW w:w="2520" w:type="dxa"/>
            <w:vAlign w:val="center"/>
          </w:tcPr>
          <w:p>
            <w:pPr>
              <w:pStyle w:val="72"/>
              <w:rPr>
                <w:rFonts w:eastAsia="Times New Roman" w:asciiTheme="minorHAnsi" w:hAnsiTheme="minorHAnsi"/>
              </w:rPr>
            </w:pPr>
            <w:r>
              <w:rPr>
                <w:rFonts w:asciiTheme="minorHAnsi" w:hAnsiTheme="minorHAnsi" w:eastAsiaTheme="minorEastAsia"/>
              </w:rPr>
              <w:t>6.88</w:t>
            </w:r>
          </w:p>
        </w:tc>
      </w:tr>
    </w:tbl>
    <w:p>
      <w:pPr>
        <w:pStyle w:val="16"/>
        <w:spacing w:line="360" w:lineRule="auto"/>
        <w:ind w:firstLine="560"/>
        <w:rPr>
          <w:rFonts w:cs="Times New Roman"/>
        </w:rPr>
      </w:pPr>
    </w:p>
    <w:p>
      <w:pPr>
        <w:pStyle w:val="16"/>
        <w:spacing w:line="360" w:lineRule="auto"/>
        <w:ind w:firstLine="560"/>
        <w:rPr>
          <w:rFonts w:cs="Times New Roman"/>
        </w:rPr>
      </w:pPr>
      <w:r>
        <w:rPr>
          <w:rFonts w:cs="Times New Roman"/>
        </w:rPr>
        <w:t>另外还建设有立交桥排水泵站10座，其中濉溪路铁路桥泵站为小型无人值守泵站。共有水泵29台，总装机功率 986kw，总排水流量 16945 m</w:t>
      </w:r>
      <w:r>
        <w:rPr>
          <w:rFonts w:cs="Times New Roman"/>
          <w:vertAlign w:val="superscript"/>
        </w:rPr>
        <w:t>3</w:t>
      </w:r>
      <w:r>
        <w:rPr>
          <w:rFonts w:cs="Times New Roman"/>
        </w:rPr>
        <w:t>/h。</w:t>
      </w:r>
    </w:p>
    <w:p>
      <w:pPr>
        <w:pStyle w:val="16"/>
        <w:spacing w:line="360" w:lineRule="auto"/>
        <w:ind w:firstLine="482"/>
        <w:jc w:val="center"/>
        <w:rPr>
          <w:rFonts w:cs="Times New Roman"/>
          <w:b/>
          <w:sz w:val="24"/>
        </w:rPr>
      </w:pPr>
      <w:r>
        <w:rPr>
          <w:rFonts w:hint="eastAsia" w:cs="Times New Roman"/>
          <w:b/>
          <w:sz w:val="24"/>
        </w:rPr>
        <w:t xml:space="preserve">表2-18   </w:t>
      </w:r>
      <w:r>
        <w:rPr>
          <w:rFonts w:cs="Times New Roman"/>
          <w:b/>
          <w:sz w:val="24"/>
        </w:rPr>
        <w:t>现状城市立交泵站</w:t>
      </w:r>
    </w:p>
    <w:tbl>
      <w:tblPr>
        <w:tblStyle w:val="67"/>
        <w:tblW w:w="9928" w:type="dxa"/>
        <w:tblInd w:w="0" w:type="dxa"/>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1990"/>
        <w:gridCol w:w="2977"/>
        <w:gridCol w:w="1417"/>
        <w:gridCol w:w="1559"/>
        <w:gridCol w:w="851"/>
        <w:gridCol w:w="1134"/>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633" w:hRule="exact"/>
        </w:trPr>
        <w:tc>
          <w:tcPr>
            <w:tcW w:w="1990" w:type="dxa"/>
            <w:vAlign w:val="center"/>
          </w:tcPr>
          <w:p>
            <w:pPr>
              <w:pStyle w:val="72"/>
              <w:rPr>
                <w:rFonts w:asciiTheme="minorHAnsi" w:hAnsiTheme="minorHAnsi" w:eastAsiaTheme="minorEastAsia"/>
              </w:rPr>
            </w:pPr>
            <w:r>
              <w:rPr>
                <w:rFonts w:asciiTheme="minorHAnsi" w:hAnsiTheme="minorHAnsi" w:eastAsiaTheme="minorEastAsia"/>
              </w:rPr>
              <w:t>泵站名称</w:t>
            </w:r>
          </w:p>
        </w:tc>
        <w:tc>
          <w:tcPr>
            <w:tcW w:w="2977" w:type="dxa"/>
            <w:vAlign w:val="center"/>
          </w:tcPr>
          <w:p>
            <w:pPr>
              <w:pStyle w:val="72"/>
              <w:rPr>
                <w:rFonts w:asciiTheme="minorHAnsi" w:hAnsiTheme="minorHAnsi" w:eastAsiaTheme="minorEastAsia"/>
              </w:rPr>
            </w:pPr>
            <w:r>
              <w:rPr>
                <w:rFonts w:asciiTheme="minorHAnsi" w:hAnsiTheme="minorHAnsi" w:eastAsiaTheme="minorEastAsia"/>
              </w:rPr>
              <w:t>泵站位置</w:t>
            </w:r>
          </w:p>
        </w:tc>
        <w:tc>
          <w:tcPr>
            <w:tcW w:w="1417" w:type="dxa"/>
            <w:vAlign w:val="center"/>
          </w:tcPr>
          <w:p>
            <w:pPr>
              <w:pStyle w:val="72"/>
              <w:rPr>
                <w:rFonts w:asciiTheme="minorHAnsi" w:hAnsiTheme="minorHAnsi" w:eastAsiaTheme="minorEastAsia"/>
              </w:rPr>
            </w:pPr>
            <w:r>
              <w:rPr>
                <w:rFonts w:asciiTheme="minorHAnsi" w:hAnsiTheme="minorHAnsi" w:eastAsiaTheme="minorEastAsia"/>
              </w:rPr>
              <w:t>泵站性质</w:t>
            </w:r>
          </w:p>
        </w:tc>
        <w:tc>
          <w:tcPr>
            <w:tcW w:w="1559" w:type="dxa"/>
            <w:vAlign w:val="center"/>
          </w:tcPr>
          <w:p>
            <w:pPr>
              <w:pStyle w:val="72"/>
              <w:rPr>
                <w:rFonts w:asciiTheme="minorHAnsi" w:hAnsiTheme="minorHAnsi" w:eastAsiaTheme="minorEastAsia"/>
              </w:rPr>
            </w:pPr>
            <w:r>
              <w:rPr>
                <w:rFonts w:asciiTheme="minorHAnsi" w:hAnsiTheme="minorHAnsi" w:eastAsiaTheme="minorEastAsia"/>
              </w:rPr>
              <w:t>设计流量</w:t>
            </w:r>
          </w:p>
          <w:p>
            <w:pPr>
              <w:pStyle w:val="72"/>
              <w:rPr>
                <w:rFonts w:asciiTheme="minorHAnsi" w:hAnsiTheme="minorHAnsi" w:eastAsiaTheme="minorEastAsia"/>
              </w:rPr>
            </w:pPr>
            <w:r>
              <w:rPr>
                <w:rFonts w:asciiTheme="minorHAnsi" w:hAnsiTheme="minorHAnsi" w:eastAsiaTheme="minorEastAsia"/>
              </w:rPr>
              <w:t>（</w:t>
            </w:r>
            <w:r>
              <w:rPr>
                <w:rFonts w:eastAsia="Times New Roman" w:asciiTheme="minorHAnsi" w:hAnsiTheme="minorHAnsi"/>
              </w:rPr>
              <w:t>m</w:t>
            </w:r>
            <w:r>
              <w:rPr>
                <w:rFonts w:eastAsia="Times New Roman" w:asciiTheme="minorHAnsi" w:hAnsiTheme="minorHAnsi"/>
                <w:position w:val="8"/>
                <w:sz w:val="15"/>
                <w:szCs w:val="15"/>
              </w:rPr>
              <w:t>3</w:t>
            </w:r>
            <w:r>
              <w:rPr>
                <w:rFonts w:eastAsia="Times New Roman" w:asciiTheme="minorHAnsi" w:hAnsiTheme="minorHAnsi"/>
              </w:rPr>
              <w:t>/h</w:t>
            </w:r>
            <w:r>
              <w:rPr>
                <w:rFonts w:asciiTheme="minorHAnsi" w:hAnsiTheme="minorHAnsi" w:eastAsiaTheme="minorEastAsia"/>
              </w:rPr>
              <w:t>）</w:t>
            </w:r>
          </w:p>
        </w:tc>
        <w:tc>
          <w:tcPr>
            <w:tcW w:w="851" w:type="dxa"/>
            <w:vAlign w:val="center"/>
          </w:tcPr>
          <w:p>
            <w:pPr>
              <w:pStyle w:val="72"/>
              <w:rPr>
                <w:rFonts w:asciiTheme="minorHAnsi" w:hAnsiTheme="minorHAnsi" w:eastAsiaTheme="minorEastAsia"/>
              </w:rPr>
            </w:pPr>
            <w:r>
              <w:rPr>
                <w:rFonts w:asciiTheme="minorHAnsi" w:hAnsiTheme="minorHAnsi" w:eastAsiaTheme="minorEastAsia"/>
              </w:rPr>
              <w:t>水泵</w:t>
            </w:r>
          </w:p>
          <w:p>
            <w:pPr>
              <w:pStyle w:val="72"/>
              <w:rPr>
                <w:rFonts w:asciiTheme="minorHAnsi" w:hAnsiTheme="minorHAnsi" w:eastAsiaTheme="minorEastAsia"/>
              </w:rPr>
            </w:pPr>
            <w:r>
              <w:rPr>
                <w:rFonts w:asciiTheme="minorHAnsi" w:hAnsiTheme="minorHAnsi" w:eastAsiaTheme="minorEastAsia"/>
              </w:rPr>
              <w:t>（台）</w:t>
            </w:r>
          </w:p>
        </w:tc>
        <w:tc>
          <w:tcPr>
            <w:tcW w:w="1134" w:type="dxa"/>
            <w:vAlign w:val="center"/>
          </w:tcPr>
          <w:p>
            <w:pPr>
              <w:pStyle w:val="72"/>
              <w:rPr>
                <w:rFonts w:asciiTheme="minorHAnsi" w:hAnsiTheme="minorHAnsi" w:eastAsiaTheme="minorEastAsia"/>
              </w:rPr>
            </w:pPr>
            <w:r>
              <w:rPr>
                <w:rFonts w:asciiTheme="minorHAnsi" w:hAnsiTheme="minorHAnsi" w:eastAsiaTheme="minorEastAsia"/>
              </w:rPr>
              <w:t>总功率</w:t>
            </w:r>
          </w:p>
          <w:p>
            <w:pPr>
              <w:pStyle w:val="72"/>
              <w:rPr>
                <w:rFonts w:asciiTheme="minorHAnsi" w:hAnsiTheme="minorHAnsi" w:eastAsiaTheme="minorEastAsia"/>
              </w:rPr>
            </w:pPr>
            <w:r>
              <w:rPr>
                <w:rFonts w:asciiTheme="minorHAnsi" w:hAnsiTheme="minorHAnsi" w:eastAsiaTheme="minorEastAsia"/>
              </w:rPr>
              <w:t>（</w:t>
            </w:r>
            <w:r>
              <w:rPr>
                <w:rFonts w:eastAsia="Times New Roman" w:asciiTheme="minorHAnsi" w:hAnsiTheme="minorHAnsi"/>
              </w:rPr>
              <w:t>kW</w:t>
            </w:r>
            <w:r>
              <w:rPr>
                <w:rFonts w:asciiTheme="minorHAnsi" w:hAnsiTheme="minorHAnsi" w:eastAsiaTheme="minorEastAsia"/>
              </w:rPr>
              <w:t>）</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64" w:hRule="exact"/>
        </w:trPr>
        <w:tc>
          <w:tcPr>
            <w:tcW w:w="1990" w:type="dxa"/>
            <w:vAlign w:val="center"/>
          </w:tcPr>
          <w:p>
            <w:pPr>
              <w:pStyle w:val="72"/>
              <w:rPr>
                <w:rFonts w:asciiTheme="minorHAnsi" w:hAnsiTheme="minorHAnsi" w:eastAsiaTheme="minorEastAsia"/>
              </w:rPr>
            </w:pPr>
            <w:r>
              <w:rPr>
                <w:rFonts w:asciiTheme="minorHAnsi" w:hAnsiTheme="minorHAnsi" w:eastAsiaTheme="minorEastAsia"/>
              </w:rPr>
              <w:t>东岗楼立交泵站</w:t>
            </w:r>
          </w:p>
        </w:tc>
        <w:tc>
          <w:tcPr>
            <w:tcW w:w="2977" w:type="dxa"/>
            <w:vAlign w:val="center"/>
          </w:tcPr>
          <w:p>
            <w:pPr>
              <w:pStyle w:val="72"/>
              <w:rPr>
                <w:rFonts w:asciiTheme="minorHAnsi" w:hAnsiTheme="minorHAnsi" w:eastAsiaTheme="minorEastAsia"/>
              </w:rPr>
            </w:pPr>
            <w:r>
              <w:rPr>
                <w:rFonts w:asciiTheme="minorHAnsi" w:hAnsiTheme="minorHAnsi" w:eastAsiaTheme="minorEastAsia"/>
              </w:rPr>
              <w:t>东岗楼立交桥下</w:t>
            </w:r>
          </w:p>
        </w:tc>
        <w:tc>
          <w:tcPr>
            <w:tcW w:w="1417" w:type="dxa"/>
            <w:vAlign w:val="center"/>
          </w:tcPr>
          <w:p>
            <w:pPr>
              <w:pStyle w:val="72"/>
              <w:rPr>
                <w:rFonts w:asciiTheme="minorHAnsi" w:hAnsiTheme="minorHAnsi" w:eastAsiaTheme="minorEastAsia"/>
              </w:rPr>
            </w:pPr>
            <w:r>
              <w:rPr>
                <w:rFonts w:asciiTheme="minorHAnsi" w:hAnsiTheme="minorHAnsi" w:eastAsiaTheme="minorEastAsia"/>
              </w:rPr>
              <w:t>立交泵站</w:t>
            </w:r>
          </w:p>
        </w:tc>
        <w:tc>
          <w:tcPr>
            <w:tcW w:w="1559" w:type="dxa"/>
            <w:vAlign w:val="center"/>
          </w:tcPr>
          <w:p>
            <w:pPr>
              <w:pStyle w:val="72"/>
              <w:rPr>
                <w:rFonts w:eastAsia="Times New Roman" w:asciiTheme="minorHAnsi" w:hAnsiTheme="minorHAnsi"/>
              </w:rPr>
            </w:pPr>
            <w:r>
              <w:rPr>
                <w:rFonts w:asciiTheme="minorHAnsi" w:hAnsiTheme="minorHAnsi" w:eastAsiaTheme="minorEastAsia"/>
              </w:rPr>
              <w:t>1045</w:t>
            </w:r>
          </w:p>
        </w:tc>
        <w:tc>
          <w:tcPr>
            <w:tcW w:w="851" w:type="dxa"/>
            <w:vAlign w:val="center"/>
          </w:tcPr>
          <w:p>
            <w:pPr>
              <w:pStyle w:val="72"/>
              <w:rPr>
                <w:rFonts w:eastAsia="Times New Roman" w:asciiTheme="minorHAnsi" w:hAnsiTheme="minorHAnsi"/>
              </w:rPr>
            </w:pPr>
            <w:r>
              <w:rPr>
                <w:rFonts w:asciiTheme="minorHAnsi" w:hAnsiTheme="minorHAnsi" w:eastAsiaTheme="minorEastAsia"/>
              </w:rPr>
              <w:t>3</w:t>
            </w:r>
          </w:p>
        </w:tc>
        <w:tc>
          <w:tcPr>
            <w:tcW w:w="1134" w:type="dxa"/>
            <w:vAlign w:val="center"/>
          </w:tcPr>
          <w:p>
            <w:pPr>
              <w:pStyle w:val="72"/>
              <w:rPr>
                <w:rFonts w:eastAsia="Times New Roman" w:asciiTheme="minorHAnsi" w:hAnsiTheme="minorHAnsi"/>
              </w:rPr>
            </w:pPr>
            <w:r>
              <w:rPr>
                <w:rFonts w:asciiTheme="minorHAnsi" w:hAnsiTheme="minorHAnsi" w:eastAsiaTheme="minorEastAsia"/>
              </w:rPr>
              <w:t>57.5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64" w:hRule="exact"/>
        </w:trPr>
        <w:tc>
          <w:tcPr>
            <w:tcW w:w="1990" w:type="dxa"/>
            <w:vAlign w:val="center"/>
          </w:tcPr>
          <w:p>
            <w:pPr>
              <w:pStyle w:val="72"/>
              <w:rPr>
                <w:rFonts w:asciiTheme="minorHAnsi" w:hAnsiTheme="minorHAnsi" w:eastAsiaTheme="minorEastAsia"/>
              </w:rPr>
            </w:pPr>
            <w:r>
              <w:rPr>
                <w:rFonts w:asciiTheme="minorHAnsi" w:hAnsiTheme="minorHAnsi" w:eastAsiaTheme="minorEastAsia"/>
              </w:rPr>
              <w:t>相山路立交泵站</w:t>
            </w:r>
          </w:p>
        </w:tc>
        <w:tc>
          <w:tcPr>
            <w:tcW w:w="2977" w:type="dxa"/>
            <w:vAlign w:val="center"/>
          </w:tcPr>
          <w:p>
            <w:pPr>
              <w:pStyle w:val="72"/>
              <w:rPr>
                <w:rFonts w:asciiTheme="minorHAnsi" w:hAnsiTheme="minorHAnsi" w:eastAsiaTheme="minorEastAsia"/>
              </w:rPr>
            </w:pPr>
            <w:r>
              <w:rPr>
                <w:rFonts w:asciiTheme="minorHAnsi" w:hAnsiTheme="minorHAnsi" w:eastAsiaTheme="minorEastAsia"/>
              </w:rPr>
              <w:t>相山路与符夹铁路线交口</w:t>
            </w:r>
          </w:p>
        </w:tc>
        <w:tc>
          <w:tcPr>
            <w:tcW w:w="1417" w:type="dxa"/>
            <w:vAlign w:val="center"/>
          </w:tcPr>
          <w:p>
            <w:pPr>
              <w:pStyle w:val="72"/>
              <w:rPr>
                <w:rFonts w:asciiTheme="minorHAnsi" w:hAnsiTheme="minorHAnsi" w:eastAsiaTheme="minorEastAsia"/>
              </w:rPr>
            </w:pPr>
            <w:r>
              <w:rPr>
                <w:rFonts w:asciiTheme="minorHAnsi" w:hAnsiTheme="minorHAnsi" w:eastAsiaTheme="minorEastAsia"/>
              </w:rPr>
              <w:t>立交泵站</w:t>
            </w:r>
          </w:p>
        </w:tc>
        <w:tc>
          <w:tcPr>
            <w:tcW w:w="1559" w:type="dxa"/>
            <w:vAlign w:val="center"/>
          </w:tcPr>
          <w:p>
            <w:pPr>
              <w:pStyle w:val="72"/>
              <w:rPr>
                <w:rFonts w:eastAsia="Times New Roman" w:asciiTheme="minorHAnsi" w:hAnsiTheme="minorHAnsi"/>
              </w:rPr>
            </w:pPr>
            <w:r>
              <w:rPr>
                <w:rFonts w:asciiTheme="minorHAnsi" w:hAnsiTheme="minorHAnsi" w:eastAsiaTheme="minorEastAsia"/>
              </w:rPr>
              <w:t>3900</w:t>
            </w:r>
          </w:p>
        </w:tc>
        <w:tc>
          <w:tcPr>
            <w:tcW w:w="851" w:type="dxa"/>
            <w:vAlign w:val="center"/>
          </w:tcPr>
          <w:p>
            <w:pPr>
              <w:pStyle w:val="72"/>
              <w:rPr>
                <w:rFonts w:eastAsia="Times New Roman" w:asciiTheme="minorHAnsi" w:hAnsiTheme="minorHAnsi"/>
              </w:rPr>
            </w:pPr>
            <w:r>
              <w:rPr>
                <w:rFonts w:asciiTheme="minorHAnsi" w:hAnsiTheme="minorHAnsi" w:eastAsiaTheme="minorEastAsia"/>
              </w:rPr>
              <w:t>5</w:t>
            </w:r>
          </w:p>
        </w:tc>
        <w:tc>
          <w:tcPr>
            <w:tcW w:w="1134" w:type="dxa"/>
            <w:vAlign w:val="center"/>
          </w:tcPr>
          <w:p>
            <w:pPr>
              <w:pStyle w:val="72"/>
              <w:rPr>
                <w:rFonts w:eastAsia="Times New Roman" w:asciiTheme="minorHAnsi" w:hAnsiTheme="minorHAnsi"/>
              </w:rPr>
            </w:pPr>
            <w:r>
              <w:rPr>
                <w:rFonts w:asciiTheme="minorHAnsi" w:hAnsiTheme="minorHAnsi" w:eastAsiaTheme="minorEastAsia"/>
              </w:rPr>
              <w:t>176</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64" w:hRule="exact"/>
        </w:trPr>
        <w:tc>
          <w:tcPr>
            <w:tcW w:w="1990" w:type="dxa"/>
            <w:vAlign w:val="center"/>
          </w:tcPr>
          <w:p>
            <w:pPr>
              <w:pStyle w:val="72"/>
              <w:rPr>
                <w:rFonts w:asciiTheme="minorHAnsi" w:hAnsiTheme="minorHAnsi" w:eastAsiaTheme="minorEastAsia"/>
              </w:rPr>
            </w:pPr>
            <w:r>
              <w:rPr>
                <w:rFonts w:asciiTheme="minorHAnsi" w:hAnsiTheme="minorHAnsi" w:eastAsiaTheme="minorEastAsia"/>
              </w:rPr>
              <w:t>孟山路立交泵站</w:t>
            </w:r>
          </w:p>
        </w:tc>
        <w:tc>
          <w:tcPr>
            <w:tcW w:w="2977" w:type="dxa"/>
            <w:vAlign w:val="center"/>
          </w:tcPr>
          <w:p>
            <w:pPr>
              <w:pStyle w:val="72"/>
              <w:rPr>
                <w:rFonts w:asciiTheme="minorHAnsi" w:hAnsiTheme="minorHAnsi" w:eastAsiaTheme="minorEastAsia"/>
              </w:rPr>
            </w:pPr>
            <w:r>
              <w:rPr>
                <w:rFonts w:asciiTheme="minorHAnsi" w:hAnsiTheme="minorHAnsi" w:eastAsiaTheme="minorEastAsia"/>
              </w:rPr>
              <w:t>孟山路与符夹铁路线交口</w:t>
            </w:r>
          </w:p>
        </w:tc>
        <w:tc>
          <w:tcPr>
            <w:tcW w:w="1417" w:type="dxa"/>
            <w:vAlign w:val="center"/>
          </w:tcPr>
          <w:p>
            <w:pPr>
              <w:pStyle w:val="72"/>
              <w:rPr>
                <w:rFonts w:asciiTheme="minorHAnsi" w:hAnsiTheme="minorHAnsi" w:eastAsiaTheme="minorEastAsia"/>
              </w:rPr>
            </w:pPr>
            <w:r>
              <w:rPr>
                <w:rFonts w:asciiTheme="minorHAnsi" w:hAnsiTheme="minorHAnsi" w:eastAsiaTheme="minorEastAsia"/>
              </w:rPr>
              <w:t>立交泵站</w:t>
            </w:r>
          </w:p>
        </w:tc>
        <w:tc>
          <w:tcPr>
            <w:tcW w:w="1559" w:type="dxa"/>
            <w:vAlign w:val="center"/>
          </w:tcPr>
          <w:p>
            <w:pPr>
              <w:pStyle w:val="72"/>
              <w:rPr>
                <w:rFonts w:eastAsia="Times New Roman" w:asciiTheme="minorHAnsi" w:hAnsiTheme="minorHAnsi"/>
              </w:rPr>
            </w:pPr>
            <w:r>
              <w:rPr>
                <w:rFonts w:asciiTheme="minorHAnsi" w:hAnsiTheme="minorHAnsi" w:eastAsiaTheme="minorEastAsia"/>
              </w:rPr>
              <w:t>2200</w:t>
            </w:r>
          </w:p>
        </w:tc>
        <w:tc>
          <w:tcPr>
            <w:tcW w:w="851" w:type="dxa"/>
            <w:vAlign w:val="center"/>
          </w:tcPr>
          <w:p>
            <w:pPr>
              <w:pStyle w:val="72"/>
              <w:rPr>
                <w:rFonts w:eastAsia="Times New Roman" w:asciiTheme="minorHAnsi" w:hAnsiTheme="minorHAnsi"/>
              </w:rPr>
            </w:pPr>
            <w:r>
              <w:rPr>
                <w:rFonts w:asciiTheme="minorHAnsi" w:hAnsiTheme="minorHAnsi" w:eastAsiaTheme="minorEastAsia"/>
              </w:rPr>
              <w:t>3</w:t>
            </w:r>
          </w:p>
        </w:tc>
        <w:tc>
          <w:tcPr>
            <w:tcW w:w="1134" w:type="dxa"/>
            <w:vAlign w:val="center"/>
          </w:tcPr>
          <w:p>
            <w:pPr>
              <w:pStyle w:val="72"/>
              <w:rPr>
                <w:rFonts w:eastAsia="Times New Roman" w:asciiTheme="minorHAnsi" w:hAnsiTheme="minorHAnsi"/>
              </w:rPr>
            </w:pPr>
            <w:r>
              <w:rPr>
                <w:rFonts w:asciiTheme="minorHAnsi" w:hAnsiTheme="minorHAnsi" w:eastAsiaTheme="minorEastAsia"/>
              </w:rPr>
              <w:t>155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64" w:hRule="exact"/>
        </w:trPr>
        <w:tc>
          <w:tcPr>
            <w:tcW w:w="1990" w:type="dxa"/>
            <w:vAlign w:val="center"/>
          </w:tcPr>
          <w:p>
            <w:pPr>
              <w:pStyle w:val="72"/>
              <w:rPr>
                <w:rFonts w:asciiTheme="minorHAnsi" w:hAnsiTheme="minorHAnsi" w:eastAsiaTheme="minorEastAsia"/>
              </w:rPr>
            </w:pPr>
            <w:r>
              <w:rPr>
                <w:rFonts w:asciiTheme="minorHAnsi" w:hAnsiTheme="minorHAnsi" w:eastAsiaTheme="minorEastAsia"/>
              </w:rPr>
              <w:t>人民路立交泵站</w:t>
            </w:r>
          </w:p>
        </w:tc>
        <w:tc>
          <w:tcPr>
            <w:tcW w:w="2977" w:type="dxa"/>
            <w:vAlign w:val="center"/>
          </w:tcPr>
          <w:p>
            <w:pPr>
              <w:pStyle w:val="72"/>
              <w:rPr>
                <w:rFonts w:asciiTheme="minorHAnsi" w:hAnsiTheme="minorHAnsi" w:eastAsiaTheme="minorEastAsia"/>
              </w:rPr>
            </w:pPr>
            <w:r>
              <w:rPr>
                <w:rFonts w:asciiTheme="minorHAnsi" w:hAnsiTheme="minorHAnsi" w:eastAsiaTheme="minorEastAsia"/>
              </w:rPr>
              <w:t>人民路与符夹铁路线交口</w:t>
            </w:r>
          </w:p>
        </w:tc>
        <w:tc>
          <w:tcPr>
            <w:tcW w:w="1417" w:type="dxa"/>
            <w:vAlign w:val="center"/>
          </w:tcPr>
          <w:p>
            <w:pPr>
              <w:pStyle w:val="72"/>
              <w:rPr>
                <w:rFonts w:asciiTheme="minorHAnsi" w:hAnsiTheme="minorHAnsi" w:eastAsiaTheme="minorEastAsia"/>
              </w:rPr>
            </w:pPr>
            <w:r>
              <w:rPr>
                <w:rFonts w:asciiTheme="minorHAnsi" w:hAnsiTheme="minorHAnsi" w:eastAsiaTheme="minorEastAsia"/>
              </w:rPr>
              <w:t>立交泵站</w:t>
            </w:r>
          </w:p>
        </w:tc>
        <w:tc>
          <w:tcPr>
            <w:tcW w:w="1559" w:type="dxa"/>
            <w:vAlign w:val="center"/>
          </w:tcPr>
          <w:p>
            <w:pPr>
              <w:pStyle w:val="72"/>
              <w:rPr>
                <w:rFonts w:eastAsia="Times New Roman" w:asciiTheme="minorHAnsi" w:hAnsiTheme="minorHAnsi"/>
              </w:rPr>
            </w:pPr>
            <w:r>
              <w:rPr>
                <w:rFonts w:asciiTheme="minorHAnsi" w:hAnsiTheme="minorHAnsi" w:eastAsiaTheme="minorEastAsia"/>
              </w:rPr>
              <w:t>3000</w:t>
            </w:r>
          </w:p>
        </w:tc>
        <w:tc>
          <w:tcPr>
            <w:tcW w:w="851" w:type="dxa"/>
            <w:vAlign w:val="center"/>
          </w:tcPr>
          <w:p>
            <w:pPr>
              <w:pStyle w:val="72"/>
              <w:rPr>
                <w:rFonts w:eastAsia="Times New Roman" w:asciiTheme="minorHAnsi" w:hAnsiTheme="minorHAnsi"/>
              </w:rPr>
            </w:pPr>
            <w:r>
              <w:rPr>
                <w:rFonts w:asciiTheme="minorHAnsi" w:hAnsiTheme="minorHAnsi" w:eastAsiaTheme="minorEastAsia"/>
              </w:rPr>
              <w:t>3</w:t>
            </w:r>
          </w:p>
        </w:tc>
        <w:tc>
          <w:tcPr>
            <w:tcW w:w="1134" w:type="dxa"/>
            <w:vAlign w:val="center"/>
          </w:tcPr>
          <w:p>
            <w:pPr>
              <w:pStyle w:val="72"/>
              <w:rPr>
                <w:rFonts w:eastAsia="Times New Roman" w:asciiTheme="minorHAnsi" w:hAnsiTheme="minorHAnsi"/>
              </w:rPr>
            </w:pPr>
            <w:r>
              <w:rPr>
                <w:rFonts w:asciiTheme="minorHAnsi" w:hAnsiTheme="minorHAnsi" w:eastAsiaTheme="minorEastAsia"/>
              </w:rPr>
              <w:t>165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64" w:hRule="exact"/>
        </w:trPr>
        <w:tc>
          <w:tcPr>
            <w:tcW w:w="1990" w:type="dxa"/>
            <w:vAlign w:val="center"/>
          </w:tcPr>
          <w:p>
            <w:pPr>
              <w:pStyle w:val="72"/>
              <w:rPr>
                <w:rFonts w:asciiTheme="minorHAnsi" w:hAnsiTheme="minorHAnsi" w:eastAsiaTheme="minorEastAsia"/>
              </w:rPr>
            </w:pPr>
            <w:r>
              <w:rPr>
                <w:rFonts w:asciiTheme="minorHAnsi" w:hAnsiTheme="minorHAnsi" w:eastAsiaTheme="minorEastAsia"/>
              </w:rPr>
              <w:t>南黎路立交泵站</w:t>
            </w:r>
          </w:p>
        </w:tc>
        <w:tc>
          <w:tcPr>
            <w:tcW w:w="2977" w:type="dxa"/>
            <w:vAlign w:val="center"/>
          </w:tcPr>
          <w:p>
            <w:pPr>
              <w:pStyle w:val="72"/>
              <w:rPr>
                <w:rFonts w:asciiTheme="minorHAnsi" w:hAnsiTheme="minorHAnsi" w:eastAsiaTheme="minorEastAsia"/>
              </w:rPr>
            </w:pPr>
            <w:r>
              <w:rPr>
                <w:rFonts w:asciiTheme="minorHAnsi" w:hAnsiTheme="minorHAnsi" w:eastAsiaTheme="minorEastAsia"/>
              </w:rPr>
              <w:t>南黎路与符夹铁路线交口</w:t>
            </w:r>
          </w:p>
        </w:tc>
        <w:tc>
          <w:tcPr>
            <w:tcW w:w="1417" w:type="dxa"/>
            <w:vAlign w:val="center"/>
          </w:tcPr>
          <w:p>
            <w:pPr>
              <w:pStyle w:val="72"/>
              <w:rPr>
                <w:rFonts w:asciiTheme="minorHAnsi" w:hAnsiTheme="minorHAnsi" w:eastAsiaTheme="minorEastAsia"/>
              </w:rPr>
            </w:pPr>
            <w:r>
              <w:rPr>
                <w:rFonts w:asciiTheme="minorHAnsi" w:hAnsiTheme="minorHAnsi" w:eastAsiaTheme="minorEastAsia"/>
              </w:rPr>
              <w:t>立交泵站</w:t>
            </w:r>
          </w:p>
        </w:tc>
        <w:tc>
          <w:tcPr>
            <w:tcW w:w="1559" w:type="dxa"/>
            <w:vAlign w:val="center"/>
          </w:tcPr>
          <w:p>
            <w:pPr>
              <w:pStyle w:val="72"/>
              <w:rPr>
                <w:rFonts w:eastAsia="Times New Roman" w:asciiTheme="minorHAnsi" w:hAnsiTheme="minorHAnsi"/>
              </w:rPr>
            </w:pPr>
            <w:r>
              <w:rPr>
                <w:rFonts w:asciiTheme="minorHAnsi" w:hAnsiTheme="minorHAnsi" w:eastAsiaTheme="minorEastAsia"/>
              </w:rPr>
              <w:t>960</w:t>
            </w:r>
          </w:p>
        </w:tc>
        <w:tc>
          <w:tcPr>
            <w:tcW w:w="851" w:type="dxa"/>
            <w:vAlign w:val="center"/>
          </w:tcPr>
          <w:p>
            <w:pPr>
              <w:pStyle w:val="72"/>
              <w:rPr>
                <w:rFonts w:eastAsia="Times New Roman" w:asciiTheme="minorHAnsi" w:hAnsiTheme="minorHAnsi"/>
              </w:rPr>
            </w:pPr>
            <w:r>
              <w:rPr>
                <w:rFonts w:asciiTheme="minorHAnsi" w:hAnsiTheme="minorHAnsi" w:eastAsiaTheme="minorEastAsia"/>
              </w:rPr>
              <w:t>2</w:t>
            </w:r>
          </w:p>
        </w:tc>
        <w:tc>
          <w:tcPr>
            <w:tcW w:w="1134" w:type="dxa"/>
            <w:vAlign w:val="center"/>
          </w:tcPr>
          <w:p>
            <w:pPr>
              <w:pStyle w:val="72"/>
              <w:rPr>
                <w:rFonts w:eastAsia="Times New Roman" w:asciiTheme="minorHAnsi" w:hAnsiTheme="minorHAnsi"/>
              </w:rPr>
            </w:pPr>
            <w:r>
              <w:rPr>
                <w:rFonts w:asciiTheme="minorHAnsi" w:hAnsiTheme="minorHAnsi" w:eastAsiaTheme="minorEastAsia"/>
              </w:rPr>
              <w:t>74</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64" w:hRule="exact"/>
        </w:trPr>
        <w:tc>
          <w:tcPr>
            <w:tcW w:w="1990" w:type="dxa"/>
            <w:vAlign w:val="center"/>
          </w:tcPr>
          <w:p>
            <w:pPr>
              <w:pStyle w:val="72"/>
              <w:rPr>
                <w:rFonts w:asciiTheme="minorHAnsi" w:hAnsiTheme="minorHAnsi" w:eastAsiaTheme="minorEastAsia"/>
              </w:rPr>
            </w:pPr>
            <w:r>
              <w:rPr>
                <w:rFonts w:asciiTheme="minorHAnsi" w:hAnsiTheme="minorHAnsi" w:eastAsiaTheme="minorEastAsia"/>
              </w:rPr>
              <w:t>北外环立交泵站</w:t>
            </w:r>
          </w:p>
        </w:tc>
        <w:tc>
          <w:tcPr>
            <w:tcW w:w="2977" w:type="dxa"/>
            <w:vAlign w:val="center"/>
          </w:tcPr>
          <w:p>
            <w:pPr>
              <w:pStyle w:val="72"/>
              <w:rPr>
                <w:rFonts w:asciiTheme="minorHAnsi" w:hAnsiTheme="minorHAnsi" w:eastAsiaTheme="minorEastAsia"/>
              </w:rPr>
            </w:pPr>
            <w:r>
              <w:rPr>
                <w:rFonts w:asciiTheme="minorHAnsi" w:hAnsiTheme="minorHAnsi" w:eastAsiaTheme="minorEastAsia"/>
              </w:rPr>
              <w:t>北外环</w:t>
            </w:r>
          </w:p>
        </w:tc>
        <w:tc>
          <w:tcPr>
            <w:tcW w:w="1417" w:type="dxa"/>
            <w:vAlign w:val="center"/>
          </w:tcPr>
          <w:p>
            <w:pPr>
              <w:pStyle w:val="72"/>
              <w:rPr>
                <w:rFonts w:asciiTheme="minorHAnsi" w:hAnsiTheme="minorHAnsi" w:eastAsiaTheme="minorEastAsia"/>
              </w:rPr>
            </w:pPr>
            <w:r>
              <w:rPr>
                <w:rFonts w:asciiTheme="minorHAnsi" w:hAnsiTheme="minorHAnsi" w:eastAsiaTheme="minorEastAsia"/>
              </w:rPr>
              <w:t>立交泵站</w:t>
            </w:r>
          </w:p>
        </w:tc>
        <w:tc>
          <w:tcPr>
            <w:tcW w:w="1559" w:type="dxa"/>
            <w:vAlign w:val="center"/>
          </w:tcPr>
          <w:p>
            <w:pPr>
              <w:pStyle w:val="72"/>
              <w:rPr>
                <w:rFonts w:eastAsia="Times New Roman" w:asciiTheme="minorHAnsi" w:hAnsiTheme="minorHAnsi"/>
              </w:rPr>
            </w:pPr>
            <w:r>
              <w:rPr>
                <w:rFonts w:asciiTheme="minorHAnsi" w:hAnsiTheme="minorHAnsi" w:eastAsiaTheme="minorEastAsia"/>
              </w:rPr>
              <w:t>2300</w:t>
            </w:r>
          </w:p>
        </w:tc>
        <w:tc>
          <w:tcPr>
            <w:tcW w:w="851" w:type="dxa"/>
            <w:vAlign w:val="center"/>
          </w:tcPr>
          <w:p>
            <w:pPr>
              <w:pStyle w:val="72"/>
              <w:rPr>
                <w:rFonts w:eastAsia="Times New Roman" w:asciiTheme="minorHAnsi" w:hAnsiTheme="minorHAnsi"/>
              </w:rPr>
            </w:pPr>
            <w:r>
              <w:rPr>
                <w:rFonts w:asciiTheme="minorHAnsi" w:hAnsiTheme="minorHAnsi" w:eastAsiaTheme="minorEastAsia"/>
              </w:rPr>
              <w:t>3</w:t>
            </w:r>
          </w:p>
        </w:tc>
        <w:tc>
          <w:tcPr>
            <w:tcW w:w="1134" w:type="dxa"/>
            <w:vAlign w:val="center"/>
          </w:tcPr>
          <w:p>
            <w:pPr>
              <w:pStyle w:val="72"/>
              <w:rPr>
                <w:rFonts w:eastAsia="Times New Roman" w:asciiTheme="minorHAnsi" w:hAnsiTheme="minorHAnsi"/>
              </w:rPr>
            </w:pPr>
            <w:r>
              <w:rPr>
                <w:rFonts w:asciiTheme="minorHAnsi" w:hAnsiTheme="minorHAnsi" w:eastAsiaTheme="minorEastAsia"/>
              </w:rPr>
              <w:t>95.5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64" w:hRule="exact"/>
        </w:trPr>
        <w:tc>
          <w:tcPr>
            <w:tcW w:w="1990" w:type="dxa"/>
            <w:vAlign w:val="center"/>
          </w:tcPr>
          <w:p>
            <w:pPr>
              <w:pStyle w:val="72"/>
              <w:rPr>
                <w:rFonts w:asciiTheme="minorHAnsi" w:hAnsiTheme="minorHAnsi" w:eastAsiaTheme="minorEastAsia"/>
              </w:rPr>
            </w:pPr>
            <w:r>
              <w:rPr>
                <w:rFonts w:asciiTheme="minorHAnsi" w:hAnsiTheme="minorHAnsi" w:eastAsiaTheme="minorEastAsia"/>
              </w:rPr>
              <w:t>翠峰路立交泵站</w:t>
            </w:r>
          </w:p>
        </w:tc>
        <w:tc>
          <w:tcPr>
            <w:tcW w:w="2977" w:type="dxa"/>
            <w:vAlign w:val="center"/>
          </w:tcPr>
          <w:p>
            <w:pPr>
              <w:pStyle w:val="72"/>
              <w:rPr>
                <w:rFonts w:asciiTheme="minorHAnsi" w:hAnsiTheme="minorHAnsi" w:eastAsiaTheme="minorEastAsia"/>
              </w:rPr>
            </w:pPr>
            <w:r>
              <w:rPr>
                <w:rFonts w:asciiTheme="minorHAnsi" w:hAnsiTheme="minorHAnsi" w:eastAsiaTheme="minorEastAsia"/>
              </w:rPr>
              <w:t>翠峰路与符夹铁路线交口</w:t>
            </w:r>
          </w:p>
        </w:tc>
        <w:tc>
          <w:tcPr>
            <w:tcW w:w="1417" w:type="dxa"/>
            <w:vAlign w:val="center"/>
          </w:tcPr>
          <w:p>
            <w:pPr>
              <w:pStyle w:val="72"/>
              <w:rPr>
                <w:rFonts w:asciiTheme="minorHAnsi" w:hAnsiTheme="minorHAnsi" w:eastAsiaTheme="minorEastAsia"/>
              </w:rPr>
            </w:pPr>
            <w:r>
              <w:rPr>
                <w:rFonts w:asciiTheme="minorHAnsi" w:hAnsiTheme="minorHAnsi" w:eastAsiaTheme="minorEastAsia"/>
              </w:rPr>
              <w:t>立交泵站</w:t>
            </w:r>
          </w:p>
        </w:tc>
        <w:tc>
          <w:tcPr>
            <w:tcW w:w="1559" w:type="dxa"/>
            <w:vAlign w:val="center"/>
          </w:tcPr>
          <w:p>
            <w:pPr>
              <w:pStyle w:val="72"/>
              <w:rPr>
                <w:rFonts w:eastAsia="Times New Roman" w:asciiTheme="minorHAnsi" w:hAnsiTheme="minorHAnsi"/>
              </w:rPr>
            </w:pPr>
            <w:r>
              <w:rPr>
                <w:rFonts w:asciiTheme="minorHAnsi" w:hAnsiTheme="minorHAnsi" w:eastAsiaTheme="minorEastAsia"/>
              </w:rPr>
              <w:t>2200</w:t>
            </w:r>
          </w:p>
        </w:tc>
        <w:tc>
          <w:tcPr>
            <w:tcW w:w="851" w:type="dxa"/>
            <w:vAlign w:val="center"/>
          </w:tcPr>
          <w:p>
            <w:pPr>
              <w:pStyle w:val="72"/>
              <w:rPr>
                <w:rFonts w:eastAsia="Times New Roman" w:asciiTheme="minorHAnsi" w:hAnsiTheme="minorHAnsi"/>
              </w:rPr>
            </w:pPr>
            <w:r>
              <w:rPr>
                <w:rFonts w:asciiTheme="minorHAnsi" w:hAnsiTheme="minorHAnsi" w:eastAsiaTheme="minorEastAsia"/>
              </w:rPr>
              <w:t>4</w:t>
            </w:r>
          </w:p>
        </w:tc>
        <w:tc>
          <w:tcPr>
            <w:tcW w:w="1134" w:type="dxa"/>
            <w:vAlign w:val="center"/>
          </w:tcPr>
          <w:p>
            <w:pPr>
              <w:pStyle w:val="72"/>
              <w:rPr>
                <w:rFonts w:eastAsia="Times New Roman" w:asciiTheme="minorHAnsi" w:hAnsiTheme="minorHAnsi"/>
              </w:rPr>
            </w:pPr>
            <w:r>
              <w:rPr>
                <w:rFonts w:asciiTheme="minorHAnsi" w:hAnsiTheme="minorHAnsi" w:eastAsiaTheme="minorEastAsia"/>
                <w:spacing w:val="-3"/>
              </w:rPr>
              <w:t>118.5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64" w:hRule="exact"/>
        </w:trPr>
        <w:tc>
          <w:tcPr>
            <w:tcW w:w="1990" w:type="dxa"/>
            <w:vAlign w:val="center"/>
          </w:tcPr>
          <w:p>
            <w:pPr>
              <w:pStyle w:val="72"/>
              <w:rPr>
                <w:rFonts w:asciiTheme="minorHAnsi" w:hAnsiTheme="minorHAnsi" w:eastAsiaTheme="minorEastAsia"/>
              </w:rPr>
            </w:pPr>
            <w:r>
              <w:rPr>
                <w:rFonts w:asciiTheme="minorHAnsi" w:hAnsiTheme="minorHAnsi" w:eastAsiaTheme="minorEastAsia"/>
              </w:rPr>
              <w:t>濉溪路立交泵站</w:t>
            </w:r>
          </w:p>
        </w:tc>
        <w:tc>
          <w:tcPr>
            <w:tcW w:w="2977" w:type="dxa"/>
            <w:vAlign w:val="center"/>
          </w:tcPr>
          <w:p>
            <w:pPr>
              <w:pStyle w:val="72"/>
              <w:rPr>
                <w:rFonts w:asciiTheme="minorHAnsi" w:hAnsiTheme="minorHAnsi" w:eastAsiaTheme="minorEastAsia"/>
              </w:rPr>
            </w:pPr>
            <w:r>
              <w:rPr>
                <w:rFonts w:asciiTheme="minorHAnsi" w:hAnsiTheme="minorHAnsi" w:eastAsiaTheme="minorEastAsia"/>
              </w:rPr>
              <w:t>濉溪路与符夹铁路线交口</w:t>
            </w:r>
          </w:p>
        </w:tc>
        <w:tc>
          <w:tcPr>
            <w:tcW w:w="1417" w:type="dxa"/>
            <w:vAlign w:val="center"/>
          </w:tcPr>
          <w:p>
            <w:pPr>
              <w:pStyle w:val="72"/>
              <w:rPr>
                <w:rFonts w:asciiTheme="minorHAnsi" w:hAnsiTheme="minorHAnsi" w:eastAsiaTheme="minorEastAsia"/>
              </w:rPr>
            </w:pPr>
            <w:r>
              <w:rPr>
                <w:rFonts w:asciiTheme="minorHAnsi" w:hAnsiTheme="minorHAnsi" w:eastAsiaTheme="minorEastAsia"/>
              </w:rPr>
              <w:t>立交泵站</w:t>
            </w:r>
          </w:p>
        </w:tc>
        <w:tc>
          <w:tcPr>
            <w:tcW w:w="1559" w:type="dxa"/>
            <w:vAlign w:val="center"/>
          </w:tcPr>
          <w:p>
            <w:pPr>
              <w:pStyle w:val="72"/>
              <w:rPr>
                <w:rFonts w:eastAsia="Times New Roman" w:asciiTheme="minorHAnsi" w:hAnsiTheme="minorHAnsi"/>
              </w:rPr>
            </w:pPr>
            <w:r>
              <w:rPr>
                <w:rFonts w:asciiTheme="minorHAnsi" w:hAnsiTheme="minorHAnsi" w:eastAsiaTheme="minorEastAsia"/>
              </w:rPr>
              <w:t>240</w:t>
            </w:r>
          </w:p>
        </w:tc>
        <w:tc>
          <w:tcPr>
            <w:tcW w:w="851" w:type="dxa"/>
            <w:vAlign w:val="center"/>
          </w:tcPr>
          <w:p>
            <w:pPr>
              <w:pStyle w:val="72"/>
              <w:rPr>
                <w:rFonts w:eastAsia="Times New Roman" w:asciiTheme="minorHAnsi" w:hAnsiTheme="minorHAnsi"/>
              </w:rPr>
            </w:pPr>
            <w:r>
              <w:rPr>
                <w:rFonts w:asciiTheme="minorHAnsi" w:hAnsiTheme="minorHAnsi" w:eastAsiaTheme="minorEastAsia"/>
              </w:rPr>
              <w:t>2</w:t>
            </w:r>
          </w:p>
        </w:tc>
        <w:tc>
          <w:tcPr>
            <w:tcW w:w="1134" w:type="dxa"/>
            <w:vAlign w:val="center"/>
          </w:tcPr>
          <w:p>
            <w:pPr>
              <w:pStyle w:val="72"/>
              <w:rPr>
                <w:rFonts w:eastAsia="Times New Roman" w:asciiTheme="minorHAnsi" w:hAnsiTheme="minorHAnsi"/>
              </w:rPr>
            </w:pPr>
            <w:r>
              <w:rPr>
                <w:rFonts w:asciiTheme="minorHAnsi" w:hAnsiTheme="minorHAnsi" w:eastAsiaTheme="minorEastAsia"/>
              </w:rPr>
              <w:t>9.5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64" w:hRule="exact"/>
        </w:trPr>
        <w:tc>
          <w:tcPr>
            <w:tcW w:w="1990" w:type="dxa"/>
            <w:vAlign w:val="center"/>
          </w:tcPr>
          <w:p>
            <w:pPr>
              <w:pStyle w:val="72"/>
              <w:rPr>
                <w:rFonts w:asciiTheme="minorHAnsi" w:hAnsiTheme="minorHAnsi" w:eastAsiaTheme="minorEastAsia"/>
              </w:rPr>
            </w:pPr>
            <w:r>
              <w:rPr>
                <w:rFonts w:asciiTheme="minorHAnsi" w:hAnsiTheme="minorHAnsi" w:eastAsiaTheme="minorEastAsia"/>
              </w:rPr>
              <w:t>宋疃立交泵站</w:t>
            </w:r>
          </w:p>
        </w:tc>
        <w:tc>
          <w:tcPr>
            <w:tcW w:w="2977" w:type="dxa"/>
            <w:vAlign w:val="center"/>
          </w:tcPr>
          <w:p>
            <w:pPr>
              <w:pStyle w:val="72"/>
              <w:rPr>
                <w:rFonts w:asciiTheme="minorHAnsi" w:hAnsiTheme="minorHAnsi" w:eastAsiaTheme="minorEastAsia"/>
              </w:rPr>
            </w:pPr>
            <w:r>
              <w:rPr>
                <w:rFonts w:asciiTheme="minorHAnsi" w:hAnsiTheme="minorHAnsi" w:eastAsiaTheme="minorEastAsia"/>
              </w:rPr>
              <w:t>宿丁路上</w:t>
            </w:r>
          </w:p>
        </w:tc>
        <w:tc>
          <w:tcPr>
            <w:tcW w:w="1417" w:type="dxa"/>
            <w:vAlign w:val="center"/>
          </w:tcPr>
          <w:p>
            <w:pPr>
              <w:pStyle w:val="72"/>
              <w:rPr>
                <w:rFonts w:asciiTheme="minorHAnsi" w:hAnsiTheme="minorHAnsi" w:eastAsiaTheme="minorEastAsia"/>
              </w:rPr>
            </w:pPr>
            <w:r>
              <w:rPr>
                <w:rFonts w:asciiTheme="minorHAnsi" w:hAnsiTheme="minorHAnsi" w:eastAsiaTheme="minorEastAsia"/>
              </w:rPr>
              <w:t>立交泵站</w:t>
            </w:r>
          </w:p>
        </w:tc>
        <w:tc>
          <w:tcPr>
            <w:tcW w:w="1559" w:type="dxa"/>
            <w:vAlign w:val="center"/>
          </w:tcPr>
          <w:p>
            <w:pPr>
              <w:pStyle w:val="72"/>
              <w:rPr>
                <w:rFonts w:eastAsia="Times New Roman" w:asciiTheme="minorHAnsi" w:hAnsiTheme="minorHAnsi"/>
              </w:rPr>
            </w:pPr>
            <w:r>
              <w:rPr>
                <w:rFonts w:asciiTheme="minorHAnsi" w:hAnsiTheme="minorHAnsi" w:eastAsiaTheme="minorEastAsia"/>
              </w:rPr>
              <w:t>900</w:t>
            </w:r>
          </w:p>
        </w:tc>
        <w:tc>
          <w:tcPr>
            <w:tcW w:w="851" w:type="dxa"/>
            <w:vAlign w:val="center"/>
          </w:tcPr>
          <w:p>
            <w:pPr>
              <w:pStyle w:val="72"/>
              <w:rPr>
                <w:rFonts w:eastAsia="Times New Roman" w:asciiTheme="minorHAnsi" w:hAnsiTheme="minorHAnsi"/>
              </w:rPr>
            </w:pPr>
            <w:r>
              <w:rPr>
                <w:rFonts w:asciiTheme="minorHAnsi" w:hAnsiTheme="minorHAnsi" w:eastAsiaTheme="minorEastAsia"/>
              </w:rPr>
              <w:t>1</w:t>
            </w:r>
          </w:p>
        </w:tc>
        <w:tc>
          <w:tcPr>
            <w:tcW w:w="1134" w:type="dxa"/>
            <w:vAlign w:val="center"/>
          </w:tcPr>
          <w:p>
            <w:pPr>
              <w:pStyle w:val="72"/>
              <w:rPr>
                <w:rFonts w:eastAsia="Times New Roman" w:asciiTheme="minorHAnsi" w:hAnsiTheme="minorHAnsi"/>
              </w:rPr>
            </w:pPr>
            <w:r>
              <w:rPr>
                <w:rFonts w:asciiTheme="minorHAnsi" w:hAnsiTheme="minorHAnsi" w:eastAsiaTheme="minorEastAsia"/>
              </w:rPr>
              <w:t>15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64" w:hRule="exact"/>
        </w:trPr>
        <w:tc>
          <w:tcPr>
            <w:tcW w:w="1990" w:type="dxa"/>
            <w:vAlign w:val="center"/>
          </w:tcPr>
          <w:p>
            <w:pPr>
              <w:pStyle w:val="72"/>
              <w:rPr>
                <w:rFonts w:asciiTheme="minorHAnsi" w:hAnsiTheme="minorHAnsi" w:eastAsiaTheme="minorEastAsia"/>
              </w:rPr>
            </w:pPr>
            <w:r>
              <w:rPr>
                <w:rFonts w:asciiTheme="minorHAnsi" w:hAnsiTheme="minorHAnsi" w:eastAsiaTheme="minorEastAsia"/>
              </w:rPr>
              <w:t>烈山立交泵站</w:t>
            </w:r>
          </w:p>
        </w:tc>
        <w:tc>
          <w:tcPr>
            <w:tcW w:w="2977" w:type="dxa"/>
            <w:vAlign w:val="center"/>
          </w:tcPr>
          <w:p>
            <w:pPr>
              <w:pStyle w:val="72"/>
              <w:rPr>
                <w:rFonts w:asciiTheme="minorHAnsi" w:hAnsiTheme="minorHAnsi" w:eastAsiaTheme="minorEastAsia"/>
              </w:rPr>
            </w:pPr>
            <w:r>
              <w:rPr>
                <w:rFonts w:asciiTheme="minorHAnsi" w:hAnsiTheme="minorHAnsi" w:eastAsiaTheme="minorEastAsia"/>
              </w:rPr>
              <w:t>宿丁路烈山立交桥处</w:t>
            </w:r>
          </w:p>
        </w:tc>
        <w:tc>
          <w:tcPr>
            <w:tcW w:w="1417" w:type="dxa"/>
            <w:vAlign w:val="center"/>
          </w:tcPr>
          <w:p>
            <w:pPr>
              <w:pStyle w:val="72"/>
              <w:rPr>
                <w:rFonts w:asciiTheme="minorHAnsi" w:hAnsiTheme="minorHAnsi" w:eastAsiaTheme="minorEastAsia"/>
              </w:rPr>
            </w:pPr>
            <w:r>
              <w:rPr>
                <w:rFonts w:asciiTheme="minorHAnsi" w:hAnsiTheme="minorHAnsi" w:eastAsiaTheme="minorEastAsia"/>
              </w:rPr>
              <w:t>立交泵站</w:t>
            </w:r>
          </w:p>
        </w:tc>
        <w:tc>
          <w:tcPr>
            <w:tcW w:w="1559" w:type="dxa"/>
            <w:vAlign w:val="center"/>
          </w:tcPr>
          <w:p>
            <w:pPr>
              <w:pStyle w:val="72"/>
              <w:rPr>
                <w:rFonts w:eastAsia="Times New Roman" w:asciiTheme="minorHAnsi" w:hAnsiTheme="minorHAnsi"/>
              </w:rPr>
            </w:pPr>
            <w:r>
              <w:rPr>
                <w:rFonts w:asciiTheme="minorHAnsi" w:hAnsiTheme="minorHAnsi" w:eastAsiaTheme="minorEastAsia"/>
              </w:rPr>
              <w:t>300</w:t>
            </w:r>
          </w:p>
        </w:tc>
        <w:tc>
          <w:tcPr>
            <w:tcW w:w="851" w:type="dxa"/>
            <w:vAlign w:val="center"/>
          </w:tcPr>
          <w:p>
            <w:pPr>
              <w:pStyle w:val="72"/>
              <w:rPr>
                <w:rFonts w:eastAsia="Times New Roman" w:asciiTheme="minorHAnsi" w:hAnsiTheme="minorHAnsi"/>
              </w:rPr>
            </w:pPr>
            <w:r>
              <w:rPr>
                <w:rFonts w:asciiTheme="minorHAnsi" w:hAnsiTheme="minorHAnsi" w:eastAsiaTheme="minorEastAsia"/>
              </w:rPr>
              <w:t>2</w:t>
            </w:r>
          </w:p>
        </w:tc>
        <w:tc>
          <w:tcPr>
            <w:tcW w:w="1134" w:type="dxa"/>
            <w:vAlign w:val="center"/>
          </w:tcPr>
          <w:p>
            <w:pPr>
              <w:pStyle w:val="72"/>
              <w:rPr>
                <w:rFonts w:eastAsia="Times New Roman" w:asciiTheme="minorHAnsi" w:hAnsiTheme="minorHAnsi"/>
              </w:rPr>
            </w:pPr>
            <w:r>
              <w:rPr>
                <w:rFonts w:asciiTheme="minorHAnsi" w:hAnsiTheme="minorHAnsi" w:eastAsiaTheme="minorEastAsia"/>
              </w:rPr>
              <w:t>52.5</w:t>
            </w:r>
          </w:p>
        </w:tc>
      </w:tr>
    </w:tbl>
    <w:p>
      <w:pPr>
        <w:pStyle w:val="5"/>
        <w:spacing w:before="120"/>
      </w:pPr>
      <w:bookmarkStart w:id="109" w:name="_Toc8032526"/>
      <w:r>
        <w:rPr>
          <w:rFonts w:hint="eastAsia"/>
        </w:rPr>
        <w:t>2.4.1.2现状污水工程情况</w:t>
      </w:r>
      <w:bookmarkEnd w:id="109"/>
    </w:p>
    <w:p>
      <w:pPr>
        <w:pStyle w:val="16"/>
        <w:spacing w:line="360" w:lineRule="auto"/>
        <w:ind w:firstLine="560"/>
        <w:rPr>
          <w:rFonts w:cs="Times New Roman"/>
        </w:rPr>
      </w:pPr>
      <w:r>
        <w:rPr>
          <w:rFonts w:hint="eastAsia" w:cs="Times New Roman"/>
        </w:rPr>
        <w:t>目前，淮北市污水工程建设发展很快，城市污水处理能力和处理量有了较大提 高，但污水管道的建设进度尚有差距。</w:t>
      </w:r>
    </w:p>
    <w:p>
      <w:pPr>
        <w:pStyle w:val="16"/>
        <w:spacing w:line="360" w:lineRule="auto"/>
        <w:ind w:firstLine="560"/>
        <w:rPr>
          <w:rFonts w:cs="Times New Roman"/>
        </w:rPr>
      </w:pPr>
      <w:r>
        <w:rPr>
          <w:rFonts w:hint="eastAsia" w:cs="Times New Roman"/>
        </w:rPr>
        <w:t>（</w:t>
      </w:r>
      <w:r>
        <w:rPr>
          <w:rFonts w:cs="Times New Roman"/>
        </w:rPr>
        <w:t>1</w:t>
      </w:r>
      <w:r>
        <w:rPr>
          <w:rFonts w:hint="eastAsia" w:cs="Times New Roman"/>
        </w:rPr>
        <w:t>）相山组团</w:t>
      </w:r>
    </w:p>
    <w:p>
      <w:pPr>
        <w:pStyle w:val="16"/>
        <w:spacing w:line="360" w:lineRule="auto"/>
        <w:ind w:firstLine="560"/>
        <w:rPr>
          <w:rFonts w:cs="Times New Roman"/>
        </w:rPr>
      </w:pPr>
      <w:r>
        <w:rPr>
          <w:rFonts w:hint="eastAsia" w:cs="Times New Roman"/>
        </w:rPr>
        <w:t>目前已经建成了</w:t>
      </w:r>
      <w:r>
        <w:rPr>
          <w:rFonts w:cs="Times New Roman"/>
        </w:rPr>
        <w:t>12</w:t>
      </w:r>
      <w:r>
        <w:rPr>
          <w:rFonts w:hint="eastAsia" w:cs="Times New Roman"/>
        </w:rPr>
        <w:t>万</w:t>
      </w:r>
      <w:r>
        <w:rPr>
          <w:rFonts w:cs="Times New Roman"/>
        </w:rPr>
        <w:t>m</w:t>
      </w:r>
      <w:r>
        <w:rPr>
          <w:rFonts w:cs="Times New Roman"/>
          <w:vertAlign w:val="superscript"/>
        </w:rPr>
        <w:t>3</w:t>
      </w:r>
      <w:r>
        <w:rPr>
          <w:rFonts w:cs="Times New Roman"/>
        </w:rPr>
        <w:t xml:space="preserve">/d </w:t>
      </w:r>
      <w:r>
        <w:rPr>
          <w:rFonts w:hint="eastAsia" w:cs="Times New Roman"/>
        </w:rPr>
        <w:t>规模的丁楼污水处理厂以及西山路、翠峰路、相阳路、相山路、长山路、张寨路、南湖路、方安路、龙山路、高岳路、栗苑路、桓谭路、环保路、黎园路、人民路、梅苑路、董庄路、南黎路、东湖路、东外环路等污水管道，污水管管径</w:t>
      </w:r>
      <w:r>
        <w:rPr>
          <w:rFonts w:cs="Times New Roman"/>
        </w:rPr>
        <w:t>d300</w:t>
      </w:r>
      <w:r>
        <w:rPr>
          <w:rFonts w:hint="eastAsia" w:cs="Times New Roman"/>
        </w:rPr>
        <w:t>～</w:t>
      </w:r>
      <w:r>
        <w:rPr>
          <w:rFonts w:cs="Times New Roman"/>
        </w:rPr>
        <w:t>d1500</w:t>
      </w:r>
      <w:r>
        <w:rPr>
          <w:rFonts w:hint="eastAsia" w:cs="Times New Roman"/>
        </w:rPr>
        <w:t>。共建设污水主干管</w:t>
      </w:r>
      <w:r>
        <w:rPr>
          <w:rFonts w:cs="Times New Roman"/>
        </w:rPr>
        <w:t>37.4km</w:t>
      </w:r>
      <w:r>
        <w:rPr>
          <w:rFonts w:hint="eastAsia" w:cs="Times New Roman"/>
        </w:rPr>
        <w:t>，污水次干管</w:t>
      </w:r>
      <w:r>
        <w:rPr>
          <w:rFonts w:cs="Times New Roman"/>
        </w:rPr>
        <w:t>52.1km</w:t>
      </w:r>
      <w:r>
        <w:rPr>
          <w:rFonts w:hint="eastAsia" w:cs="Times New Roman"/>
        </w:rPr>
        <w:t>，污水支管</w:t>
      </w:r>
      <w:r>
        <w:rPr>
          <w:rFonts w:cs="Times New Roman"/>
        </w:rPr>
        <w:t>51.8km</w:t>
      </w:r>
      <w:r>
        <w:rPr>
          <w:rFonts w:hint="eastAsia" w:cs="Times New Roman"/>
        </w:rPr>
        <w:t>，管道总长</w:t>
      </w:r>
      <w:r>
        <w:rPr>
          <w:rFonts w:cs="Times New Roman"/>
        </w:rPr>
        <w:t>141.3km</w:t>
      </w:r>
      <w:r>
        <w:rPr>
          <w:rFonts w:hint="eastAsia" w:cs="Times New Roman"/>
        </w:rPr>
        <w:t>。另有</w:t>
      </w:r>
      <w:r>
        <w:rPr>
          <w:rFonts w:cs="Times New Roman"/>
        </w:rPr>
        <w:t xml:space="preserve">5 </w:t>
      </w:r>
      <w:r>
        <w:rPr>
          <w:rFonts w:hint="eastAsia" w:cs="Times New Roman"/>
        </w:rPr>
        <w:t>座污水提升泵站建成，</w:t>
      </w:r>
      <w:r>
        <w:rPr>
          <w:rFonts w:cs="Times New Roman"/>
        </w:rPr>
        <w:t xml:space="preserve">1 </w:t>
      </w:r>
      <w:r>
        <w:rPr>
          <w:rFonts w:hint="eastAsia" w:cs="Times New Roman"/>
        </w:rPr>
        <w:t>座污水提升泵站已经设计。</w:t>
      </w:r>
    </w:p>
    <w:p>
      <w:pPr>
        <w:pStyle w:val="16"/>
        <w:spacing w:line="360" w:lineRule="auto"/>
        <w:ind w:firstLine="560"/>
        <w:rPr>
          <w:rFonts w:cs="Times New Roman"/>
        </w:rPr>
      </w:pPr>
      <w:r>
        <w:rPr>
          <w:rFonts w:hint="eastAsia" w:cs="Times New Roman"/>
        </w:rPr>
        <w:t>凤凰山工业园区已形成部分市政道路，敷设凤凰大道、淮海西路、湘西路、人民路等污水管道总长约</w:t>
      </w:r>
      <w:r>
        <w:rPr>
          <w:rFonts w:cs="Times New Roman"/>
        </w:rPr>
        <w:t>15km</w:t>
      </w:r>
      <w:r>
        <w:rPr>
          <w:rFonts w:hint="eastAsia" w:cs="Times New Roman"/>
        </w:rPr>
        <w:t>，建成两座污水中途提升泵站，但污水管道的建设</w:t>
      </w:r>
    </w:p>
    <w:p>
      <w:pPr>
        <w:pStyle w:val="16"/>
        <w:spacing w:line="360" w:lineRule="auto"/>
        <w:ind w:firstLine="0" w:firstLineChars="0"/>
        <w:rPr>
          <w:rFonts w:cs="Times New Roman"/>
        </w:rPr>
      </w:pPr>
      <w:r>
        <w:rPr>
          <w:rFonts w:hint="eastAsia" w:cs="Times New Roman"/>
        </w:rPr>
        <w:t>进度尚有差距。</w:t>
      </w:r>
    </w:p>
    <w:p>
      <w:pPr>
        <w:pStyle w:val="16"/>
        <w:spacing w:before="182"/>
        <w:ind w:left="1906" w:right="106" w:firstLine="482"/>
        <w:rPr>
          <w:rFonts w:cs="Times New Roman"/>
          <w:b/>
          <w:sz w:val="24"/>
        </w:rPr>
      </w:pPr>
      <w:r>
        <w:rPr>
          <w:rFonts w:hint="eastAsia" w:cs="Times New Roman"/>
          <w:b/>
          <w:sz w:val="24"/>
        </w:rPr>
        <w:t xml:space="preserve">表2-19          </w:t>
      </w:r>
      <w:r>
        <w:rPr>
          <w:rFonts w:cs="Times New Roman"/>
          <w:b/>
          <w:sz w:val="24"/>
        </w:rPr>
        <w:t>淮北市相山区现状污水中途提升泵站一览表</w:t>
      </w:r>
    </w:p>
    <w:tbl>
      <w:tblPr>
        <w:tblStyle w:val="67"/>
        <w:tblW w:w="8914" w:type="dxa"/>
        <w:tblInd w:w="826" w:type="dxa"/>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1055"/>
        <w:gridCol w:w="2619"/>
        <w:gridCol w:w="2620"/>
        <w:gridCol w:w="2620"/>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15" w:hRule="exact"/>
        </w:trPr>
        <w:tc>
          <w:tcPr>
            <w:tcW w:w="1055" w:type="dxa"/>
            <w:vAlign w:val="center"/>
          </w:tcPr>
          <w:p>
            <w:pPr>
              <w:pStyle w:val="72"/>
              <w:rPr>
                <w:rFonts w:asciiTheme="minorHAnsi" w:hAnsiTheme="minorHAnsi" w:eastAsiaTheme="minorEastAsia"/>
              </w:rPr>
            </w:pPr>
            <w:r>
              <w:rPr>
                <w:rFonts w:asciiTheme="minorHAnsi" w:hAnsiTheme="minorHAnsi" w:eastAsiaTheme="minorEastAsia"/>
              </w:rPr>
              <w:t>序号</w:t>
            </w:r>
          </w:p>
        </w:tc>
        <w:tc>
          <w:tcPr>
            <w:tcW w:w="2619" w:type="dxa"/>
            <w:vAlign w:val="center"/>
          </w:tcPr>
          <w:p>
            <w:pPr>
              <w:pStyle w:val="72"/>
              <w:rPr>
                <w:rFonts w:asciiTheme="minorHAnsi" w:hAnsiTheme="minorHAnsi" w:eastAsiaTheme="minorEastAsia"/>
              </w:rPr>
            </w:pPr>
            <w:r>
              <w:rPr>
                <w:rFonts w:asciiTheme="minorHAnsi" w:hAnsiTheme="minorHAnsi" w:eastAsiaTheme="minorEastAsia"/>
              </w:rPr>
              <w:t>泵站名称</w:t>
            </w:r>
          </w:p>
        </w:tc>
        <w:tc>
          <w:tcPr>
            <w:tcW w:w="2620" w:type="dxa"/>
            <w:vAlign w:val="center"/>
          </w:tcPr>
          <w:p>
            <w:pPr>
              <w:pStyle w:val="72"/>
              <w:rPr>
                <w:rFonts w:asciiTheme="minorHAnsi" w:hAnsiTheme="minorHAnsi" w:eastAsiaTheme="minorEastAsia"/>
              </w:rPr>
            </w:pPr>
            <w:r>
              <w:rPr>
                <w:rFonts w:asciiTheme="minorHAnsi" w:hAnsiTheme="minorHAnsi" w:eastAsiaTheme="minorEastAsia"/>
              </w:rPr>
              <w:t>泵站规模</w:t>
            </w:r>
          </w:p>
        </w:tc>
        <w:tc>
          <w:tcPr>
            <w:tcW w:w="2620" w:type="dxa"/>
            <w:vAlign w:val="center"/>
          </w:tcPr>
          <w:p>
            <w:pPr>
              <w:pStyle w:val="72"/>
              <w:rPr>
                <w:rFonts w:asciiTheme="minorHAnsi" w:hAnsiTheme="minorHAnsi" w:eastAsiaTheme="minorEastAsia"/>
              </w:rPr>
            </w:pPr>
            <w:r>
              <w:rPr>
                <w:rFonts w:asciiTheme="minorHAnsi" w:hAnsiTheme="minorHAnsi" w:eastAsiaTheme="minorEastAsia"/>
              </w:rPr>
              <w:t>建设运行情况</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15" w:hRule="exact"/>
        </w:trPr>
        <w:tc>
          <w:tcPr>
            <w:tcW w:w="1055" w:type="dxa"/>
            <w:vAlign w:val="center"/>
          </w:tcPr>
          <w:p>
            <w:pPr>
              <w:pStyle w:val="72"/>
              <w:rPr>
                <w:rFonts w:eastAsia="Times New Roman" w:asciiTheme="minorHAnsi" w:hAnsiTheme="minorHAnsi"/>
              </w:rPr>
            </w:pPr>
            <w:r>
              <w:rPr>
                <w:rFonts w:asciiTheme="minorHAnsi" w:hAnsiTheme="minorHAnsi" w:eastAsiaTheme="minorEastAsia"/>
              </w:rPr>
              <w:t>1</w:t>
            </w:r>
          </w:p>
        </w:tc>
        <w:tc>
          <w:tcPr>
            <w:tcW w:w="2619" w:type="dxa"/>
            <w:vAlign w:val="center"/>
          </w:tcPr>
          <w:p>
            <w:pPr>
              <w:pStyle w:val="72"/>
              <w:rPr>
                <w:rFonts w:asciiTheme="minorHAnsi" w:hAnsiTheme="minorHAnsi" w:eastAsiaTheme="minorEastAsia"/>
              </w:rPr>
            </w:pPr>
            <w:r>
              <w:rPr>
                <w:rFonts w:asciiTheme="minorHAnsi" w:hAnsiTheme="minorHAnsi" w:eastAsiaTheme="minorEastAsia"/>
              </w:rPr>
              <w:t>相阳泵站</w:t>
            </w:r>
          </w:p>
        </w:tc>
        <w:tc>
          <w:tcPr>
            <w:tcW w:w="2620" w:type="dxa"/>
            <w:vAlign w:val="center"/>
          </w:tcPr>
          <w:p>
            <w:pPr>
              <w:pStyle w:val="72"/>
              <w:rPr>
                <w:rFonts w:asciiTheme="minorHAnsi" w:hAnsiTheme="minorHAnsi" w:eastAsiaTheme="minorEastAsia"/>
              </w:rPr>
            </w:pPr>
            <w:r>
              <w:rPr>
                <w:rFonts w:eastAsia="Times New Roman" w:asciiTheme="minorHAnsi" w:hAnsiTheme="minorHAnsi"/>
              </w:rPr>
              <w:t>10.84</w:t>
            </w:r>
            <w:r>
              <w:rPr>
                <w:rFonts w:eastAsia="Times New Roman" w:asciiTheme="minorHAnsi" w:hAnsiTheme="minorHAnsi"/>
                <w:spacing w:val="-1"/>
              </w:rPr>
              <w:t xml:space="preserve"> </w:t>
            </w:r>
            <w:r>
              <w:rPr>
                <w:rFonts w:asciiTheme="minorHAnsi" w:hAnsiTheme="minorHAnsi" w:eastAsiaTheme="minorEastAsia"/>
              </w:rPr>
              <w:t>万吨</w:t>
            </w:r>
            <w:r>
              <w:rPr>
                <w:rFonts w:eastAsia="Times New Roman" w:asciiTheme="minorHAnsi" w:hAnsiTheme="minorHAnsi"/>
              </w:rPr>
              <w:t>/</w:t>
            </w:r>
            <w:r>
              <w:rPr>
                <w:rFonts w:asciiTheme="minorHAnsi" w:hAnsiTheme="minorHAnsi" w:eastAsiaTheme="minorEastAsia"/>
              </w:rPr>
              <w:t>日</w:t>
            </w:r>
          </w:p>
        </w:tc>
        <w:tc>
          <w:tcPr>
            <w:tcW w:w="2620" w:type="dxa"/>
            <w:vAlign w:val="center"/>
          </w:tcPr>
          <w:p>
            <w:pPr>
              <w:pStyle w:val="72"/>
              <w:rPr>
                <w:rFonts w:asciiTheme="minorHAnsi" w:hAnsiTheme="minorHAnsi" w:eastAsiaTheme="minorEastAsia"/>
              </w:rPr>
            </w:pPr>
            <w:r>
              <w:rPr>
                <w:rFonts w:asciiTheme="minorHAnsi" w:hAnsiTheme="minorHAnsi" w:eastAsiaTheme="minorEastAsia"/>
              </w:rPr>
              <w:t>投入运行</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15" w:hRule="exact"/>
        </w:trPr>
        <w:tc>
          <w:tcPr>
            <w:tcW w:w="1055" w:type="dxa"/>
            <w:vAlign w:val="center"/>
          </w:tcPr>
          <w:p>
            <w:pPr>
              <w:pStyle w:val="72"/>
              <w:rPr>
                <w:rFonts w:eastAsia="Times New Roman" w:asciiTheme="minorHAnsi" w:hAnsiTheme="minorHAnsi"/>
              </w:rPr>
            </w:pPr>
            <w:r>
              <w:rPr>
                <w:rFonts w:asciiTheme="minorHAnsi" w:hAnsiTheme="minorHAnsi" w:eastAsiaTheme="minorEastAsia"/>
              </w:rPr>
              <w:t>2</w:t>
            </w:r>
          </w:p>
        </w:tc>
        <w:tc>
          <w:tcPr>
            <w:tcW w:w="2619" w:type="dxa"/>
            <w:vAlign w:val="center"/>
          </w:tcPr>
          <w:p>
            <w:pPr>
              <w:pStyle w:val="72"/>
              <w:rPr>
                <w:rFonts w:asciiTheme="minorHAnsi" w:hAnsiTheme="minorHAnsi" w:eastAsiaTheme="minorEastAsia"/>
              </w:rPr>
            </w:pPr>
            <w:r>
              <w:rPr>
                <w:rFonts w:hint="eastAsia" w:asciiTheme="minorHAnsi" w:hAnsiTheme="minorHAnsi" w:eastAsiaTheme="minorEastAsia"/>
              </w:rPr>
              <w:t>庆相桥</w:t>
            </w:r>
            <w:r>
              <w:rPr>
                <w:rFonts w:asciiTheme="minorHAnsi" w:hAnsiTheme="minorHAnsi" w:eastAsiaTheme="minorEastAsia"/>
              </w:rPr>
              <w:t>泵站</w:t>
            </w:r>
          </w:p>
        </w:tc>
        <w:tc>
          <w:tcPr>
            <w:tcW w:w="2620" w:type="dxa"/>
            <w:vAlign w:val="center"/>
          </w:tcPr>
          <w:p>
            <w:pPr>
              <w:pStyle w:val="72"/>
              <w:rPr>
                <w:rFonts w:asciiTheme="minorHAnsi" w:hAnsiTheme="minorHAnsi" w:eastAsiaTheme="minorEastAsia"/>
              </w:rPr>
            </w:pPr>
            <w:r>
              <w:rPr>
                <w:rFonts w:eastAsia="Times New Roman" w:asciiTheme="minorHAnsi" w:hAnsiTheme="minorHAnsi"/>
              </w:rPr>
              <w:t>1.7</w:t>
            </w:r>
            <w:r>
              <w:rPr>
                <w:rFonts w:eastAsia="Times New Roman" w:asciiTheme="minorHAnsi" w:hAnsiTheme="minorHAnsi"/>
                <w:spacing w:val="-1"/>
              </w:rPr>
              <w:t xml:space="preserve"> </w:t>
            </w:r>
            <w:r>
              <w:rPr>
                <w:rFonts w:asciiTheme="minorHAnsi" w:hAnsiTheme="minorHAnsi" w:eastAsiaTheme="minorEastAsia"/>
              </w:rPr>
              <w:t>万吨</w:t>
            </w:r>
            <w:r>
              <w:rPr>
                <w:rFonts w:eastAsia="Times New Roman" w:asciiTheme="minorHAnsi" w:hAnsiTheme="minorHAnsi"/>
              </w:rPr>
              <w:t>/</w:t>
            </w:r>
            <w:r>
              <w:rPr>
                <w:rFonts w:asciiTheme="minorHAnsi" w:hAnsiTheme="minorHAnsi" w:eastAsiaTheme="minorEastAsia"/>
              </w:rPr>
              <w:t>日</w:t>
            </w:r>
          </w:p>
        </w:tc>
        <w:tc>
          <w:tcPr>
            <w:tcW w:w="2620" w:type="dxa"/>
            <w:vAlign w:val="center"/>
          </w:tcPr>
          <w:p>
            <w:pPr>
              <w:pStyle w:val="72"/>
              <w:rPr>
                <w:rFonts w:asciiTheme="minorHAnsi" w:hAnsiTheme="minorHAnsi" w:eastAsiaTheme="minorEastAsia"/>
              </w:rPr>
            </w:pPr>
            <w:r>
              <w:rPr>
                <w:rFonts w:asciiTheme="minorHAnsi" w:hAnsiTheme="minorHAnsi" w:eastAsiaTheme="minorEastAsia"/>
              </w:rPr>
              <w:t>投入运行</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15" w:hRule="exact"/>
        </w:trPr>
        <w:tc>
          <w:tcPr>
            <w:tcW w:w="1055" w:type="dxa"/>
            <w:vAlign w:val="center"/>
          </w:tcPr>
          <w:p>
            <w:pPr>
              <w:pStyle w:val="72"/>
              <w:rPr>
                <w:rFonts w:eastAsia="Times New Roman" w:asciiTheme="minorHAnsi" w:hAnsiTheme="minorHAnsi"/>
              </w:rPr>
            </w:pPr>
            <w:r>
              <w:rPr>
                <w:rFonts w:asciiTheme="minorHAnsi" w:hAnsiTheme="minorHAnsi" w:eastAsiaTheme="minorEastAsia"/>
              </w:rPr>
              <w:t>3</w:t>
            </w:r>
          </w:p>
        </w:tc>
        <w:tc>
          <w:tcPr>
            <w:tcW w:w="2619" w:type="dxa"/>
            <w:vAlign w:val="center"/>
          </w:tcPr>
          <w:p>
            <w:pPr>
              <w:pStyle w:val="72"/>
              <w:rPr>
                <w:rFonts w:asciiTheme="minorHAnsi" w:hAnsiTheme="minorHAnsi" w:eastAsiaTheme="minorEastAsia"/>
              </w:rPr>
            </w:pPr>
            <w:r>
              <w:rPr>
                <w:rFonts w:asciiTheme="minorHAnsi" w:hAnsiTheme="minorHAnsi" w:eastAsiaTheme="minorEastAsia"/>
              </w:rPr>
              <w:t>任圩泵站</w:t>
            </w:r>
          </w:p>
        </w:tc>
        <w:tc>
          <w:tcPr>
            <w:tcW w:w="2620" w:type="dxa"/>
            <w:vAlign w:val="center"/>
          </w:tcPr>
          <w:p>
            <w:pPr>
              <w:pStyle w:val="72"/>
              <w:rPr>
                <w:rFonts w:asciiTheme="minorHAnsi" w:hAnsiTheme="minorHAnsi" w:eastAsiaTheme="minorEastAsia"/>
              </w:rPr>
            </w:pPr>
            <w:r>
              <w:rPr>
                <w:rFonts w:eastAsia="Times New Roman" w:asciiTheme="minorHAnsi" w:hAnsiTheme="minorHAnsi"/>
              </w:rPr>
              <w:t>4.2</w:t>
            </w:r>
            <w:r>
              <w:rPr>
                <w:rFonts w:eastAsia="Times New Roman" w:asciiTheme="minorHAnsi" w:hAnsiTheme="minorHAnsi"/>
                <w:spacing w:val="-1"/>
              </w:rPr>
              <w:t xml:space="preserve"> </w:t>
            </w:r>
            <w:r>
              <w:rPr>
                <w:rFonts w:asciiTheme="minorHAnsi" w:hAnsiTheme="minorHAnsi" w:eastAsiaTheme="minorEastAsia"/>
              </w:rPr>
              <w:t>万吨</w:t>
            </w:r>
            <w:r>
              <w:rPr>
                <w:rFonts w:eastAsia="Times New Roman" w:asciiTheme="minorHAnsi" w:hAnsiTheme="minorHAnsi"/>
              </w:rPr>
              <w:t>/</w:t>
            </w:r>
            <w:r>
              <w:rPr>
                <w:rFonts w:asciiTheme="minorHAnsi" w:hAnsiTheme="minorHAnsi" w:eastAsiaTheme="minorEastAsia"/>
              </w:rPr>
              <w:t>日</w:t>
            </w:r>
          </w:p>
        </w:tc>
        <w:tc>
          <w:tcPr>
            <w:tcW w:w="2620" w:type="dxa"/>
            <w:vAlign w:val="center"/>
          </w:tcPr>
          <w:p>
            <w:pPr>
              <w:pStyle w:val="72"/>
              <w:rPr>
                <w:rFonts w:asciiTheme="minorHAnsi" w:hAnsiTheme="minorHAnsi" w:eastAsiaTheme="minorEastAsia"/>
              </w:rPr>
            </w:pPr>
            <w:r>
              <w:rPr>
                <w:rFonts w:asciiTheme="minorHAnsi" w:hAnsiTheme="minorHAnsi" w:eastAsiaTheme="minorEastAsia"/>
              </w:rPr>
              <w:t>投入运行</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15" w:hRule="exact"/>
        </w:trPr>
        <w:tc>
          <w:tcPr>
            <w:tcW w:w="1055" w:type="dxa"/>
            <w:vAlign w:val="center"/>
          </w:tcPr>
          <w:p>
            <w:pPr>
              <w:pStyle w:val="72"/>
              <w:rPr>
                <w:rFonts w:eastAsia="Times New Roman" w:asciiTheme="minorHAnsi" w:hAnsiTheme="minorHAnsi"/>
              </w:rPr>
            </w:pPr>
            <w:r>
              <w:rPr>
                <w:rFonts w:asciiTheme="minorHAnsi" w:hAnsiTheme="minorHAnsi" w:eastAsiaTheme="minorEastAsia"/>
              </w:rPr>
              <w:t>4</w:t>
            </w:r>
          </w:p>
        </w:tc>
        <w:tc>
          <w:tcPr>
            <w:tcW w:w="2619" w:type="dxa"/>
            <w:vAlign w:val="center"/>
          </w:tcPr>
          <w:p>
            <w:pPr>
              <w:pStyle w:val="72"/>
              <w:rPr>
                <w:rFonts w:asciiTheme="minorHAnsi" w:hAnsiTheme="minorHAnsi" w:eastAsiaTheme="minorEastAsia"/>
              </w:rPr>
            </w:pPr>
            <w:r>
              <w:rPr>
                <w:rFonts w:asciiTheme="minorHAnsi" w:hAnsiTheme="minorHAnsi" w:eastAsiaTheme="minorEastAsia"/>
              </w:rPr>
              <w:t>南湖泵站</w:t>
            </w:r>
          </w:p>
        </w:tc>
        <w:tc>
          <w:tcPr>
            <w:tcW w:w="2620" w:type="dxa"/>
            <w:vAlign w:val="center"/>
          </w:tcPr>
          <w:p>
            <w:pPr>
              <w:pStyle w:val="72"/>
              <w:rPr>
                <w:rFonts w:asciiTheme="minorHAnsi" w:hAnsiTheme="minorHAnsi" w:eastAsiaTheme="minorEastAsia"/>
              </w:rPr>
            </w:pPr>
            <w:r>
              <w:rPr>
                <w:rFonts w:eastAsia="Times New Roman" w:asciiTheme="minorHAnsi" w:hAnsiTheme="minorHAnsi"/>
              </w:rPr>
              <w:t>1.0</w:t>
            </w:r>
            <w:r>
              <w:rPr>
                <w:rFonts w:eastAsia="Times New Roman" w:asciiTheme="minorHAnsi" w:hAnsiTheme="minorHAnsi"/>
                <w:spacing w:val="-1"/>
              </w:rPr>
              <w:t xml:space="preserve"> </w:t>
            </w:r>
            <w:r>
              <w:rPr>
                <w:rFonts w:asciiTheme="minorHAnsi" w:hAnsiTheme="minorHAnsi" w:eastAsiaTheme="minorEastAsia"/>
              </w:rPr>
              <w:t>万吨</w:t>
            </w:r>
            <w:r>
              <w:rPr>
                <w:rFonts w:eastAsia="Times New Roman" w:asciiTheme="minorHAnsi" w:hAnsiTheme="minorHAnsi"/>
              </w:rPr>
              <w:t>/</w:t>
            </w:r>
            <w:r>
              <w:rPr>
                <w:rFonts w:asciiTheme="minorHAnsi" w:hAnsiTheme="minorHAnsi" w:eastAsiaTheme="minorEastAsia"/>
              </w:rPr>
              <w:t>日</w:t>
            </w:r>
          </w:p>
        </w:tc>
        <w:tc>
          <w:tcPr>
            <w:tcW w:w="2620" w:type="dxa"/>
            <w:vAlign w:val="center"/>
          </w:tcPr>
          <w:p>
            <w:pPr>
              <w:pStyle w:val="72"/>
              <w:rPr>
                <w:rFonts w:asciiTheme="minorHAnsi" w:hAnsiTheme="minorHAnsi" w:eastAsiaTheme="minorEastAsia"/>
              </w:rPr>
            </w:pPr>
            <w:r>
              <w:rPr>
                <w:rFonts w:asciiTheme="minorHAnsi" w:hAnsiTheme="minorHAnsi" w:eastAsiaTheme="minorEastAsia"/>
              </w:rPr>
              <w:t>投入运行</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15" w:hRule="exact"/>
        </w:trPr>
        <w:tc>
          <w:tcPr>
            <w:tcW w:w="1055" w:type="dxa"/>
            <w:vAlign w:val="center"/>
          </w:tcPr>
          <w:p>
            <w:pPr>
              <w:pStyle w:val="72"/>
              <w:rPr>
                <w:rFonts w:eastAsia="Times New Roman" w:asciiTheme="minorHAnsi" w:hAnsiTheme="minorHAnsi"/>
              </w:rPr>
            </w:pPr>
            <w:r>
              <w:rPr>
                <w:rFonts w:asciiTheme="minorHAnsi" w:hAnsiTheme="minorHAnsi" w:eastAsiaTheme="minorEastAsia"/>
              </w:rPr>
              <w:t>5</w:t>
            </w:r>
          </w:p>
        </w:tc>
        <w:tc>
          <w:tcPr>
            <w:tcW w:w="2619" w:type="dxa"/>
            <w:vAlign w:val="center"/>
          </w:tcPr>
          <w:p>
            <w:pPr>
              <w:pStyle w:val="72"/>
              <w:rPr>
                <w:rFonts w:asciiTheme="minorHAnsi" w:hAnsiTheme="minorHAnsi" w:eastAsiaTheme="minorEastAsia"/>
              </w:rPr>
            </w:pPr>
            <w:r>
              <w:rPr>
                <w:rFonts w:asciiTheme="minorHAnsi" w:hAnsiTheme="minorHAnsi" w:eastAsiaTheme="minorEastAsia"/>
              </w:rPr>
              <w:t>相山</w:t>
            </w:r>
            <w:r>
              <w:rPr>
                <w:rFonts w:hint="eastAsia" w:asciiTheme="minorHAnsi" w:hAnsiTheme="minorHAnsi" w:eastAsiaTheme="minorEastAsia"/>
              </w:rPr>
              <w:t>路</w:t>
            </w:r>
            <w:r>
              <w:rPr>
                <w:rFonts w:asciiTheme="minorHAnsi" w:hAnsiTheme="minorHAnsi" w:eastAsiaTheme="minorEastAsia"/>
              </w:rPr>
              <w:t>泵站</w:t>
            </w:r>
          </w:p>
        </w:tc>
        <w:tc>
          <w:tcPr>
            <w:tcW w:w="2620" w:type="dxa"/>
            <w:vAlign w:val="center"/>
          </w:tcPr>
          <w:p>
            <w:pPr>
              <w:pStyle w:val="72"/>
              <w:rPr>
                <w:rFonts w:asciiTheme="minorHAnsi" w:hAnsiTheme="minorHAnsi" w:eastAsiaTheme="minorEastAsia"/>
              </w:rPr>
            </w:pPr>
            <w:r>
              <w:rPr>
                <w:rFonts w:eastAsia="Times New Roman" w:asciiTheme="minorHAnsi" w:hAnsiTheme="minorHAnsi"/>
              </w:rPr>
              <w:t>4.1</w:t>
            </w:r>
            <w:r>
              <w:rPr>
                <w:rFonts w:eastAsia="Times New Roman" w:asciiTheme="minorHAnsi" w:hAnsiTheme="minorHAnsi"/>
                <w:spacing w:val="-1"/>
              </w:rPr>
              <w:t xml:space="preserve"> </w:t>
            </w:r>
            <w:r>
              <w:rPr>
                <w:rFonts w:asciiTheme="minorHAnsi" w:hAnsiTheme="minorHAnsi" w:eastAsiaTheme="minorEastAsia"/>
              </w:rPr>
              <w:t>万吨</w:t>
            </w:r>
            <w:r>
              <w:rPr>
                <w:rFonts w:eastAsia="Times New Roman" w:asciiTheme="minorHAnsi" w:hAnsiTheme="minorHAnsi"/>
              </w:rPr>
              <w:t>/</w:t>
            </w:r>
            <w:r>
              <w:rPr>
                <w:rFonts w:asciiTheme="minorHAnsi" w:hAnsiTheme="minorHAnsi" w:eastAsiaTheme="minorEastAsia"/>
              </w:rPr>
              <w:t>天</w:t>
            </w:r>
          </w:p>
        </w:tc>
        <w:tc>
          <w:tcPr>
            <w:tcW w:w="2620" w:type="dxa"/>
            <w:vAlign w:val="center"/>
          </w:tcPr>
          <w:p>
            <w:pPr>
              <w:pStyle w:val="72"/>
              <w:rPr>
                <w:rFonts w:asciiTheme="minorHAnsi" w:hAnsiTheme="minorHAnsi" w:eastAsiaTheme="minorEastAsia"/>
              </w:rPr>
            </w:pPr>
            <w:r>
              <w:rPr>
                <w:rFonts w:asciiTheme="minorHAnsi" w:hAnsiTheme="minorHAnsi" w:eastAsiaTheme="minorEastAsia"/>
              </w:rPr>
              <w:t>投入运行</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15" w:hRule="exact"/>
        </w:trPr>
        <w:tc>
          <w:tcPr>
            <w:tcW w:w="1055" w:type="dxa"/>
            <w:vAlign w:val="center"/>
          </w:tcPr>
          <w:p>
            <w:pPr>
              <w:pStyle w:val="72"/>
              <w:rPr>
                <w:rFonts w:eastAsia="Times New Roman" w:asciiTheme="minorHAnsi" w:hAnsiTheme="minorHAnsi"/>
              </w:rPr>
            </w:pPr>
            <w:r>
              <w:rPr>
                <w:rFonts w:asciiTheme="minorHAnsi" w:hAnsiTheme="minorHAnsi" w:eastAsiaTheme="minorEastAsia"/>
              </w:rPr>
              <w:t>6</w:t>
            </w:r>
          </w:p>
        </w:tc>
        <w:tc>
          <w:tcPr>
            <w:tcW w:w="2619" w:type="dxa"/>
            <w:vAlign w:val="center"/>
          </w:tcPr>
          <w:p>
            <w:pPr>
              <w:pStyle w:val="72"/>
              <w:rPr>
                <w:rFonts w:asciiTheme="minorHAnsi" w:hAnsiTheme="minorHAnsi" w:eastAsiaTheme="minorEastAsia"/>
              </w:rPr>
            </w:pPr>
            <w:r>
              <w:rPr>
                <w:rFonts w:asciiTheme="minorHAnsi" w:hAnsiTheme="minorHAnsi" w:eastAsiaTheme="minorEastAsia"/>
              </w:rPr>
              <w:t>光明路泵站</w:t>
            </w:r>
          </w:p>
        </w:tc>
        <w:tc>
          <w:tcPr>
            <w:tcW w:w="2620" w:type="dxa"/>
            <w:vAlign w:val="center"/>
          </w:tcPr>
          <w:p>
            <w:pPr>
              <w:pStyle w:val="72"/>
              <w:rPr>
                <w:rFonts w:asciiTheme="minorHAnsi" w:hAnsiTheme="minorHAnsi" w:eastAsiaTheme="minorEastAsia"/>
              </w:rPr>
            </w:pPr>
            <w:r>
              <w:rPr>
                <w:rFonts w:eastAsia="Times New Roman" w:asciiTheme="minorHAnsi" w:hAnsiTheme="minorHAnsi"/>
              </w:rPr>
              <w:t>2.8</w:t>
            </w:r>
            <w:r>
              <w:rPr>
                <w:rFonts w:eastAsia="Times New Roman" w:asciiTheme="minorHAnsi" w:hAnsiTheme="minorHAnsi"/>
                <w:spacing w:val="-1"/>
              </w:rPr>
              <w:t xml:space="preserve"> </w:t>
            </w:r>
            <w:r>
              <w:rPr>
                <w:rFonts w:asciiTheme="minorHAnsi" w:hAnsiTheme="minorHAnsi" w:eastAsiaTheme="minorEastAsia"/>
              </w:rPr>
              <w:t>万吨</w:t>
            </w:r>
            <w:r>
              <w:rPr>
                <w:rFonts w:eastAsia="Times New Roman" w:asciiTheme="minorHAnsi" w:hAnsiTheme="minorHAnsi"/>
              </w:rPr>
              <w:t>/</w:t>
            </w:r>
            <w:r>
              <w:rPr>
                <w:rFonts w:asciiTheme="minorHAnsi" w:hAnsiTheme="minorHAnsi" w:eastAsiaTheme="minorEastAsia"/>
              </w:rPr>
              <w:t>天</w:t>
            </w:r>
          </w:p>
        </w:tc>
        <w:tc>
          <w:tcPr>
            <w:tcW w:w="2620" w:type="dxa"/>
            <w:vAlign w:val="center"/>
          </w:tcPr>
          <w:p>
            <w:pPr>
              <w:pStyle w:val="72"/>
              <w:rPr>
                <w:rFonts w:asciiTheme="minorHAnsi" w:hAnsiTheme="minorHAnsi" w:eastAsiaTheme="minorEastAsia"/>
              </w:rPr>
            </w:pPr>
            <w:r>
              <w:rPr>
                <w:rFonts w:asciiTheme="minorHAnsi" w:hAnsiTheme="minorHAnsi" w:eastAsiaTheme="minorEastAsia"/>
              </w:rPr>
              <w:t>已经设计</w:t>
            </w:r>
          </w:p>
        </w:tc>
      </w:tr>
    </w:tbl>
    <w:p>
      <w:pPr>
        <w:pStyle w:val="16"/>
        <w:spacing w:line="360" w:lineRule="auto"/>
        <w:ind w:firstLine="0" w:firstLineChars="0"/>
        <w:jc w:val="center"/>
        <w:rPr>
          <w:rFonts w:cs="Times New Roman"/>
        </w:rPr>
      </w:pPr>
    </w:p>
    <w:p>
      <w:pPr>
        <w:pStyle w:val="16"/>
        <w:spacing w:line="360" w:lineRule="auto"/>
        <w:ind w:firstLine="560"/>
        <w:rPr>
          <w:rFonts w:cs="Times New Roman"/>
        </w:rPr>
      </w:pPr>
      <w:r>
        <w:rPr>
          <w:rFonts w:cs="Times New Roman"/>
        </w:rPr>
        <w:t>（2）烈山组团</w:t>
      </w:r>
    </w:p>
    <w:p>
      <w:pPr>
        <w:pStyle w:val="16"/>
        <w:spacing w:line="360" w:lineRule="auto"/>
        <w:ind w:firstLine="560"/>
        <w:rPr>
          <w:rFonts w:cs="Times New Roman"/>
        </w:rPr>
      </w:pPr>
      <w:r>
        <w:rPr>
          <w:rFonts w:cs="Times New Roman"/>
        </w:rPr>
        <w:t>烈山工人村收水区现状污水排放量约</w:t>
      </w:r>
      <w:r>
        <w:rPr>
          <w:rFonts w:hint="eastAsia" w:cs="Times New Roman"/>
        </w:rPr>
        <w:t>1</w:t>
      </w:r>
      <w:r>
        <w:rPr>
          <w:rFonts w:cs="Times New Roman"/>
        </w:rPr>
        <w:t>万吨/日。目前已经建成（含已经设计） 长山路、烈青路、望阳路、洪吴路、卧牛路、宿丁路、雷河路部分及龙河北路部分污水管道。总长度约 17.3km，设计管径 d400～d800。烈山污水处理厂也正处于前期工作阶段。 东部新城收水区现状污水排放量较少。目前已经建成（含已经设计）沱河东路、梧桐路、花山西路和雷河路等污水管道。另有太山路和花山东路正在实施。 总长度约21.5km，管径 d400-d1000。</w:t>
      </w:r>
    </w:p>
    <w:p>
      <w:pPr>
        <w:pStyle w:val="16"/>
        <w:spacing w:line="360" w:lineRule="auto"/>
        <w:ind w:firstLine="560"/>
        <w:rPr>
          <w:rFonts w:cs="Times New Roman"/>
        </w:rPr>
      </w:pPr>
      <w:r>
        <w:rPr>
          <w:rFonts w:cs="Times New Roman"/>
        </w:rPr>
        <w:t>（3）矿山集组团</w:t>
      </w:r>
    </w:p>
    <w:p>
      <w:pPr>
        <w:pStyle w:val="16"/>
        <w:spacing w:line="360" w:lineRule="auto"/>
        <w:ind w:firstLine="560"/>
        <w:rPr>
          <w:rFonts w:cs="Times New Roman"/>
        </w:rPr>
      </w:pPr>
      <w:r>
        <w:rPr>
          <w:rFonts w:cs="Times New Roman"/>
        </w:rPr>
        <w:t>龙湖工业园收水区现状污水排放量约 1 万吨/日，随着政务中心的建成使用， 该区域污水量将明显增加。目前，该区域已经建成（含已经设计）了东湖路、纬 二路、纬三路、淮海东路、经一路、威龙路、梧桐大道和龙河路等污水管道。总 长度约为49.4km，管径为 d400～d1400。龙湖污水处理厂也已基本建设完毕，其中土建规模为 4 万 m</w:t>
      </w:r>
      <w:r>
        <w:rPr>
          <w:rFonts w:cs="Times New Roman"/>
          <w:vertAlign w:val="superscript"/>
        </w:rPr>
        <w:t>3</w:t>
      </w:r>
      <w:r>
        <w:rPr>
          <w:rFonts w:cs="Times New Roman"/>
        </w:rPr>
        <w:t>/d，一期设备安装规模为 2万 m</w:t>
      </w:r>
      <w:r>
        <w:rPr>
          <w:rFonts w:cs="Times New Roman"/>
          <w:vertAlign w:val="superscript"/>
        </w:rPr>
        <w:t>3</w:t>
      </w:r>
      <w:r>
        <w:rPr>
          <w:rFonts w:cs="Times New Roman"/>
        </w:rPr>
        <w:t>/d。</w:t>
      </w:r>
    </w:p>
    <w:p>
      <w:pPr>
        <w:pStyle w:val="16"/>
        <w:spacing w:line="360" w:lineRule="auto"/>
        <w:ind w:firstLine="560"/>
        <w:rPr>
          <w:rFonts w:cs="Times New Roman"/>
        </w:rPr>
      </w:pPr>
      <w:r>
        <w:rPr>
          <w:rFonts w:cs="Times New Roman"/>
        </w:rPr>
        <w:t xml:space="preserve">杜集工业园收水区现状污水排放量约 0.2万吨/日，随着矿山机械厂和山河矿装的投产，近期污水量可达 0.5万吨/日。目前该区域已经建成（含已经设计）东山路、北外环路、岱河沿线污水管道，总长度约为 14.7km，管径为 d400～d1000。 </w:t>
      </w:r>
    </w:p>
    <w:p>
      <w:pPr>
        <w:pStyle w:val="16"/>
        <w:spacing w:line="360" w:lineRule="auto"/>
        <w:ind w:firstLine="560"/>
        <w:rPr>
          <w:rFonts w:cs="Times New Roman"/>
        </w:rPr>
      </w:pPr>
      <w:r>
        <w:rPr>
          <w:rFonts w:cs="Times New Roman"/>
        </w:rPr>
        <w:t xml:space="preserve">（4）经济开发新区污水现状 </w:t>
      </w:r>
    </w:p>
    <w:p>
      <w:pPr>
        <w:pStyle w:val="16"/>
        <w:spacing w:line="360" w:lineRule="auto"/>
        <w:ind w:firstLine="560"/>
        <w:rPr>
          <w:rFonts w:cs="Times New Roman"/>
        </w:rPr>
      </w:pPr>
      <w:r>
        <w:rPr>
          <w:rFonts w:cs="Times New Roman"/>
        </w:rPr>
        <w:t>经济开发新区</w:t>
      </w:r>
      <w:r>
        <w:rPr>
          <w:rFonts w:hint="eastAsia" w:cs="Times New Roman"/>
        </w:rPr>
        <w:t>目前</w:t>
      </w:r>
      <w:r>
        <w:rPr>
          <w:rFonts w:cs="Times New Roman"/>
        </w:rPr>
        <w:t>已建成2</w:t>
      </w:r>
      <w:r>
        <w:rPr>
          <w:rFonts w:hint="eastAsia" w:cs="Times New Roman"/>
        </w:rPr>
        <w:t>万</w:t>
      </w:r>
      <w:r>
        <w:rPr>
          <w:rFonts w:cs="Times New Roman"/>
        </w:rPr>
        <w:t>m</w:t>
      </w:r>
      <w:r>
        <w:rPr>
          <w:rFonts w:cs="Times New Roman"/>
          <w:vertAlign w:val="superscript"/>
        </w:rPr>
        <w:t>3</w:t>
      </w:r>
      <w:r>
        <w:rPr>
          <w:rFonts w:cs="Times New Roman"/>
        </w:rPr>
        <w:t xml:space="preserve">/d </w:t>
      </w:r>
      <w:r>
        <w:rPr>
          <w:rFonts w:hint="eastAsia" w:cs="Times New Roman"/>
        </w:rPr>
        <w:t>规模的经济开发区</w:t>
      </w:r>
      <w:r>
        <w:rPr>
          <w:rFonts w:cs="Times New Roman"/>
        </w:rPr>
        <w:t>污水处理厂。</w:t>
      </w:r>
    </w:p>
    <w:p>
      <w:pPr>
        <w:pStyle w:val="16"/>
        <w:spacing w:line="360" w:lineRule="auto"/>
        <w:ind w:firstLine="560"/>
        <w:rPr>
          <w:rFonts w:cs="Times New Roman"/>
        </w:rPr>
      </w:pPr>
      <w:r>
        <w:rPr>
          <w:rFonts w:cs="Times New Roman"/>
        </w:rPr>
        <w:t>目前雨、污水管网已经建成（已设计）梧桐大道、石山路、包河路、虎山路、滨河路、尚河路、澥河路、唐山路、谷山路、运河路和淝河路等道路。总长度约为 47km，管径 d400-d1500，服务面积约为 30km</w:t>
      </w:r>
      <w:r>
        <w:rPr>
          <w:rFonts w:cs="Times New Roman"/>
          <w:vertAlign w:val="superscript"/>
        </w:rPr>
        <w:t>2</w:t>
      </w:r>
      <w:r>
        <w:rPr>
          <w:rFonts w:cs="Times New Roman"/>
        </w:rPr>
        <w:t>。</w:t>
      </w:r>
    </w:p>
    <w:bookmarkEnd w:id="107"/>
    <w:p>
      <w:pPr>
        <w:pStyle w:val="4"/>
      </w:pPr>
      <w:bookmarkStart w:id="110" w:name="_Toc8032527"/>
      <w:r>
        <w:rPr>
          <w:rFonts w:hint="eastAsia"/>
        </w:rPr>
        <w:t>2.4.2  《</w:t>
      </w:r>
      <w:r>
        <w:t>淮北市排水专项规划</w:t>
      </w:r>
      <w:r>
        <w:rPr>
          <w:rFonts w:hint="eastAsia"/>
        </w:rPr>
        <w:t xml:space="preserve"> 2012-2020》</w:t>
      </w:r>
      <w:bookmarkEnd w:id="110"/>
    </w:p>
    <w:p>
      <w:pPr>
        <w:pStyle w:val="5"/>
        <w:spacing w:before="120"/>
      </w:pPr>
      <w:bookmarkStart w:id="111" w:name="_Toc8032528"/>
      <w:r>
        <w:rPr>
          <w:rFonts w:hint="eastAsia"/>
        </w:rPr>
        <w:t>2.4.2.1 规划范围</w:t>
      </w:r>
      <w:bookmarkEnd w:id="111"/>
    </w:p>
    <w:p>
      <w:pPr>
        <w:ind w:firstLine="560"/>
        <w:rPr>
          <w:szCs w:val="28"/>
        </w:rPr>
      </w:pPr>
      <w:r>
        <w:rPr>
          <w:rFonts w:hint="eastAsia"/>
          <w:szCs w:val="28"/>
        </w:rPr>
        <w:t>本次排水规划范围为：淮北市城市总体规划确定的城区约 96.25 平方公里及淮北市经济开发区新区二期建设范围约 30 平方公里，共约 126.25 平方公里。</w:t>
      </w:r>
    </w:p>
    <w:p>
      <w:pPr>
        <w:pStyle w:val="5"/>
        <w:spacing w:before="120"/>
      </w:pPr>
      <w:bookmarkStart w:id="112" w:name="_Toc8032529"/>
      <w:r>
        <w:rPr>
          <w:rFonts w:hint="eastAsia"/>
        </w:rPr>
        <w:t>2.4.2.2 规划期限</w:t>
      </w:r>
      <w:bookmarkEnd w:id="112"/>
    </w:p>
    <w:p>
      <w:pPr>
        <w:ind w:firstLine="560"/>
        <w:rPr>
          <w:szCs w:val="28"/>
        </w:rPr>
      </w:pPr>
      <w:r>
        <w:rPr>
          <w:rFonts w:hint="eastAsia"/>
          <w:szCs w:val="28"/>
        </w:rPr>
        <w:t>规划期限： 2012 年至 2020 年。</w:t>
      </w:r>
    </w:p>
    <w:p>
      <w:pPr>
        <w:pStyle w:val="5"/>
        <w:spacing w:before="120"/>
      </w:pPr>
      <w:bookmarkStart w:id="113" w:name="_Toc8032530"/>
      <w:r>
        <w:rPr>
          <w:rFonts w:hint="eastAsia"/>
        </w:rPr>
        <w:t>2.4.2.3 规划目标</w:t>
      </w:r>
      <w:bookmarkEnd w:id="113"/>
    </w:p>
    <w:p>
      <w:pPr>
        <w:ind w:firstLine="560"/>
        <w:rPr>
          <w:szCs w:val="28"/>
        </w:rPr>
      </w:pPr>
      <w:r>
        <w:rPr>
          <w:rFonts w:hint="eastAsia"/>
          <w:szCs w:val="28"/>
        </w:rPr>
        <w:t>1）作为《淮北市城市总体规划》（2006~2020）及《淮北市经济开发新区总体规划》（2011-2030）配套排水工程规划，在规划期内具体指导排水工程的建设，使排水工程及其城市基础设施建设与经济建设同步协调发展，使排水工程的建设标准适应城市现代化标准的要求。</w:t>
      </w:r>
    </w:p>
    <w:p>
      <w:pPr>
        <w:ind w:firstLine="560"/>
        <w:rPr>
          <w:szCs w:val="28"/>
        </w:rPr>
      </w:pPr>
      <w:r>
        <w:rPr>
          <w:rFonts w:hint="eastAsia"/>
          <w:szCs w:val="28"/>
        </w:rPr>
        <w:t>2）城市水环境按照城市内主要地表水水域环境功能规划，控制城市排水对水体的污染，逐步达到保护的目标。</w:t>
      </w:r>
    </w:p>
    <w:p>
      <w:pPr>
        <w:ind w:firstLine="560"/>
        <w:rPr>
          <w:szCs w:val="28"/>
        </w:rPr>
      </w:pPr>
      <w:r>
        <w:rPr>
          <w:rFonts w:hint="eastAsia"/>
          <w:szCs w:val="28"/>
        </w:rPr>
        <w:t>3）从城市排水专业的要求协调城市的竖向设计与道路设计。</w:t>
      </w:r>
    </w:p>
    <w:p>
      <w:pPr>
        <w:ind w:firstLine="560"/>
        <w:rPr>
          <w:szCs w:val="28"/>
        </w:rPr>
      </w:pPr>
      <w:r>
        <w:rPr>
          <w:rFonts w:hint="eastAsia"/>
          <w:szCs w:val="28"/>
        </w:rPr>
        <w:t>4）改善排水出路，综合治理河道、明沟，解决雨季积水问题。</w:t>
      </w:r>
    </w:p>
    <w:p>
      <w:pPr>
        <w:ind w:firstLine="560"/>
        <w:rPr>
          <w:szCs w:val="28"/>
        </w:rPr>
      </w:pPr>
      <w:r>
        <w:rPr>
          <w:rFonts w:hint="eastAsia"/>
          <w:szCs w:val="28"/>
        </w:rPr>
        <w:t>5）通过污水处理厂和污水再生利用工程的建设为远期实现污水的再生利用，减少污水的排放，进一步保护水资源。</w:t>
      </w:r>
    </w:p>
    <w:p>
      <w:pPr>
        <w:ind w:firstLine="560"/>
        <w:rPr>
          <w:szCs w:val="28"/>
        </w:rPr>
      </w:pPr>
      <w:r>
        <w:rPr>
          <w:rFonts w:hint="eastAsia"/>
          <w:szCs w:val="28"/>
        </w:rPr>
        <w:t>6）从实际出发，统筹规划，为淮北市的规划城区提供一套完整的排水系统设施。</w:t>
      </w:r>
    </w:p>
    <w:p>
      <w:pPr>
        <w:pStyle w:val="5"/>
        <w:spacing w:before="120"/>
      </w:pPr>
      <w:bookmarkStart w:id="114" w:name="_Toc8032531"/>
      <w:r>
        <w:rPr>
          <w:rFonts w:hint="eastAsia"/>
        </w:rPr>
        <w:t xml:space="preserve">2.4.2.4  </w:t>
      </w:r>
      <w:r>
        <w:t>排水体制</w:t>
      </w:r>
      <w:bookmarkEnd w:id="114"/>
    </w:p>
    <w:p>
      <w:pPr>
        <w:ind w:firstLine="560"/>
        <w:rPr>
          <w:szCs w:val="28"/>
        </w:rPr>
      </w:pPr>
      <w:r>
        <w:rPr>
          <w:rFonts w:hint="eastAsia"/>
          <w:szCs w:val="28"/>
        </w:rPr>
        <w:t>根据淮北市总体规划的要求，对淮北市老城区近期先采用截流式合流制，逐步过渡到分流制；对于新建区应采用完全分流制排水体制，建设过程中按分流制一次性埋设雨、污水管道。</w:t>
      </w:r>
    </w:p>
    <w:p>
      <w:pPr>
        <w:pStyle w:val="5"/>
        <w:spacing w:before="120"/>
      </w:pPr>
      <w:bookmarkStart w:id="115" w:name="_Toc8032532"/>
      <w:r>
        <w:rPr>
          <w:rFonts w:hint="eastAsia"/>
        </w:rPr>
        <w:t xml:space="preserve">2.4.2.5  </w:t>
      </w:r>
      <w:r>
        <w:t>污水量预测</w:t>
      </w:r>
      <w:bookmarkEnd w:id="115"/>
    </w:p>
    <w:p>
      <w:pPr>
        <w:ind w:firstLine="560"/>
        <w:rPr>
          <w:szCs w:val="28"/>
        </w:rPr>
      </w:pPr>
      <w:r>
        <w:rPr>
          <w:szCs w:val="28"/>
        </w:rPr>
        <w:t>规划预测到 2020 年，淮北市中心城区服务范围内的污水总量为 30 万 m</w:t>
      </w:r>
      <w:r>
        <w:rPr>
          <w:szCs w:val="28"/>
          <w:vertAlign w:val="superscript"/>
        </w:rPr>
        <w:t>3</w:t>
      </w:r>
      <w:r>
        <w:rPr>
          <w:szCs w:val="28"/>
        </w:rPr>
        <w:t>/d。 其中相山组团污水量约为 12 万 m</w:t>
      </w:r>
      <w:r>
        <w:rPr>
          <w:szCs w:val="28"/>
          <w:vertAlign w:val="superscript"/>
        </w:rPr>
        <w:t>3</w:t>
      </w:r>
      <w:r>
        <w:rPr>
          <w:szCs w:val="28"/>
        </w:rPr>
        <w:t>/d，矿山集组团污水量约为 5 万 m</w:t>
      </w:r>
      <w:r>
        <w:rPr>
          <w:szCs w:val="28"/>
          <w:vertAlign w:val="superscript"/>
        </w:rPr>
        <w:t>3</w:t>
      </w:r>
      <w:r>
        <w:rPr>
          <w:szCs w:val="28"/>
        </w:rPr>
        <w:t>/d，烈山组团 污水量约为 3.5 万 m</w:t>
      </w:r>
      <w:r>
        <w:rPr>
          <w:szCs w:val="28"/>
          <w:vertAlign w:val="superscript"/>
        </w:rPr>
        <w:t>3</w:t>
      </w:r>
      <w:r>
        <w:rPr>
          <w:szCs w:val="28"/>
        </w:rPr>
        <w:t>/d，经济开发区新区污水量约为 9.5 万 m</w:t>
      </w:r>
      <w:r>
        <w:rPr>
          <w:szCs w:val="28"/>
          <w:vertAlign w:val="superscript"/>
        </w:rPr>
        <w:t>3</w:t>
      </w:r>
      <w:r>
        <w:rPr>
          <w:szCs w:val="28"/>
        </w:rPr>
        <w:t>/d。</w:t>
      </w:r>
    </w:p>
    <w:p>
      <w:pPr>
        <w:pStyle w:val="5"/>
        <w:spacing w:before="120"/>
      </w:pPr>
      <w:bookmarkStart w:id="116" w:name="_Toc8032533"/>
      <w:r>
        <w:rPr>
          <w:rFonts w:hint="eastAsia"/>
        </w:rPr>
        <w:t xml:space="preserve">2.4.2.6 </w:t>
      </w:r>
      <w:r>
        <w:t>污水分区</w:t>
      </w:r>
      <w:bookmarkEnd w:id="116"/>
    </w:p>
    <w:p>
      <w:pPr>
        <w:ind w:firstLine="560"/>
        <w:rPr>
          <w:szCs w:val="28"/>
        </w:rPr>
      </w:pPr>
      <w:r>
        <w:rPr>
          <w:szCs w:val="28"/>
        </w:rPr>
        <w:t xml:space="preserve"> 全市污水共分四大分区：相山污水分区、龙湖污水分区、东部新城污水分区和经济开发新区污水分区。其中相山污水分区分为相山子分区和凤凰山子分区， 龙湖污水分区分为杜集子分区和龙湖子分区，经济开发新区污水分区分为烈山子 分区和经济开发新区子分区。</w:t>
      </w:r>
    </w:p>
    <w:p>
      <w:pPr>
        <w:pStyle w:val="5"/>
        <w:spacing w:before="120"/>
      </w:pPr>
      <w:bookmarkStart w:id="117" w:name="_Toc8032534"/>
      <w:r>
        <w:rPr>
          <w:rFonts w:hint="eastAsia"/>
        </w:rPr>
        <w:t xml:space="preserve">2.4.2.7 </w:t>
      </w:r>
      <w:r>
        <w:t>污水工程规划</w:t>
      </w:r>
      <w:bookmarkEnd w:id="117"/>
    </w:p>
    <w:p>
      <w:pPr>
        <w:ind w:firstLine="560"/>
        <w:rPr>
          <w:szCs w:val="28"/>
        </w:rPr>
      </w:pPr>
      <w:r>
        <w:rPr>
          <w:szCs w:val="28"/>
        </w:rPr>
        <w:t>污水处理厂：扩建龙湖污水处理厂，扩建规模 3 万 m</w:t>
      </w:r>
      <w:r>
        <w:rPr>
          <w:szCs w:val="28"/>
          <w:vertAlign w:val="superscript"/>
        </w:rPr>
        <w:t>3</w:t>
      </w:r>
      <w:r>
        <w:rPr>
          <w:szCs w:val="28"/>
        </w:rPr>
        <w:t>/d，新建东部 新城污水处理厂，设计规模 1.5 万 m</w:t>
      </w:r>
      <w:r>
        <w:rPr>
          <w:szCs w:val="28"/>
          <w:vertAlign w:val="superscript"/>
        </w:rPr>
        <w:t>3</w:t>
      </w:r>
      <w:r>
        <w:rPr>
          <w:szCs w:val="28"/>
        </w:rPr>
        <w:t>/d；新建经济开发新区污水处理厂，设计规模 12 万 m</w:t>
      </w:r>
      <w:r>
        <w:rPr>
          <w:szCs w:val="28"/>
          <w:vertAlign w:val="superscript"/>
        </w:rPr>
        <w:t>3</w:t>
      </w:r>
      <w:r>
        <w:rPr>
          <w:szCs w:val="28"/>
        </w:rPr>
        <w:t>/d。</w:t>
      </w:r>
      <w:r>
        <w:rPr>
          <w:rFonts w:hint="eastAsia"/>
          <w:szCs w:val="28"/>
        </w:rPr>
        <w:t>（</w:t>
      </w:r>
      <w:r>
        <w:rPr>
          <w:szCs w:val="28"/>
        </w:rPr>
        <w:t>东部新城污水处理厂</w:t>
      </w:r>
      <w:r>
        <w:rPr>
          <w:rFonts w:hint="eastAsia"/>
          <w:szCs w:val="28"/>
        </w:rPr>
        <w:t>已取消）</w:t>
      </w:r>
    </w:p>
    <w:p>
      <w:pPr>
        <w:ind w:firstLine="560"/>
        <w:rPr>
          <w:szCs w:val="28"/>
        </w:rPr>
      </w:pPr>
      <w:r>
        <w:rPr>
          <w:szCs w:val="28"/>
        </w:rPr>
        <w:t>污水泵站：需建设龙山南路污水泵站、杜集污水泵站、杨河路污水泵站、北 外环污水泵站、龙湖污水泵站、开渠路污水泵站、长山路污水泵站、烈青路污水 泵站、梧桐大道污水泵站、杜庄路污水泵站和滨河路污水泵站等 11 座污水中途提 升泵站。</w:t>
      </w:r>
    </w:p>
    <w:p>
      <w:pPr>
        <w:ind w:firstLine="560"/>
        <w:rPr>
          <w:szCs w:val="28"/>
        </w:rPr>
      </w:pPr>
      <w:r>
        <w:rPr>
          <w:szCs w:val="28"/>
        </w:rPr>
        <w:t>污水管网：规划相山污水分区需要新建污水管道总长约为 76.5km；龙湖污水 分区需要新建污水管道总长约为 63km；东部新城污水分区需要新建污水管道总长 约为 23.5km；经济开发新区污水分区需要新建污水管道总长约为 91.2km；合计 298.3km。</w:t>
      </w:r>
    </w:p>
    <w:p>
      <w:pPr>
        <w:pStyle w:val="5"/>
        <w:spacing w:before="120"/>
      </w:pPr>
      <w:bookmarkStart w:id="118" w:name="_Toc8032535"/>
      <w:r>
        <w:rPr>
          <w:rFonts w:hint="eastAsia"/>
        </w:rPr>
        <w:t>2.4.2.8 径流系数</w:t>
      </w:r>
      <w:bookmarkEnd w:id="118"/>
    </w:p>
    <w:p>
      <w:pPr>
        <w:ind w:firstLine="560"/>
        <w:rPr>
          <w:szCs w:val="28"/>
        </w:rPr>
      </w:pPr>
      <w:r>
        <w:rPr>
          <w:rFonts w:hint="eastAsia"/>
          <w:szCs w:val="28"/>
        </w:rPr>
        <w:t>淮北市的综合径流系数取值范围为：0.6，具体数值应按具体建设的内容确定，如遇仓储、立交或绿地、公园等用地属性较单一的地区，局部的径流系数还可适当放大或减小。</w:t>
      </w:r>
    </w:p>
    <w:p>
      <w:pPr>
        <w:pStyle w:val="5"/>
        <w:spacing w:before="120"/>
      </w:pPr>
      <w:bookmarkStart w:id="119" w:name="_Toc8032536"/>
      <w:r>
        <w:rPr>
          <w:rFonts w:hint="eastAsia"/>
        </w:rPr>
        <w:t>2.4.2.9 雨</w:t>
      </w:r>
      <w:r>
        <w:t>水工程规划</w:t>
      </w:r>
      <w:bookmarkEnd w:id="119"/>
    </w:p>
    <w:p>
      <w:pPr>
        <w:ind w:firstLine="560"/>
        <w:rPr>
          <w:szCs w:val="28"/>
        </w:rPr>
      </w:pPr>
      <w:r>
        <w:rPr>
          <w:rFonts w:hint="eastAsia"/>
          <w:szCs w:val="28"/>
        </w:rPr>
        <w:t>本次规划根据城市雨水排水现状、地形条件、道路规划和城市与周围自然水体的关系进行雨水汇水分区，以高水高排、低水低排，雨水以最短的距离就近排入水体的原则布置雨水管网。将规划区域划分为 6 个雨水分区，分别是萧濉新河及洪碱河雨水分区、老濉河雨水分区、岱河雨水分区、龙河及龙岱河雨水分区、闸河雨水分区和王引河雨水分区。再根据各个内河水体的汇水区域来划分小区。本次雨水规划时，结合管线综合规划，对于 40m 红线宽度以上的道路，雨水管线采取双排布置的方式，以下的基本单排布置。</w:t>
      </w:r>
    </w:p>
    <w:p>
      <w:pPr>
        <w:pStyle w:val="3"/>
        <w:spacing w:before="120" w:after="60" w:line="360" w:lineRule="auto"/>
        <w:ind w:firstLine="602"/>
        <w:rPr>
          <w:rFonts w:ascii="Times New Roman" w:hAnsi="Times New Roman"/>
        </w:rPr>
      </w:pPr>
      <w:bookmarkStart w:id="120" w:name="_Toc8032537"/>
      <w:bookmarkStart w:id="121" w:name="_Toc478634301"/>
      <w:r>
        <w:rPr>
          <w:rFonts w:hint="eastAsia" w:ascii="Times New Roman" w:hAnsi="Times New Roman"/>
        </w:rPr>
        <w:t>2.5非常规水资源利用</w:t>
      </w:r>
      <w:r>
        <w:rPr>
          <w:rFonts w:ascii="Times New Roman" w:hAnsi="Times New Roman"/>
        </w:rPr>
        <w:t>现状</w:t>
      </w:r>
      <w:r>
        <w:rPr>
          <w:rFonts w:hint="eastAsia" w:ascii="Times New Roman" w:hAnsi="Times New Roman"/>
        </w:rPr>
        <w:t>分析</w:t>
      </w:r>
      <w:bookmarkEnd w:id="120"/>
    </w:p>
    <w:p>
      <w:pPr>
        <w:ind w:firstLine="560"/>
        <w:rPr>
          <w:szCs w:val="28"/>
        </w:rPr>
      </w:pPr>
    </w:p>
    <w:p>
      <w:pPr>
        <w:ind w:firstLine="560"/>
        <w:rPr>
          <w:szCs w:val="28"/>
        </w:rPr>
      </w:pPr>
      <w:r>
        <w:rPr>
          <w:szCs w:val="28"/>
        </w:rPr>
        <w:t>非</w:t>
      </w:r>
      <w:r>
        <w:rPr>
          <w:rFonts w:hint="eastAsia"/>
          <w:szCs w:val="28"/>
        </w:rPr>
        <w:t>常规</w:t>
      </w:r>
      <w:r>
        <w:rPr>
          <w:szCs w:val="28"/>
        </w:rPr>
        <w:t>水资源有雨水、城市再生水、</w:t>
      </w:r>
      <w:r>
        <w:rPr>
          <w:rFonts w:hint="eastAsia"/>
          <w:szCs w:val="28"/>
        </w:rPr>
        <w:t>矿井水、</w:t>
      </w:r>
      <w:r>
        <w:rPr>
          <w:szCs w:val="28"/>
        </w:rPr>
        <w:t>海水、苦咸水以及空中水等。这些水资源的突出优点是可以就地取材，而且可以再生。目前适合</w:t>
      </w:r>
      <w:r>
        <w:rPr>
          <w:rFonts w:hint="eastAsia"/>
          <w:szCs w:val="28"/>
        </w:rPr>
        <w:t>淮北</w:t>
      </w:r>
      <w:r>
        <w:rPr>
          <w:szCs w:val="28"/>
        </w:rPr>
        <w:t>市实际情况的非</w:t>
      </w:r>
      <w:r>
        <w:rPr>
          <w:rFonts w:hint="eastAsia"/>
          <w:szCs w:val="28"/>
        </w:rPr>
        <w:t>常规</w:t>
      </w:r>
      <w:r>
        <w:rPr>
          <w:szCs w:val="28"/>
        </w:rPr>
        <w:t>水源利用包括：雨水、再生水和</w:t>
      </w:r>
      <w:r>
        <w:rPr>
          <w:rFonts w:hint="eastAsia"/>
          <w:szCs w:val="28"/>
        </w:rPr>
        <w:t>矿井水</w:t>
      </w:r>
      <w:r>
        <w:rPr>
          <w:szCs w:val="28"/>
        </w:rPr>
        <w:t>，这三种非</w:t>
      </w:r>
      <w:r>
        <w:rPr>
          <w:rFonts w:hint="eastAsia"/>
          <w:szCs w:val="28"/>
        </w:rPr>
        <w:t>常规</w:t>
      </w:r>
      <w:r>
        <w:rPr>
          <w:szCs w:val="28"/>
        </w:rPr>
        <w:t>水资源是可以利用的，但对于城市节约用水规划，其主要的非</w:t>
      </w:r>
      <w:r>
        <w:rPr>
          <w:rFonts w:hint="eastAsia"/>
          <w:szCs w:val="28"/>
        </w:rPr>
        <w:t>常规</w:t>
      </w:r>
      <w:r>
        <w:rPr>
          <w:szCs w:val="28"/>
        </w:rPr>
        <w:t>水资源利用模式是雨水、再生水、</w:t>
      </w:r>
      <w:r>
        <w:rPr>
          <w:rFonts w:hint="eastAsia"/>
          <w:szCs w:val="28"/>
        </w:rPr>
        <w:t>矿井水</w:t>
      </w:r>
      <w:r>
        <w:rPr>
          <w:szCs w:val="28"/>
        </w:rPr>
        <w:t>，即城市雨水有效利用、城市污水深度处理及回用、小区建筑再生水回用、</w:t>
      </w:r>
      <w:r>
        <w:rPr>
          <w:rFonts w:hint="eastAsia"/>
          <w:szCs w:val="28"/>
        </w:rPr>
        <w:t>矿井水回用</w:t>
      </w:r>
      <w:r>
        <w:rPr>
          <w:szCs w:val="28"/>
        </w:rPr>
        <w:t>等措施。</w:t>
      </w:r>
    </w:p>
    <w:p>
      <w:pPr>
        <w:ind w:firstLine="560"/>
        <w:rPr>
          <w:szCs w:val="28"/>
        </w:rPr>
      </w:pPr>
      <w:r>
        <w:rPr>
          <w:szCs w:val="28"/>
        </w:rPr>
        <w:t>再生水作为生活杂用水，其水质必须满足下列基本条件：</w:t>
      </w:r>
    </w:p>
    <w:p>
      <w:pPr>
        <w:ind w:firstLine="560"/>
        <w:rPr>
          <w:szCs w:val="28"/>
        </w:rPr>
      </w:pPr>
      <w:r>
        <w:rPr>
          <w:rFonts w:hint="eastAsia"/>
          <w:szCs w:val="28"/>
        </w:rPr>
        <w:t>（1）</w:t>
      </w:r>
      <w:r>
        <w:rPr>
          <w:szCs w:val="28"/>
        </w:rPr>
        <w:t>卫生上安全可靠，无有害物质，其主要衡量指标有大肠菌群数、细菌总数、悬浮物量、生化需氧量、化学耗氧量等；</w:t>
      </w:r>
    </w:p>
    <w:p>
      <w:pPr>
        <w:ind w:firstLine="560"/>
        <w:rPr>
          <w:szCs w:val="28"/>
        </w:rPr>
      </w:pPr>
      <w:r>
        <w:rPr>
          <w:rFonts w:hint="eastAsia"/>
          <w:szCs w:val="28"/>
        </w:rPr>
        <w:t>（2）</w:t>
      </w:r>
      <w:r>
        <w:rPr>
          <w:szCs w:val="28"/>
        </w:rPr>
        <w:t>外观上无不快的感觉，其主要衡量指标有浊度、色度、臭气、表面活性剂和油脂等；</w:t>
      </w:r>
    </w:p>
    <w:p>
      <w:pPr>
        <w:ind w:firstLine="560"/>
        <w:rPr>
          <w:szCs w:val="28"/>
        </w:rPr>
      </w:pPr>
      <w:r>
        <w:rPr>
          <w:rFonts w:hint="eastAsia"/>
          <w:szCs w:val="28"/>
        </w:rPr>
        <w:t>（3）</w:t>
      </w:r>
      <w:r>
        <w:rPr>
          <w:szCs w:val="28"/>
        </w:rPr>
        <w:t>不引起设备、管道等严重腐蚀，不造成维护管理的困难，其主要衡量指标有PH值、硬度、溶解性固体等。</w:t>
      </w:r>
    </w:p>
    <w:p>
      <w:pPr>
        <w:ind w:firstLine="560"/>
        <w:rPr>
          <w:szCs w:val="28"/>
        </w:rPr>
      </w:pPr>
      <w:r>
        <w:rPr>
          <w:szCs w:val="28"/>
        </w:rPr>
        <w:t>再生水用于一般景观生态用水应符合《城市污水再生利用景观环境用水水质》（GB/T18921-2002），用于生活杂用水应符合建设部《城市污水再生利用城市杂用水水质》（GB/T18920-2002），用于工业循环冷却水应符合《工业循环水冷却设计规范》（GB/T50102-2003）。</w:t>
      </w:r>
    </w:p>
    <w:p>
      <w:pPr>
        <w:ind w:firstLine="560"/>
        <w:rPr>
          <w:szCs w:val="28"/>
        </w:rPr>
      </w:pPr>
      <w:r>
        <w:rPr>
          <w:rFonts w:hint="eastAsia"/>
          <w:szCs w:val="28"/>
        </w:rPr>
        <w:t>再生水回用方式主要有集中回用和分散回用，集中回用多数将污水处理厂尾水回用与附近企业。例如，凌云中水厂、经济开发区新区污水处理厂处理后的尾水提升至发电厂，用于厂内生产用水，凌云中水厂回用量为1</w:t>
      </w:r>
      <w:r>
        <w:rPr>
          <w:szCs w:val="28"/>
        </w:rPr>
        <w:t>2</w:t>
      </w:r>
      <w:r>
        <w:rPr>
          <w:rFonts w:hint="eastAsia"/>
          <w:szCs w:val="28"/>
        </w:rPr>
        <w:t>万吨/d，2017年凌云中水厂实际生产中水3820.8万吨，其中大唐电厂生产用水回用量1583.7万吨。其余中水用于补给老濉河、西相阳沟。</w:t>
      </w:r>
    </w:p>
    <w:p>
      <w:pPr>
        <w:pStyle w:val="63"/>
        <w:widowControl w:val="0"/>
        <w:spacing w:line="580" w:lineRule="exact"/>
        <w:ind w:right="26" w:firstLine="565" w:firstLineChars="202"/>
        <w:rPr>
          <w:rFonts w:eastAsia="宋体"/>
          <w:szCs w:val="28"/>
        </w:rPr>
      </w:pPr>
      <w:r>
        <w:rPr>
          <w:rFonts w:hint="eastAsia" w:eastAsia="宋体"/>
          <w:szCs w:val="28"/>
        </w:rPr>
        <w:t>经济开发区新区污水处理厂尾水从2017年开始全部供平山电厂使用；龙湖污水处理厂尾水计划供杜集生物质电厂和宇能垃圾电厂使用。</w:t>
      </w:r>
    </w:p>
    <w:p>
      <w:pPr>
        <w:ind w:firstLine="560"/>
        <w:rPr>
          <w:szCs w:val="28"/>
        </w:rPr>
      </w:pPr>
      <w:r>
        <w:rPr>
          <w:rFonts w:hint="eastAsia"/>
          <w:szCs w:val="28"/>
        </w:rPr>
        <w:t>对于分散回用而言，多数以企业，单位，小区为单元，就地处理后回用，从淮北市目前主要企业需求来看，中心</w:t>
      </w:r>
      <w:r>
        <w:rPr>
          <w:szCs w:val="28"/>
        </w:rPr>
        <w:t>城区部分需求中水的企业</w:t>
      </w:r>
      <w:r>
        <w:rPr>
          <w:rFonts w:hint="eastAsia"/>
          <w:szCs w:val="28"/>
        </w:rPr>
        <w:t>较少</w:t>
      </w:r>
      <w:r>
        <w:rPr>
          <w:szCs w:val="28"/>
        </w:rPr>
        <w:t>，且</w:t>
      </w:r>
      <w:r>
        <w:rPr>
          <w:rFonts w:hint="eastAsia"/>
          <w:szCs w:val="28"/>
        </w:rPr>
        <w:t>较为分散</w:t>
      </w:r>
      <w:r>
        <w:rPr>
          <w:szCs w:val="28"/>
        </w:rPr>
        <w:t>，不利于开展</w:t>
      </w:r>
      <w:r>
        <w:rPr>
          <w:rFonts w:hint="eastAsia"/>
          <w:szCs w:val="28"/>
        </w:rPr>
        <w:t>集中</w:t>
      </w:r>
      <w:r>
        <w:rPr>
          <w:szCs w:val="28"/>
        </w:rPr>
        <w:t>中水回用工程。对</w:t>
      </w:r>
      <w:r>
        <w:rPr>
          <w:rFonts w:hint="eastAsia"/>
          <w:szCs w:val="28"/>
        </w:rPr>
        <w:t>淮北</w:t>
      </w:r>
      <w:r>
        <w:rPr>
          <w:szCs w:val="28"/>
        </w:rPr>
        <w:t>中水回用现状及存在问题进行研究后发现，</w:t>
      </w:r>
      <w:r>
        <w:rPr>
          <w:rFonts w:hint="eastAsia"/>
          <w:szCs w:val="28"/>
        </w:rPr>
        <w:t>虽然中心城区集中回用管网建设等存在一定困难，但是分散回用再生水回用需求较大，</w:t>
      </w:r>
      <w:r>
        <w:rPr>
          <w:szCs w:val="28"/>
        </w:rPr>
        <w:t>可以通过开展中水洗车、中水冲厕、中水绿化等方面提高城市非常规水资源利用率。</w:t>
      </w:r>
    </w:p>
    <w:p>
      <w:pPr>
        <w:ind w:firstLine="560"/>
        <w:rPr>
          <w:szCs w:val="28"/>
        </w:rPr>
      </w:pPr>
      <w:r>
        <w:rPr>
          <w:rFonts w:hint="eastAsia"/>
          <w:szCs w:val="28"/>
        </w:rPr>
        <w:t>淮北市目前尚未广泛开展建筑中水应用。根据《城镇节水工作指南》的要求：具有一定规模的新建住房应当安装中水设施，老旧住房逐步实施中水利用改造。鼓励居民家庭内部实行排水灰黑分离的一体化户内中水设施，推广中水洁厕。建筑中水工程设施的设计和建设应符合《建筑中水设计规范》（GB50336），水质要求要执行国家《城镇污水再生利用》系列水质标准。然而从建筑中水运行维护管理、供水安全可靠性、投入等综合考虑，仍需做好充分技术论证分析并建立引导机制，是未来淮北市非常规水资源探索的方向。</w:t>
      </w:r>
    </w:p>
    <w:p>
      <w:pPr>
        <w:ind w:firstLine="560"/>
        <w:rPr>
          <w:szCs w:val="28"/>
        </w:rPr>
      </w:pPr>
      <w:r>
        <w:rPr>
          <w:rFonts w:hint="eastAsia"/>
          <w:szCs w:val="28"/>
        </w:rPr>
        <w:t>淮北市已有主要非常规水资源利用工程项目见表2-20。</w:t>
      </w:r>
    </w:p>
    <w:p>
      <w:pPr>
        <w:pStyle w:val="105"/>
        <w:spacing w:before="120" w:after="72"/>
        <w:rPr>
          <w:color w:val="000000"/>
        </w:rPr>
      </w:pPr>
      <w:r>
        <w:rPr>
          <w:rFonts w:hint="eastAsia"/>
          <w:color w:val="000000"/>
        </w:rPr>
        <w:t>表 2-20 淮北市已有非常规水资源利用工程项目</w:t>
      </w:r>
    </w:p>
    <w:tbl>
      <w:tblPr>
        <w:tblStyle w:val="39"/>
        <w:tblW w:w="10455"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831"/>
        <w:gridCol w:w="3387"/>
        <w:gridCol w:w="6237"/>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bookmarkStart w:id="122" w:name="_Hlk2819069"/>
            <w:r>
              <w:t>序号</w:t>
            </w:r>
          </w:p>
        </w:tc>
        <w:tc>
          <w:tcPr>
            <w:tcW w:w="3387" w:type="dxa"/>
            <w:vAlign w:val="center"/>
          </w:tcPr>
          <w:p>
            <w:pPr>
              <w:pStyle w:val="72"/>
            </w:pPr>
            <w:r>
              <w:t>工程名称</w:t>
            </w:r>
          </w:p>
        </w:tc>
        <w:tc>
          <w:tcPr>
            <w:tcW w:w="6237" w:type="dxa"/>
            <w:vAlign w:val="center"/>
          </w:tcPr>
          <w:p>
            <w:pPr>
              <w:pStyle w:val="72"/>
            </w:pPr>
            <w:r>
              <w:t>工程概况</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r>
              <w:rPr>
                <w:rFonts w:hint="eastAsia"/>
              </w:rPr>
              <w:t>1</w:t>
            </w:r>
          </w:p>
        </w:tc>
        <w:tc>
          <w:tcPr>
            <w:tcW w:w="3387" w:type="dxa"/>
            <w:vAlign w:val="center"/>
          </w:tcPr>
          <w:p>
            <w:pPr>
              <w:pStyle w:val="72"/>
            </w:pPr>
            <w:r>
              <w:rPr>
                <w:rFonts w:hint="eastAsia"/>
              </w:rPr>
              <w:t>淮北</w:t>
            </w:r>
            <w:r>
              <w:t>市</w:t>
            </w:r>
            <w:r>
              <w:rPr>
                <w:rFonts w:hint="eastAsia"/>
              </w:rPr>
              <w:t>质量技术监督局</w:t>
            </w:r>
          </w:p>
        </w:tc>
        <w:tc>
          <w:tcPr>
            <w:tcW w:w="6237" w:type="dxa"/>
            <w:vAlign w:val="center"/>
          </w:tcPr>
          <w:p>
            <w:pPr>
              <w:pStyle w:val="72"/>
            </w:pPr>
            <w:r>
              <w:rPr>
                <w:rFonts w:hint="eastAsia"/>
              </w:rPr>
              <w:t>单位建有雨水收集池，用于院区绿化等用水。</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r>
              <w:rPr>
                <w:rFonts w:hint="eastAsia"/>
              </w:rPr>
              <w:t>2</w:t>
            </w:r>
          </w:p>
        </w:tc>
        <w:tc>
          <w:tcPr>
            <w:tcW w:w="3387" w:type="dxa"/>
            <w:vAlign w:val="center"/>
          </w:tcPr>
          <w:p>
            <w:pPr>
              <w:pStyle w:val="72"/>
            </w:pPr>
            <w:r>
              <w:rPr>
                <w:rFonts w:hint="eastAsia"/>
              </w:rPr>
              <w:t>淮北</w:t>
            </w:r>
            <w:r>
              <w:t>市</w:t>
            </w:r>
            <w:r>
              <w:rPr>
                <w:rFonts w:hint="eastAsia"/>
              </w:rPr>
              <w:t>现代花园北苑小区</w:t>
            </w:r>
          </w:p>
        </w:tc>
        <w:tc>
          <w:tcPr>
            <w:tcW w:w="6237" w:type="dxa"/>
            <w:vAlign w:val="center"/>
          </w:tcPr>
          <w:p>
            <w:pPr>
              <w:pStyle w:val="72"/>
              <w:rPr>
                <w:sz w:val="16"/>
                <w:szCs w:val="16"/>
              </w:rPr>
            </w:pPr>
            <w:r>
              <w:rPr>
                <w:rFonts w:hint="eastAsia"/>
              </w:rPr>
              <w:t>建有雨水收集池</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r>
              <w:rPr>
                <w:rFonts w:hint="eastAsia"/>
              </w:rPr>
              <w:t>3</w:t>
            </w:r>
          </w:p>
        </w:tc>
        <w:tc>
          <w:tcPr>
            <w:tcW w:w="3387" w:type="dxa"/>
            <w:vAlign w:val="center"/>
          </w:tcPr>
          <w:p>
            <w:pPr>
              <w:pStyle w:val="72"/>
            </w:pPr>
            <w:r>
              <w:rPr>
                <w:rFonts w:hint="eastAsia"/>
              </w:rPr>
              <w:t>淮北</w:t>
            </w:r>
            <w:r>
              <w:t>市</w:t>
            </w:r>
            <w:r>
              <w:rPr>
                <w:rFonts w:hint="eastAsia"/>
              </w:rPr>
              <w:t>利港上城国际小区</w:t>
            </w:r>
          </w:p>
        </w:tc>
        <w:tc>
          <w:tcPr>
            <w:tcW w:w="6237" w:type="dxa"/>
            <w:vAlign w:val="center"/>
          </w:tcPr>
          <w:p>
            <w:pPr>
              <w:pStyle w:val="72"/>
            </w:pPr>
            <w:r>
              <w:rPr>
                <w:rFonts w:hint="eastAsia"/>
              </w:rPr>
              <w:t>建有雨水收集池</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r>
              <w:rPr>
                <w:rFonts w:hint="eastAsia"/>
              </w:rPr>
              <w:t>4</w:t>
            </w:r>
          </w:p>
        </w:tc>
        <w:tc>
          <w:tcPr>
            <w:tcW w:w="3387" w:type="dxa"/>
            <w:vAlign w:val="center"/>
          </w:tcPr>
          <w:p>
            <w:pPr>
              <w:pStyle w:val="72"/>
            </w:pPr>
            <w:r>
              <w:rPr>
                <w:rFonts w:hint="eastAsia"/>
              </w:rPr>
              <w:t>淮北</w:t>
            </w:r>
            <w:r>
              <w:t>市</w:t>
            </w:r>
            <w:r>
              <w:rPr>
                <w:rFonts w:hint="eastAsia"/>
              </w:rPr>
              <w:t>首府小区</w:t>
            </w:r>
          </w:p>
        </w:tc>
        <w:tc>
          <w:tcPr>
            <w:tcW w:w="6237" w:type="dxa"/>
            <w:vAlign w:val="center"/>
          </w:tcPr>
          <w:p>
            <w:pPr>
              <w:pStyle w:val="72"/>
            </w:pPr>
            <w:r>
              <w:rPr>
                <w:rFonts w:hint="eastAsia"/>
              </w:rPr>
              <w:t>建有雨水收集系统</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r>
              <w:rPr>
                <w:rFonts w:hint="eastAsia"/>
              </w:rPr>
              <w:t>5</w:t>
            </w:r>
          </w:p>
        </w:tc>
        <w:tc>
          <w:tcPr>
            <w:tcW w:w="3387" w:type="dxa"/>
            <w:vAlign w:val="center"/>
          </w:tcPr>
          <w:p>
            <w:pPr>
              <w:pStyle w:val="72"/>
            </w:pPr>
            <w:r>
              <w:rPr>
                <w:rFonts w:hint="eastAsia"/>
              </w:rPr>
              <w:t>淮北滨湖新城小区</w:t>
            </w:r>
          </w:p>
        </w:tc>
        <w:tc>
          <w:tcPr>
            <w:tcW w:w="6237" w:type="dxa"/>
            <w:vAlign w:val="center"/>
          </w:tcPr>
          <w:p>
            <w:pPr>
              <w:pStyle w:val="72"/>
            </w:pPr>
            <w:r>
              <w:rPr>
                <w:rFonts w:hint="eastAsia"/>
              </w:rPr>
              <w:t>建有雨水收集池</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r>
              <w:rPr>
                <w:rFonts w:hint="eastAsia"/>
              </w:rPr>
              <w:t>6</w:t>
            </w:r>
          </w:p>
        </w:tc>
        <w:tc>
          <w:tcPr>
            <w:tcW w:w="3387" w:type="dxa"/>
            <w:vAlign w:val="center"/>
          </w:tcPr>
          <w:p>
            <w:pPr>
              <w:pStyle w:val="72"/>
            </w:pPr>
            <w:r>
              <w:rPr>
                <w:rFonts w:hint="eastAsia"/>
              </w:rPr>
              <w:t>淮北市静安观澜郡小区</w:t>
            </w:r>
          </w:p>
        </w:tc>
        <w:tc>
          <w:tcPr>
            <w:tcW w:w="6237" w:type="dxa"/>
            <w:vAlign w:val="center"/>
          </w:tcPr>
          <w:p>
            <w:pPr>
              <w:pStyle w:val="72"/>
            </w:pPr>
            <w:r>
              <w:rPr>
                <w:rFonts w:hint="eastAsia"/>
              </w:rPr>
              <w:t>建有雨水收集池</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r>
              <w:rPr>
                <w:rFonts w:hint="eastAsia"/>
              </w:rPr>
              <w:t>7</w:t>
            </w:r>
          </w:p>
        </w:tc>
        <w:tc>
          <w:tcPr>
            <w:tcW w:w="3387" w:type="dxa"/>
            <w:vAlign w:val="center"/>
          </w:tcPr>
          <w:p>
            <w:pPr>
              <w:pStyle w:val="72"/>
            </w:pPr>
            <w:r>
              <w:rPr>
                <w:rFonts w:hint="eastAsia"/>
              </w:rPr>
              <w:t>淮北众城水泥有限责任公司</w:t>
            </w:r>
          </w:p>
        </w:tc>
        <w:tc>
          <w:tcPr>
            <w:tcW w:w="6237" w:type="dxa"/>
            <w:vAlign w:val="center"/>
          </w:tcPr>
          <w:p>
            <w:pPr>
              <w:pStyle w:val="72"/>
            </w:pPr>
            <w:r>
              <w:rPr>
                <w:rFonts w:hint="eastAsia"/>
              </w:rPr>
              <w:t>建有雨水收集利用系统，用于绿化和道路冲洗等杂用水</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r>
              <w:rPr>
                <w:rFonts w:hint="eastAsia"/>
              </w:rPr>
              <w:t>8</w:t>
            </w:r>
          </w:p>
        </w:tc>
        <w:tc>
          <w:tcPr>
            <w:tcW w:w="3387" w:type="dxa"/>
            <w:vAlign w:val="center"/>
          </w:tcPr>
          <w:p>
            <w:pPr>
              <w:pStyle w:val="72"/>
            </w:pPr>
            <w:r>
              <w:rPr>
                <w:rFonts w:hint="eastAsia"/>
              </w:rPr>
              <w:t>淮北工业和</w:t>
            </w:r>
            <w:r>
              <w:t>艺术学校</w:t>
            </w:r>
          </w:p>
        </w:tc>
        <w:tc>
          <w:tcPr>
            <w:tcW w:w="6237" w:type="dxa"/>
            <w:vAlign w:val="center"/>
          </w:tcPr>
          <w:p>
            <w:pPr>
              <w:pStyle w:val="72"/>
            </w:pPr>
            <w:r>
              <w:rPr>
                <w:rFonts w:hint="eastAsia"/>
              </w:rPr>
              <w:t>建设雨水收集利用系统，用于绿化等用水</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r>
              <w:t>9</w:t>
            </w:r>
          </w:p>
        </w:tc>
        <w:tc>
          <w:tcPr>
            <w:tcW w:w="3387" w:type="dxa"/>
            <w:vMerge w:val="restart"/>
            <w:vAlign w:val="center"/>
          </w:tcPr>
          <w:p>
            <w:pPr>
              <w:pStyle w:val="72"/>
            </w:pPr>
            <w:r>
              <w:rPr>
                <w:rFonts w:hint="eastAsia"/>
              </w:rPr>
              <w:t>凌云中水厂</w:t>
            </w:r>
          </w:p>
        </w:tc>
        <w:tc>
          <w:tcPr>
            <w:tcW w:w="6237" w:type="dxa"/>
            <w:vAlign w:val="center"/>
          </w:tcPr>
          <w:p>
            <w:pPr>
              <w:pStyle w:val="72"/>
            </w:pPr>
            <w:r>
              <w:rPr>
                <w:rFonts w:hint="eastAsia"/>
              </w:rPr>
              <w:t>丁楼污水处理厂处理后的尾水进入凌云中水厂再处理，处理后提升至大唐淮北发电厂，日回用量约为4万m</w:t>
            </w:r>
            <w:r>
              <w:rPr>
                <w:rFonts w:hint="eastAsia"/>
                <w:vertAlign w:val="superscript"/>
              </w:rPr>
              <w:t>3</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r>
              <w:t>10</w:t>
            </w:r>
          </w:p>
        </w:tc>
        <w:tc>
          <w:tcPr>
            <w:tcW w:w="3387" w:type="dxa"/>
            <w:vMerge w:val="continue"/>
            <w:vAlign w:val="center"/>
          </w:tcPr>
          <w:p>
            <w:pPr>
              <w:pStyle w:val="72"/>
            </w:pPr>
          </w:p>
        </w:tc>
        <w:tc>
          <w:tcPr>
            <w:tcW w:w="6237" w:type="dxa"/>
            <w:vAlign w:val="center"/>
          </w:tcPr>
          <w:p>
            <w:pPr>
              <w:pStyle w:val="72"/>
            </w:pPr>
            <w:r>
              <w:rPr>
                <w:rFonts w:hint="eastAsia"/>
              </w:rPr>
              <w:t>丁楼污水处理厂处理后的尾水进入凌云中水厂再处理，尾水排至老濉河、西相阳沟，用于景观河道补水，日回用量约为8万m</w:t>
            </w:r>
            <w:r>
              <w:rPr>
                <w:rFonts w:hint="eastAsia"/>
                <w:vertAlign w:val="superscript"/>
              </w:rPr>
              <w:t>3</w:t>
            </w:r>
            <w:r>
              <w:rPr>
                <w:rFonts w:hint="eastAsia"/>
              </w:rPr>
              <w:t>。</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r>
              <w:t>11</w:t>
            </w:r>
          </w:p>
        </w:tc>
        <w:tc>
          <w:tcPr>
            <w:tcW w:w="3387" w:type="dxa"/>
            <w:vAlign w:val="center"/>
          </w:tcPr>
          <w:p>
            <w:pPr>
              <w:pStyle w:val="72"/>
            </w:pPr>
            <w:r>
              <w:rPr>
                <w:rFonts w:hint="eastAsia"/>
              </w:rPr>
              <w:t>市经济开发区新区污水处理厂中水回用工程</w:t>
            </w:r>
          </w:p>
        </w:tc>
        <w:tc>
          <w:tcPr>
            <w:tcW w:w="6237" w:type="dxa"/>
            <w:vAlign w:val="center"/>
          </w:tcPr>
          <w:p>
            <w:pPr>
              <w:pStyle w:val="72"/>
            </w:pPr>
            <w:r>
              <w:rPr>
                <w:rFonts w:hint="eastAsia"/>
              </w:rPr>
              <w:t>将市经济开发区新区污水处理厂处理后的尾水提升至平山电厂使用，日回用量约1.6万m</w:t>
            </w:r>
            <w:r>
              <w:rPr>
                <w:rFonts w:hint="eastAsia"/>
                <w:vertAlign w:val="superscript"/>
              </w:rPr>
              <w:t>3</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r>
              <w:rPr>
                <w:rFonts w:hint="eastAsia"/>
              </w:rPr>
              <w:t>12</w:t>
            </w:r>
          </w:p>
        </w:tc>
        <w:tc>
          <w:tcPr>
            <w:tcW w:w="3387" w:type="dxa"/>
            <w:vAlign w:val="center"/>
          </w:tcPr>
          <w:p>
            <w:pPr>
              <w:pStyle w:val="72"/>
            </w:pPr>
            <w:r>
              <w:rPr>
                <w:rFonts w:hint="eastAsia"/>
              </w:rPr>
              <w:t>安徽金冠玻璃有限责任公司</w:t>
            </w:r>
          </w:p>
        </w:tc>
        <w:tc>
          <w:tcPr>
            <w:tcW w:w="6237" w:type="dxa"/>
            <w:vAlign w:val="center"/>
          </w:tcPr>
          <w:p>
            <w:pPr>
              <w:pStyle w:val="72"/>
            </w:pPr>
            <w:r>
              <w:rPr>
                <w:rFonts w:hint="eastAsia"/>
              </w:rPr>
              <w:t>公司污水处理站处理后废水回用于冲厕等杂用水</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r>
              <w:rPr>
                <w:rFonts w:hint="eastAsia"/>
              </w:rPr>
              <w:t>13</w:t>
            </w:r>
          </w:p>
        </w:tc>
        <w:tc>
          <w:tcPr>
            <w:tcW w:w="3387" w:type="dxa"/>
            <w:vAlign w:val="center"/>
          </w:tcPr>
          <w:p>
            <w:pPr>
              <w:pStyle w:val="72"/>
            </w:pPr>
            <w:r>
              <w:rPr>
                <w:rFonts w:hint="eastAsia"/>
              </w:rPr>
              <w:t>大唐淮北发电厂</w:t>
            </w:r>
          </w:p>
        </w:tc>
        <w:tc>
          <w:tcPr>
            <w:tcW w:w="6237" w:type="dxa"/>
            <w:vAlign w:val="center"/>
          </w:tcPr>
          <w:p>
            <w:pPr>
              <w:pStyle w:val="72"/>
            </w:pPr>
            <w:r>
              <w:rPr>
                <w:rFonts w:hint="eastAsia"/>
              </w:rPr>
              <w:t>循环水外排污水引入至凌云工业园建材厂为生产砖使用</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r>
              <w:rPr>
                <w:rFonts w:hint="eastAsia"/>
              </w:rPr>
              <w:t>14</w:t>
            </w:r>
          </w:p>
        </w:tc>
        <w:tc>
          <w:tcPr>
            <w:tcW w:w="3387" w:type="dxa"/>
            <w:vAlign w:val="center"/>
          </w:tcPr>
          <w:p>
            <w:pPr>
              <w:pStyle w:val="72"/>
            </w:pPr>
            <w:r>
              <w:rPr>
                <w:rFonts w:hint="eastAsia"/>
              </w:rPr>
              <w:t>淮北矿业股份有限公司淮北选煤厂</w:t>
            </w:r>
          </w:p>
        </w:tc>
        <w:tc>
          <w:tcPr>
            <w:tcW w:w="6237" w:type="dxa"/>
            <w:vAlign w:val="center"/>
          </w:tcPr>
          <w:p>
            <w:pPr>
              <w:pStyle w:val="72"/>
            </w:pPr>
            <w:r>
              <w:rPr>
                <w:rFonts w:hint="eastAsia"/>
              </w:rPr>
              <w:t>生活污水经处理后回用于生产系统用水</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r>
              <w:rPr>
                <w:rFonts w:hint="eastAsia"/>
              </w:rPr>
              <w:t>15</w:t>
            </w:r>
          </w:p>
        </w:tc>
        <w:tc>
          <w:tcPr>
            <w:tcW w:w="3387" w:type="dxa"/>
            <w:vAlign w:val="center"/>
          </w:tcPr>
          <w:p>
            <w:pPr>
              <w:pStyle w:val="72"/>
            </w:pPr>
            <w:r>
              <w:rPr>
                <w:rFonts w:hint="eastAsia"/>
              </w:rPr>
              <w:t>杨庄煤矿矿井水利用</w:t>
            </w:r>
          </w:p>
        </w:tc>
        <w:tc>
          <w:tcPr>
            <w:tcW w:w="6237" w:type="dxa"/>
            <w:vAlign w:val="center"/>
          </w:tcPr>
          <w:p>
            <w:pPr>
              <w:pStyle w:val="72"/>
            </w:pPr>
            <w:r>
              <w:rPr>
                <w:rFonts w:hint="eastAsia"/>
              </w:rPr>
              <w:t>杨庄煤矿疏干水1.5万m³/d补充南湖</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r>
              <w:rPr>
                <w:rFonts w:hint="eastAsia"/>
              </w:rPr>
              <w:t>16</w:t>
            </w:r>
          </w:p>
        </w:tc>
        <w:tc>
          <w:tcPr>
            <w:tcW w:w="3387" w:type="dxa"/>
            <w:vAlign w:val="center"/>
          </w:tcPr>
          <w:p>
            <w:pPr>
              <w:pStyle w:val="72"/>
            </w:pPr>
            <w:r>
              <w:rPr>
                <w:rFonts w:hint="eastAsia"/>
              </w:rPr>
              <w:t>朱庄煤矿矿井水利用</w:t>
            </w:r>
          </w:p>
        </w:tc>
        <w:tc>
          <w:tcPr>
            <w:tcW w:w="6237" w:type="dxa"/>
            <w:vAlign w:val="center"/>
          </w:tcPr>
          <w:p>
            <w:pPr>
              <w:pStyle w:val="72"/>
            </w:pPr>
            <w:r>
              <w:rPr>
                <w:rFonts w:hint="eastAsia"/>
              </w:rPr>
              <w:t>朱庄煤矿0.8万m³/d补充龙河</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jc w:val="center"/>
        </w:trPr>
        <w:tc>
          <w:tcPr>
            <w:tcW w:w="831" w:type="dxa"/>
            <w:vAlign w:val="center"/>
          </w:tcPr>
          <w:p>
            <w:pPr>
              <w:pStyle w:val="72"/>
            </w:pPr>
          </w:p>
        </w:tc>
        <w:tc>
          <w:tcPr>
            <w:tcW w:w="3387" w:type="dxa"/>
            <w:vAlign w:val="center"/>
          </w:tcPr>
          <w:p>
            <w:pPr>
              <w:pStyle w:val="72"/>
            </w:pPr>
          </w:p>
        </w:tc>
        <w:tc>
          <w:tcPr>
            <w:tcW w:w="6237" w:type="dxa"/>
            <w:vAlign w:val="center"/>
          </w:tcPr>
          <w:p>
            <w:pPr>
              <w:pStyle w:val="72"/>
            </w:pPr>
          </w:p>
        </w:tc>
      </w:tr>
      <w:bookmarkEnd w:id="122"/>
    </w:tbl>
    <w:p>
      <w:pPr>
        <w:pStyle w:val="4"/>
      </w:pPr>
      <w:bookmarkStart w:id="123" w:name="_Toc8032538"/>
      <w:r>
        <w:rPr>
          <w:rFonts w:hint="eastAsia"/>
        </w:rPr>
        <w:t>2.5.1再生水利用实例</w:t>
      </w:r>
      <w:bookmarkEnd w:id="123"/>
    </w:p>
    <w:p>
      <w:pPr>
        <w:spacing w:before="120"/>
        <w:ind w:firstLine="560"/>
      </w:pPr>
      <w:r>
        <w:rPr>
          <w:rFonts w:hint="eastAsia"/>
        </w:rPr>
        <w:t>（1）凌云中水厂回用工程</w:t>
      </w:r>
    </w:p>
    <w:p>
      <w:pPr>
        <w:spacing w:before="120"/>
        <w:ind w:firstLine="560"/>
      </w:pPr>
      <w:r>
        <w:rPr>
          <w:rFonts w:hint="eastAsia"/>
        </w:rPr>
        <w:t>丁楼污水厂处理厂</w:t>
      </w:r>
      <w:r>
        <w:rPr>
          <w:rFonts w:hint="eastAsia"/>
          <w:spacing w:val="-3"/>
        </w:rPr>
        <w:t>设计处理能力12万立方米/天，实际处理水量12万立方米/天， 2013年由淮北凌云科技环保有限公司建设的中水厂运营，完成后尾水达到一级A标准。为了加强再生水利用，凌云中水厂处理后尾水约4万吨/日用于大唐淮北大电厂，剩余中水用于补给老濉河、西相阳沟等景观水体</w:t>
      </w:r>
      <w:r>
        <w:rPr>
          <w:rFonts w:hint="eastAsia"/>
        </w:rPr>
        <w:t>，改善水质。</w:t>
      </w:r>
    </w:p>
    <w:p>
      <w:pPr>
        <w:pStyle w:val="105"/>
        <w:spacing w:before="120" w:after="72"/>
        <w:rPr>
          <w:color w:val="000000"/>
        </w:rPr>
      </w:pPr>
      <w:r>
        <w:rPr>
          <w:rFonts w:hint="eastAsia"/>
          <w:b w:val="0"/>
          <w:color w:val="000000"/>
        </w:rPr>
        <w:drawing>
          <wp:inline distT="0" distB="0" distL="0" distR="0">
            <wp:extent cx="6044565" cy="3954780"/>
            <wp:effectExtent l="19050" t="0" r="0" b="0"/>
            <wp:docPr id="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3"/>
                    <pic:cNvPicPr>
                      <a:picLocks noChangeAspect="1" noChangeArrowheads="1"/>
                    </pic:cNvPicPr>
                  </pic:nvPicPr>
                  <pic:blipFill>
                    <a:blip r:embed="rId37"/>
                    <a:srcRect/>
                    <a:stretch>
                      <a:fillRect/>
                    </a:stretch>
                  </pic:blipFill>
                  <pic:spPr>
                    <a:xfrm>
                      <a:off x="0" y="0"/>
                      <a:ext cx="6044565" cy="3954780"/>
                    </a:xfrm>
                    <a:prstGeom prst="rect">
                      <a:avLst/>
                    </a:prstGeom>
                    <a:noFill/>
                    <a:ln w="9525">
                      <a:noFill/>
                      <a:miter lim="800000"/>
                      <a:headEnd/>
                      <a:tailEnd/>
                    </a:ln>
                  </pic:spPr>
                </pic:pic>
              </a:graphicData>
            </a:graphic>
          </wp:inline>
        </w:drawing>
      </w:r>
    </w:p>
    <w:p>
      <w:pPr>
        <w:pStyle w:val="105"/>
        <w:spacing w:before="120" w:after="72"/>
        <w:rPr>
          <w:color w:val="000000"/>
        </w:rPr>
      </w:pPr>
      <w:r>
        <w:rPr>
          <w:rFonts w:hint="eastAsia"/>
          <w:color w:val="000000"/>
        </w:rPr>
        <w:t>图 2-2 丁楼污水厂尾水回用工程设计图</w:t>
      </w:r>
    </w:p>
    <w:p>
      <w:pPr>
        <w:pStyle w:val="105"/>
        <w:spacing w:before="120" w:after="72"/>
        <w:rPr>
          <w:color w:val="000000"/>
        </w:rPr>
      </w:pPr>
      <w:r>
        <w:rPr>
          <w:color w:val="000000"/>
        </w:rPr>
        <w:drawing>
          <wp:inline distT="0" distB="0" distL="0" distR="0">
            <wp:extent cx="3804285" cy="2853055"/>
            <wp:effectExtent l="19050" t="0" r="5196" b="0"/>
            <wp:docPr id="38" name="图片 16" descr="D:\Documents\Tencent Files\1065794441\FileRecv\MobileFile\IMG_20190117_16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6" descr="D:\Documents\Tencent Files\1065794441\FileRecv\MobileFile\IMG_20190117_161547.jpg"/>
                    <pic:cNvPicPr>
                      <a:picLocks noChangeAspect="1" noChangeArrowheads="1"/>
                    </pic:cNvPicPr>
                  </pic:nvPicPr>
                  <pic:blipFill>
                    <a:blip r:embed="rId38"/>
                    <a:srcRect/>
                    <a:stretch>
                      <a:fillRect/>
                    </a:stretch>
                  </pic:blipFill>
                  <pic:spPr>
                    <a:xfrm>
                      <a:off x="0" y="0"/>
                      <a:ext cx="3812195" cy="2859147"/>
                    </a:xfrm>
                    <a:prstGeom prst="rect">
                      <a:avLst/>
                    </a:prstGeom>
                    <a:noFill/>
                    <a:ln w="9525">
                      <a:noFill/>
                      <a:miter lim="800000"/>
                      <a:headEnd/>
                      <a:tailEnd/>
                    </a:ln>
                  </pic:spPr>
                </pic:pic>
              </a:graphicData>
            </a:graphic>
          </wp:inline>
        </w:drawing>
      </w:r>
      <w:r>
        <w:rPr>
          <w:color w:val="000000"/>
        </w:rPr>
        <w:drawing>
          <wp:inline distT="0" distB="0" distL="0" distR="0">
            <wp:extent cx="2361565" cy="3148965"/>
            <wp:effectExtent l="19050" t="0" r="280" b="0"/>
            <wp:docPr id="40" name="图片 17" descr="D:\Documents\Tencent Files\1065794441\FileRecv\MobileFile\IMG_20190117_16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7" descr="D:\Documents\Tencent Files\1065794441\FileRecv\MobileFile\IMG_20190117_161834.jpg"/>
                    <pic:cNvPicPr>
                      <a:picLocks noChangeAspect="1" noChangeArrowheads="1"/>
                    </pic:cNvPicPr>
                  </pic:nvPicPr>
                  <pic:blipFill>
                    <a:blip r:embed="rId39"/>
                    <a:srcRect/>
                    <a:stretch>
                      <a:fillRect/>
                    </a:stretch>
                  </pic:blipFill>
                  <pic:spPr>
                    <a:xfrm>
                      <a:off x="0" y="0"/>
                      <a:ext cx="2363320" cy="3151094"/>
                    </a:xfrm>
                    <a:prstGeom prst="rect">
                      <a:avLst/>
                    </a:prstGeom>
                    <a:noFill/>
                    <a:ln w="9525">
                      <a:noFill/>
                      <a:miter lim="800000"/>
                      <a:headEnd/>
                      <a:tailEnd/>
                    </a:ln>
                  </pic:spPr>
                </pic:pic>
              </a:graphicData>
            </a:graphic>
          </wp:inline>
        </w:drawing>
      </w:r>
    </w:p>
    <w:p>
      <w:pPr>
        <w:pStyle w:val="105"/>
        <w:spacing w:before="120" w:after="72"/>
        <w:rPr>
          <w:color w:val="000000"/>
        </w:rPr>
      </w:pPr>
      <w:r>
        <w:rPr>
          <w:rFonts w:hint="eastAsia"/>
          <w:color w:val="000000"/>
        </w:rPr>
        <w:t>图 2-3 凌云中水厂现场图</w:t>
      </w:r>
    </w:p>
    <w:p>
      <w:pPr>
        <w:spacing w:before="120"/>
        <w:ind w:firstLine="560"/>
      </w:pPr>
      <w:r>
        <w:rPr>
          <w:rFonts w:hint="eastAsia"/>
        </w:rPr>
        <w:t>（2）</w:t>
      </w:r>
      <w:r>
        <w:rPr>
          <w:rFonts w:hint="eastAsia"/>
          <w:color w:val="000000"/>
        </w:rPr>
        <w:t>市经济开发区新区污水处理厂中水回用工程</w:t>
      </w:r>
    </w:p>
    <w:p>
      <w:pPr>
        <w:spacing w:before="120"/>
        <w:ind w:firstLine="560"/>
        <w:rPr>
          <w:spacing w:val="-3"/>
        </w:rPr>
      </w:pPr>
      <w:r>
        <w:rPr>
          <w:rFonts w:hint="eastAsia"/>
          <w:color w:val="000000"/>
        </w:rPr>
        <w:t>市经济开发区新区</w:t>
      </w:r>
      <w:r>
        <w:rPr>
          <w:rFonts w:hint="eastAsia"/>
        </w:rPr>
        <w:t>污水处理厂</w:t>
      </w:r>
      <w:r>
        <w:rPr>
          <w:rFonts w:hint="eastAsia"/>
          <w:spacing w:val="-3"/>
        </w:rPr>
        <w:t>设计处理能力2万立方米/天，实际处理水量约1.9万立方米/天，目前排放尾水达到一级A标准。为了加强再生水利用，尾水经提升后用于平山电厂</w:t>
      </w:r>
      <w:r>
        <w:rPr>
          <w:rFonts w:hint="eastAsia"/>
        </w:rPr>
        <w:t>。</w:t>
      </w:r>
    </w:p>
    <w:p>
      <w:pPr>
        <w:pStyle w:val="105"/>
        <w:spacing w:before="120" w:after="72"/>
        <w:rPr>
          <w:color w:val="000000"/>
        </w:rPr>
      </w:pPr>
      <w:r>
        <w:rPr>
          <w:color w:val="000000"/>
        </w:rPr>
        <w:drawing>
          <wp:inline distT="0" distB="0" distL="0" distR="0">
            <wp:extent cx="3460115" cy="2595245"/>
            <wp:effectExtent l="19050" t="0" r="6679" b="0"/>
            <wp:docPr id="41" name="图片 18" descr="D:\Documents\Tencent Files\1065794441\FileRecv\MobileFile\IMG_20190117_11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8" descr="D:\Documents\Tencent Files\1065794441\FileRecv\MobileFile\IMG_20190117_114100.jpg"/>
                    <pic:cNvPicPr>
                      <a:picLocks noChangeAspect="1" noChangeArrowheads="1"/>
                    </pic:cNvPicPr>
                  </pic:nvPicPr>
                  <pic:blipFill>
                    <a:blip r:embed="rId40"/>
                    <a:srcRect/>
                    <a:stretch>
                      <a:fillRect/>
                    </a:stretch>
                  </pic:blipFill>
                  <pic:spPr>
                    <a:xfrm>
                      <a:off x="0" y="0"/>
                      <a:ext cx="3464293" cy="2598220"/>
                    </a:xfrm>
                    <a:prstGeom prst="rect">
                      <a:avLst/>
                    </a:prstGeom>
                    <a:noFill/>
                    <a:ln w="9525">
                      <a:noFill/>
                      <a:miter lim="800000"/>
                      <a:headEnd/>
                      <a:tailEnd/>
                    </a:ln>
                  </pic:spPr>
                </pic:pic>
              </a:graphicData>
            </a:graphic>
          </wp:inline>
        </w:drawing>
      </w:r>
    </w:p>
    <w:p>
      <w:pPr>
        <w:pStyle w:val="105"/>
        <w:spacing w:before="120" w:after="72"/>
        <w:rPr>
          <w:color w:val="000000"/>
        </w:rPr>
      </w:pPr>
      <w:r>
        <w:rPr>
          <w:rFonts w:hint="eastAsia"/>
          <w:color w:val="000000"/>
        </w:rPr>
        <w:t>图2-4   尾水泵站现场图</w:t>
      </w:r>
    </w:p>
    <w:p>
      <w:pPr>
        <w:spacing w:before="120" w:line="240" w:lineRule="auto"/>
        <w:ind w:firstLine="0" w:firstLineChars="0"/>
        <w:jc w:val="center"/>
      </w:pPr>
      <w:r>
        <w:drawing>
          <wp:inline distT="0" distB="0" distL="0" distR="0">
            <wp:extent cx="3937635" cy="2953385"/>
            <wp:effectExtent l="19050" t="0" r="5444" b="0"/>
            <wp:docPr id="42" name="图片 19" descr="D:\Documents\Tencent Files\1065794441\FileRecv\MobileFile\IMG_20190117_11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9" descr="D:\Documents\Tencent Files\1065794441\FileRecv\MobileFile\IMG_20190117_111550.jpg"/>
                    <pic:cNvPicPr>
                      <a:picLocks noChangeAspect="1" noChangeArrowheads="1"/>
                    </pic:cNvPicPr>
                  </pic:nvPicPr>
                  <pic:blipFill>
                    <a:blip r:embed="rId41"/>
                    <a:srcRect/>
                    <a:stretch>
                      <a:fillRect/>
                    </a:stretch>
                  </pic:blipFill>
                  <pic:spPr>
                    <a:xfrm>
                      <a:off x="0" y="0"/>
                      <a:ext cx="3942313" cy="2956735"/>
                    </a:xfrm>
                    <a:prstGeom prst="rect">
                      <a:avLst/>
                    </a:prstGeom>
                    <a:noFill/>
                    <a:ln w="9525">
                      <a:noFill/>
                      <a:miter lim="800000"/>
                      <a:headEnd/>
                      <a:tailEnd/>
                    </a:ln>
                  </pic:spPr>
                </pic:pic>
              </a:graphicData>
            </a:graphic>
          </wp:inline>
        </w:drawing>
      </w:r>
    </w:p>
    <w:p>
      <w:pPr>
        <w:pStyle w:val="105"/>
        <w:spacing w:before="120" w:after="72"/>
        <w:rPr>
          <w:color w:val="000000"/>
        </w:rPr>
      </w:pPr>
      <w:r>
        <w:rPr>
          <w:rFonts w:hint="eastAsia"/>
          <w:color w:val="000000"/>
        </w:rPr>
        <w:t>图2-5  市经济开发区新区污水处理厂现场图</w:t>
      </w:r>
    </w:p>
    <w:p>
      <w:pPr>
        <w:pStyle w:val="4"/>
      </w:pPr>
      <w:bookmarkStart w:id="124" w:name="_Toc8032539"/>
      <w:r>
        <w:rPr>
          <w:rFonts w:hint="eastAsia"/>
        </w:rPr>
        <w:t>2.5.2雨水资源化利用及实例</w:t>
      </w:r>
      <w:bookmarkEnd w:id="124"/>
    </w:p>
    <w:p>
      <w:pPr>
        <w:spacing w:before="120"/>
        <w:ind w:firstLine="560"/>
        <w:rPr>
          <w:color w:val="000000"/>
        </w:rPr>
      </w:pPr>
      <w:r>
        <w:rPr>
          <w:rFonts w:hint="eastAsia"/>
          <w:color w:val="000000"/>
        </w:rPr>
        <w:t>淮北市目前雨水利用工程总体规模较小，以分散收集回用系统为主，主要用于绿化，景观水体及道路浇洒，地面冲洗等用途。</w:t>
      </w:r>
    </w:p>
    <w:p>
      <w:pPr>
        <w:spacing w:before="120"/>
        <w:ind w:firstLine="560"/>
        <w:rPr>
          <w:color w:val="000000"/>
        </w:rPr>
      </w:pPr>
      <w:r>
        <w:rPr>
          <w:rFonts w:hint="eastAsia"/>
          <w:color w:val="000000"/>
        </w:rPr>
        <w:t>（1）首府小区雨水收集系统</w:t>
      </w:r>
    </w:p>
    <w:p>
      <w:pPr>
        <w:spacing w:before="120"/>
        <w:ind w:firstLine="560"/>
        <w:rPr>
          <w:color w:val="000000"/>
        </w:rPr>
      </w:pPr>
      <w:r>
        <w:rPr>
          <w:rFonts w:hint="eastAsia"/>
          <w:color w:val="000000"/>
        </w:rPr>
        <w:t>首府小区在小区内设置了雨水沟渠截留雨水，送至雨水收集池，经沉淀等处理后回用于小区内道路冲洗，绿化浇洒等用途。工程现场见下图2-6：</w:t>
      </w:r>
    </w:p>
    <w:p>
      <w:pPr>
        <w:pStyle w:val="103"/>
        <w:ind w:firstLineChars="71"/>
        <w:outlineLvl w:val="9"/>
        <w:rPr>
          <w:color w:val="000000"/>
        </w:rPr>
      </w:pPr>
      <w:r>
        <w:rPr>
          <w:color w:val="000000"/>
        </w:rPr>
        <w:drawing>
          <wp:inline distT="0" distB="0" distL="0" distR="0">
            <wp:extent cx="3027680" cy="2270760"/>
            <wp:effectExtent l="19050" t="0" r="742" b="0"/>
            <wp:docPr id="43" name="图片 20" descr="D:\Documents\Tencent Files\1065794441\FileRecv\MobileFile\IMG_20190116_151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0" descr="D:\Documents\Tencent Files\1065794441\FileRecv\MobileFile\IMG_20190116_151347.jpg"/>
                    <pic:cNvPicPr>
                      <a:picLocks noChangeAspect="1" noChangeArrowheads="1"/>
                    </pic:cNvPicPr>
                  </pic:nvPicPr>
                  <pic:blipFill>
                    <a:blip r:embed="rId42"/>
                    <a:srcRect/>
                    <a:stretch>
                      <a:fillRect/>
                    </a:stretch>
                  </pic:blipFill>
                  <pic:spPr>
                    <a:xfrm>
                      <a:off x="0" y="0"/>
                      <a:ext cx="3039400" cy="2279550"/>
                    </a:xfrm>
                    <a:prstGeom prst="rect">
                      <a:avLst/>
                    </a:prstGeom>
                    <a:noFill/>
                    <a:ln w="9525">
                      <a:noFill/>
                      <a:miter lim="800000"/>
                      <a:headEnd/>
                      <a:tailEnd/>
                    </a:ln>
                  </pic:spPr>
                </pic:pic>
              </a:graphicData>
            </a:graphic>
          </wp:inline>
        </w:drawing>
      </w:r>
      <w:r>
        <w:rPr>
          <w:color w:val="000000"/>
        </w:rPr>
        <w:drawing>
          <wp:inline distT="0" distB="0" distL="0" distR="0">
            <wp:extent cx="1721485" cy="2295525"/>
            <wp:effectExtent l="19050" t="0" r="0" b="0"/>
            <wp:docPr id="49" name="图片 21" descr="D:\Documents\Tencent Files\1065794441\FileRecv\MobileFile\IMG_20190116_151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1" descr="D:\Documents\Tencent Files\1065794441\FileRecv\MobileFile\IMG_20190116_151303.jpg"/>
                    <pic:cNvPicPr>
                      <a:picLocks noChangeAspect="1" noChangeArrowheads="1"/>
                    </pic:cNvPicPr>
                  </pic:nvPicPr>
                  <pic:blipFill>
                    <a:blip r:embed="rId43"/>
                    <a:srcRect/>
                    <a:stretch>
                      <a:fillRect/>
                    </a:stretch>
                  </pic:blipFill>
                  <pic:spPr>
                    <a:xfrm>
                      <a:off x="0" y="0"/>
                      <a:ext cx="1725066" cy="2300087"/>
                    </a:xfrm>
                    <a:prstGeom prst="rect">
                      <a:avLst/>
                    </a:prstGeom>
                    <a:noFill/>
                    <a:ln w="9525">
                      <a:noFill/>
                      <a:miter lim="800000"/>
                      <a:headEnd/>
                      <a:tailEnd/>
                    </a:ln>
                  </pic:spPr>
                </pic:pic>
              </a:graphicData>
            </a:graphic>
          </wp:inline>
        </w:drawing>
      </w:r>
    </w:p>
    <w:p>
      <w:pPr>
        <w:pStyle w:val="105"/>
        <w:spacing w:before="120" w:after="72"/>
        <w:rPr>
          <w:color w:val="000000"/>
        </w:rPr>
      </w:pPr>
      <w:r>
        <w:rPr>
          <w:rFonts w:hint="eastAsia"/>
          <w:color w:val="000000"/>
        </w:rPr>
        <w:t>图 2-6首府小区雨水收集利用现场图</w:t>
      </w:r>
    </w:p>
    <w:p>
      <w:pPr>
        <w:spacing w:before="120"/>
        <w:ind w:firstLine="560"/>
        <w:rPr>
          <w:iCs/>
        </w:rPr>
      </w:pPr>
      <w:r>
        <w:rPr>
          <w:rFonts w:hint="eastAsia"/>
          <w:iCs/>
        </w:rPr>
        <w:t>（2）淮北市质量技术监督局雨水回用工程</w:t>
      </w:r>
    </w:p>
    <w:p>
      <w:pPr>
        <w:spacing w:before="120"/>
        <w:ind w:firstLine="560"/>
        <w:rPr>
          <w:color w:val="000000"/>
        </w:rPr>
      </w:pPr>
      <w:r>
        <w:rPr>
          <w:rFonts w:hint="eastAsia"/>
          <w:iCs/>
        </w:rPr>
        <w:t>淮北市质量技术监督局雨水回用工程</w:t>
      </w:r>
      <w:r>
        <w:rPr>
          <w:rFonts w:hint="eastAsia"/>
          <w:color w:val="000000"/>
        </w:rPr>
        <w:t>2017年建成，在监督局办公楼场地雨水排出口末端已建雨水收集池，将收集后的雨水回用于场地绿化浇洒。</w:t>
      </w:r>
    </w:p>
    <w:p>
      <w:pPr>
        <w:spacing w:before="120" w:line="240" w:lineRule="auto"/>
        <w:ind w:firstLine="2530" w:firstLineChars="700"/>
        <w:rPr>
          <w:color w:val="000000"/>
        </w:rPr>
      </w:pPr>
      <w:r>
        <w:rPr>
          <w:rFonts w:hint="eastAsia" w:eastAsia="黑体"/>
          <w:b/>
          <w:bCs/>
          <w:sz w:val="36"/>
          <w:szCs w:val="36"/>
        </w:rPr>
        <w:drawing>
          <wp:inline distT="0" distB="0" distL="0" distR="0">
            <wp:extent cx="2943860" cy="2290445"/>
            <wp:effectExtent l="19050" t="0" r="8385" b="0"/>
            <wp:docPr id="50" name="图片 58" descr="质监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8" descr="质监局"/>
                    <pic:cNvPicPr>
                      <a:picLocks noChangeAspect="1" noChangeArrowheads="1"/>
                    </pic:cNvPicPr>
                  </pic:nvPicPr>
                  <pic:blipFill>
                    <a:blip r:embed="rId44"/>
                    <a:srcRect/>
                    <a:stretch>
                      <a:fillRect/>
                    </a:stretch>
                  </pic:blipFill>
                  <pic:spPr>
                    <a:xfrm>
                      <a:off x="0" y="0"/>
                      <a:ext cx="2948491" cy="2294231"/>
                    </a:xfrm>
                    <a:prstGeom prst="rect">
                      <a:avLst/>
                    </a:prstGeom>
                    <a:noFill/>
                    <a:ln w="9525" cmpd="sng">
                      <a:noFill/>
                      <a:miter lim="800000"/>
                      <a:headEnd/>
                      <a:tailEnd/>
                    </a:ln>
                  </pic:spPr>
                </pic:pic>
              </a:graphicData>
            </a:graphic>
          </wp:inline>
        </w:drawing>
      </w:r>
    </w:p>
    <w:p>
      <w:pPr>
        <w:pStyle w:val="105"/>
        <w:spacing w:before="120" w:after="72"/>
        <w:rPr>
          <w:color w:val="000000"/>
        </w:rPr>
      </w:pPr>
      <w:r>
        <w:rPr>
          <w:rFonts w:hint="eastAsia"/>
          <w:color w:val="000000"/>
        </w:rPr>
        <w:t>图2-7  市质量监督管理局现场图</w:t>
      </w:r>
    </w:p>
    <w:p>
      <w:pPr>
        <w:spacing w:before="120"/>
        <w:ind w:firstLine="560"/>
        <w:rPr>
          <w:color w:val="000000"/>
        </w:rPr>
      </w:pPr>
      <w:r>
        <w:rPr>
          <w:rFonts w:hint="eastAsia"/>
          <w:color w:val="000000"/>
        </w:rPr>
        <w:t>总体来说，目前淮北市城市再生水用量最大的是河道景观及补水，但城市杂用水和工业用水等综合利用率偏低，目前仅有少数企业设置了废水再生回用系统；雨水收集利用方面处于起步阶段，虽然有一些企业、单位设置了雨水收集装置，然而基本用于景观绿化和入渗。未来应充分利用城市再生水并加大工业废水再生回用投入，再生水可用于冷却水补充、绿化、道路冲洗、厕所冲洗等方面等。鼓励企业单位等新建雨水收集处理系统，可视水质情况用于产品生产或绿化灌溉和厕所冲污等。</w:t>
      </w:r>
    </w:p>
    <w:p>
      <w:pPr>
        <w:pStyle w:val="3"/>
        <w:spacing w:before="120" w:after="60" w:line="360" w:lineRule="auto"/>
        <w:ind w:firstLine="602"/>
        <w:rPr>
          <w:rFonts w:ascii="Times New Roman" w:hAnsi="Times New Roman"/>
        </w:rPr>
      </w:pPr>
      <w:bookmarkStart w:id="125" w:name="_Toc8032540"/>
      <w:bookmarkStart w:id="126" w:name="_Toc531180065"/>
      <w:r>
        <w:rPr>
          <w:rFonts w:hint="eastAsia" w:ascii="Times New Roman" w:hAnsi="Times New Roman"/>
        </w:rPr>
        <w:t>2.6城市节水的主要工作及成效</w:t>
      </w:r>
      <w:bookmarkEnd w:id="125"/>
      <w:bookmarkEnd w:id="126"/>
    </w:p>
    <w:p>
      <w:pPr>
        <w:pStyle w:val="4"/>
      </w:pPr>
      <w:bookmarkStart w:id="127" w:name="_Toc8032541"/>
      <w:bookmarkStart w:id="128" w:name="_Toc531180066"/>
      <w:r>
        <w:rPr>
          <w:rFonts w:hint="eastAsia"/>
        </w:rPr>
        <w:t>2.6.1建立节水机构，强化管理网络建设</w:t>
      </w:r>
      <w:bookmarkEnd w:id="127"/>
      <w:bookmarkEnd w:id="128"/>
    </w:p>
    <w:p>
      <w:pPr>
        <w:ind w:firstLine="560"/>
        <w:rPr>
          <w:szCs w:val="28"/>
        </w:rPr>
      </w:pPr>
      <w:r>
        <w:rPr>
          <w:rFonts w:hint="eastAsia"/>
          <w:szCs w:val="28"/>
        </w:rPr>
        <w:t>淮北市是我国重要的能源工业基地，但淮北市人均水资源占有量</w:t>
      </w:r>
      <w:r>
        <w:rPr>
          <w:szCs w:val="28"/>
        </w:rPr>
        <w:t>398m</w:t>
      </w:r>
      <w:r>
        <w:rPr>
          <w:szCs w:val="28"/>
          <w:vertAlign w:val="superscript"/>
        </w:rPr>
        <w:t>3</w:t>
      </w:r>
      <w:r>
        <w:rPr>
          <w:rFonts w:hint="eastAsia"/>
          <w:szCs w:val="28"/>
        </w:rPr>
        <w:t>，低于国际公认的水资源极度紧缺标准（人均</w:t>
      </w:r>
      <w:r>
        <w:rPr>
          <w:szCs w:val="28"/>
        </w:rPr>
        <w:t>500m</w:t>
      </w:r>
      <w:r>
        <w:rPr>
          <w:szCs w:val="28"/>
          <w:vertAlign w:val="superscript"/>
        </w:rPr>
        <w:t>3</w:t>
      </w:r>
      <w:r>
        <w:rPr>
          <w:rFonts w:hint="eastAsia"/>
          <w:szCs w:val="28"/>
        </w:rPr>
        <w:t>），属资源型、工程型、水质型缺水并存地区。随着经济社会的快速发展，水资源供需矛盾日趋突出。</w:t>
      </w:r>
      <w:r>
        <w:rPr>
          <w:rFonts w:hint="eastAsia"/>
          <w:spacing w:val="16"/>
        </w:rPr>
        <w:t>“淮北市水务局”成立于</w:t>
      </w:r>
      <w:r>
        <w:rPr>
          <w:spacing w:val="16"/>
        </w:rPr>
        <w:t>2002</w:t>
      </w:r>
      <w:r>
        <w:rPr>
          <w:rFonts w:hint="eastAsia"/>
          <w:spacing w:val="16"/>
        </w:rPr>
        <w:t>年，下设水资源管理办公室，由其统一管理全市计划用水、节约用水工作。</w:t>
      </w:r>
      <w:r>
        <w:rPr>
          <w:szCs w:val="28"/>
        </w:rPr>
        <w:t>2006</w:t>
      </w:r>
      <w:r>
        <w:rPr>
          <w:rFonts w:hint="eastAsia"/>
          <w:szCs w:val="28"/>
        </w:rPr>
        <w:t>年</w:t>
      </w:r>
      <w:r>
        <w:rPr>
          <w:szCs w:val="28"/>
        </w:rPr>
        <w:t>11</w:t>
      </w:r>
      <w:r>
        <w:rPr>
          <w:rFonts w:hint="eastAsia"/>
          <w:szCs w:val="28"/>
        </w:rPr>
        <w:t>月，淮北市被水利部列为全国第二批节水型社会试点市，淮北市以此</w:t>
      </w:r>
      <w:r>
        <w:rPr>
          <w:szCs w:val="28"/>
        </w:rPr>
        <w:t>为契机，</w:t>
      </w:r>
      <w:r>
        <w:rPr>
          <w:rFonts w:hint="eastAsia"/>
          <w:szCs w:val="28"/>
        </w:rPr>
        <w:t>高度重视节水工作，在节水型社会制度建设、工程建设、能力建设、节水宣传等方面投入大量资金，着重从提高水资源利用效率入手，注重制度和基础能力建设，开展节水工程建设，加强监督考核，初步构建了以水资源总量控制与定额管理为核心的水资源管理体系，初步形成了与水资源承载能力相协调的经济结构体系，基本建成了水资源优化配置和高效利用的工程技术体系，初步形成了自觉节水的社会行为规范体系。节水型社会建设取得重要进展和明显成效。</w:t>
      </w:r>
    </w:p>
    <w:p>
      <w:pPr>
        <w:ind w:firstLine="560"/>
        <w:rPr>
          <w:szCs w:val="28"/>
        </w:rPr>
      </w:pPr>
      <w:r>
        <w:rPr>
          <w:szCs w:val="28"/>
        </w:rPr>
        <w:t>为扎实开展创建国家节水型城市工作，合理开发、利用和保护水资源，全面加强城市节水，促进淮北经济社会的可</w:t>
      </w:r>
      <w:r>
        <w:rPr>
          <w:rFonts w:hint="eastAsia"/>
          <w:szCs w:val="28"/>
        </w:rPr>
        <w:t>持</w:t>
      </w:r>
      <w:r>
        <w:rPr>
          <w:szCs w:val="28"/>
        </w:rPr>
        <w:t>续发展</w:t>
      </w:r>
      <w:r>
        <w:rPr>
          <w:rFonts w:hint="eastAsia"/>
          <w:szCs w:val="28"/>
        </w:rPr>
        <w:t>，</w:t>
      </w:r>
      <w:r>
        <w:rPr>
          <w:szCs w:val="28"/>
        </w:rPr>
        <w:t>根据住建部、国家发改委《关于印发&lt;国家节水型城市考核标准&gt;的通知》（建城〔2018〕25号）等要求，结合</w:t>
      </w:r>
      <w:r>
        <w:rPr>
          <w:rFonts w:hint="eastAsia"/>
          <w:szCs w:val="28"/>
        </w:rPr>
        <w:t>淮北</w:t>
      </w:r>
      <w:r>
        <w:rPr>
          <w:szCs w:val="28"/>
        </w:rPr>
        <w:t>市实际，201</w:t>
      </w:r>
      <w:r>
        <w:rPr>
          <w:rFonts w:hint="eastAsia"/>
          <w:szCs w:val="28"/>
        </w:rPr>
        <w:t>8</w:t>
      </w:r>
      <w:r>
        <w:rPr>
          <w:szCs w:val="28"/>
        </w:rPr>
        <w:t>年</w:t>
      </w:r>
      <w:r>
        <w:rPr>
          <w:rFonts w:hint="eastAsia"/>
          <w:szCs w:val="28"/>
        </w:rPr>
        <w:t>9</w:t>
      </w:r>
      <w:r>
        <w:rPr>
          <w:szCs w:val="28"/>
        </w:rPr>
        <w:t>月，</w:t>
      </w:r>
      <w:r>
        <w:rPr>
          <w:rFonts w:hint="eastAsia"/>
          <w:szCs w:val="28"/>
        </w:rPr>
        <w:t>淮北市人民政府办公室印发了</w:t>
      </w:r>
      <w:r>
        <w:rPr>
          <w:szCs w:val="28"/>
        </w:rPr>
        <w:t>《</w:t>
      </w:r>
      <w:r>
        <w:rPr>
          <w:rFonts w:hint="eastAsia"/>
          <w:szCs w:val="28"/>
        </w:rPr>
        <w:t>淮北市人民政府办公室关于印发</w:t>
      </w:r>
      <w:r>
        <w:rPr>
          <w:szCs w:val="28"/>
        </w:rPr>
        <w:t>淮北市创建国家节水型城市实施方案</w:t>
      </w:r>
      <w:r>
        <w:rPr>
          <w:rFonts w:hint="eastAsia"/>
          <w:szCs w:val="28"/>
        </w:rPr>
        <w:t>的通知</w:t>
      </w:r>
      <w:r>
        <w:rPr>
          <w:szCs w:val="28"/>
        </w:rPr>
        <w:t>》</w:t>
      </w:r>
      <w:bookmarkStart w:id="129" w:name="mark_docnumber"/>
      <w:r>
        <w:rPr>
          <w:rFonts w:hint="eastAsia"/>
          <w:szCs w:val="28"/>
        </w:rPr>
        <w:t>（淮政办秘〔2018〕128号</w:t>
      </w:r>
      <w:bookmarkEnd w:id="129"/>
      <w:r>
        <w:rPr>
          <w:rFonts w:hint="eastAsia"/>
          <w:szCs w:val="28"/>
        </w:rPr>
        <w:t>），明确了淮北市创建国家节水型城市的工作目标、工作内容、实施步骤，并对各参创单位的职责进行明确。为加强淮北市国家节水型城市创建工作组织领导，市政府成立了由市委副书记、市长任指挥长，分管副市长任常务副指挥长，市住建局、发改委、经信委、水务局等成员单位主要领导组成的</w:t>
      </w:r>
      <w:r>
        <w:rPr>
          <w:szCs w:val="28"/>
        </w:rPr>
        <w:t>“</w:t>
      </w:r>
      <w:r>
        <w:rPr>
          <w:rFonts w:hint="eastAsia"/>
          <w:szCs w:val="28"/>
        </w:rPr>
        <w:t>淮北市创建国家节水型城市指挥部</w:t>
      </w:r>
      <w:r>
        <w:rPr>
          <w:szCs w:val="28"/>
        </w:rPr>
        <w:t>”</w:t>
      </w:r>
      <w:r>
        <w:rPr>
          <w:rFonts w:hint="eastAsia"/>
          <w:szCs w:val="28"/>
        </w:rPr>
        <w:t>，指挥部办公室设在市住建局，具体负责节水型城市创建的组织、协调和落实。</w:t>
      </w:r>
    </w:p>
    <w:p>
      <w:pPr>
        <w:pStyle w:val="4"/>
      </w:pPr>
      <w:bookmarkStart w:id="130" w:name="_Toc531180067"/>
      <w:bookmarkStart w:id="131" w:name="_Toc8032542"/>
      <w:r>
        <w:rPr>
          <w:rFonts w:hint="eastAsia"/>
        </w:rPr>
        <w:t>2.6.2重视法规制度建设，强化依法行政的力度</w:t>
      </w:r>
      <w:bookmarkEnd w:id="130"/>
      <w:bookmarkEnd w:id="131"/>
    </w:p>
    <w:p>
      <w:pPr>
        <w:ind w:firstLine="560"/>
        <w:rPr>
          <w:szCs w:val="28"/>
        </w:rPr>
      </w:pPr>
      <w:r>
        <w:rPr>
          <w:szCs w:val="28"/>
        </w:rPr>
        <w:t>以习近平新时代中国特色社会主义思想为指导，深入贯彻落实习近平总书记倡导的“节水优先”发展理念，以促进水资源可持续开发利用、改善水生态环境、提倡合理用水、提高水的重复利用率为目标</w:t>
      </w:r>
      <w:r>
        <w:rPr>
          <w:rFonts w:hint="eastAsia"/>
          <w:szCs w:val="28"/>
        </w:rPr>
        <w:t>，</w:t>
      </w:r>
      <w:r>
        <w:rPr>
          <w:szCs w:val="28"/>
        </w:rPr>
        <w:t>以创建国家节水型城市为契机</w:t>
      </w:r>
      <w:r>
        <w:rPr>
          <w:rFonts w:hint="eastAsia"/>
          <w:szCs w:val="28"/>
        </w:rPr>
        <w:t>，</w:t>
      </w:r>
      <w:r>
        <w:rPr>
          <w:szCs w:val="28"/>
        </w:rPr>
        <w:t>依靠制度完善、科技进步、科学管理推动节水和再生水利用</w:t>
      </w:r>
      <w:r>
        <w:rPr>
          <w:rFonts w:hint="eastAsia"/>
          <w:szCs w:val="28"/>
        </w:rPr>
        <w:t>，</w:t>
      </w:r>
      <w:r>
        <w:rPr>
          <w:szCs w:val="28"/>
        </w:rPr>
        <w:t>增强全社会节约用水意识</w:t>
      </w:r>
      <w:r>
        <w:rPr>
          <w:rFonts w:hint="eastAsia"/>
          <w:szCs w:val="28"/>
        </w:rPr>
        <w:t>，</w:t>
      </w:r>
      <w:r>
        <w:rPr>
          <w:szCs w:val="28"/>
        </w:rPr>
        <w:t>完善城市节水管理体系</w:t>
      </w:r>
      <w:r>
        <w:rPr>
          <w:rFonts w:hint="eastAsia"/>
          <w:szCs w:val="28"/>
        </w:rPr>
        <w:t>，</w:t>
      </w:r>
      <w:r>
        <w:rPr>
          <w:szCs w:val="28"/>
        </w:rPr>
        <w:t>提高节水管理水平</w:t>
      </w:r>
      <w:r>
        <w:rPr>
          <w:rFonts w:hint="eastAsia"/>
          <w:szCs w:val="28"/>
        </w:rPr>
        <w:t>，</w:t>
      </w:r>
      <w:r>
        <w:rPr>
          <w:szCs w:val="28"/>
        </w:rPr>
        <w:t>实现人水和谐、可持续利用</w:t>
      </w:r>
      <w:r>
        <w:rPr>
          <w:rFonts w:hint="eastAsia"/>
          <w:szCs w:val="28"/>
        </w:rPr>
        <w:t>，</w:t>
      </w:r>
      <w:r>
        <w:rPr>
          <w:szCs w:val="28"/>
        </w:rPr>
        <w:t>为建设</w:t>
      </w:r>
      <w:r>
        <w:rPr>
          <w:rFonts w:hint="eastAsia"/>
          <w:szCs w:val="28"/>
        </w:rPr>
        <w:t>“</w:t>
      </w:r>
      <w:r>
        <w:rPr>
          <w:szCs w:val="28"/>
        </w:rPr>
        <w:t>中国碳谷</w:t>
      </w:r>
      <w:r>
        <w:rPr>
          <w:rFonts w:hint="eastAsia"/>
          <w:szCs w:val="28"/>
        </w:rPr>
        <w:t>·</w:t>
      </w:r>
      <w:r>
        <w:rPr>
          <w:szCs w:val="28"/>
        </w:rPr>
        <w:t>绿金淮北</w:t>
      </w:r>
      <w:r>
        <w:rPr>
          <w:rFonts w:hint="eastAsia"/>
          <w:szCs w:val="28"/>
        </w:rPr>
        <w:t>”</w:t>
      </w:r>
      <w:r>
        <w:rPr>
          <w:szCs w:val="28"/>
        </w:rPr>
        <w:t>提供坚实的水资源保障。</w:t>
      </w:r>
    </w:p>
    <w:p>
      <w:pPr>
        <w:ind w:firstLine="560"/>
        <w:rPr>
          <w:szCs w:val="28"/>
        </w:rPr>
      </w:pPr>
      <w:r>
        <w:rPr>
          <w:rFonts w:hint="eastAsia"/>
          <w:szCs w:val="28"/>
        </w:rPr>
        <w:t>为了加强淮北市节约用水工作的管理，淮北市在国家有关法律、法规的基础上，制定了一系列供水、节水方面的法规、规章和规范性文件，但距离形成较系统的节约用水法规体系仍存在一些薄弱环节。</w:t>
      </w:r>
    </w:p>
    <w:p>
      <w:pPr>
        <w:ind w:firstLine="560"/>
        <w:rPr>
          <w:szCs w:val="28"/>
        </w:rPr>
      </w:pPr>
      <w:r>
        <w:rPr>
          <w:szCs w:val="28"/>
        </w:rPr>
        <w:t>根据节水工作以及达到国家节水型城市工作需要，已陆续出台的</w:t>
      </w:r>
      <w:r>
        <w:rPr>
          <w:rFonts w:hint="eastAsia"/>
          <w:szCs w:val="28"/>
        </w:rPr>
        <w:t>规范性文件和制度</w:t>
      </w:r>
      <w:r>
        <w:rPr>
          <w:szCs w:val="28"/>
        </w:rPr>
        <w:t>有</w:t>
      </w:r>
      <w:r>
        <w:rPr>
          <w:rFonts w:hint="eastAsia"/>
          <w:szCs w:val="28"/>
        </w:rPr>
        <w:t>：</w:t>
      </w:r>
    </w:p>
    <w:p>
      <w:pPr>
        <w:ind w:firstLine="560"/>
        <w:rPr>
          <w:szCs w:val="28"/>
        </w:rPr>
      </w:pPr>
      <w:r>
        <w:rPr>
          <w:rFonts w:hint="eastAsia"/>
          <w:szCs w:val="28"/>
        </w:rPr>
        <w:t>a</w:t>
      </w:r>
      <w:r>
        <w:rPr>
          <w:szCs w:val="28"/>
        </w:rPr>
        <w:t>.</w:t>
      </w:r>
      <w:r>
        <w:rPr>
          <w:rFonts w:hint="eastAsia"/>
          <w:szCs w:val="28"/>
        </w:rPr>
        <w:t>《淮北市二次供水工程技术要求》；</w:t>
      </w:r>
    </w:p>
    <w:p>
      <w:pPr>
        <w:ind w:firstLine="560"/>
        <w:rPr>
          <w:szCs w:val="28"/>
        </w:rPr>
      </w:pPr>
      <w:r>
        <w:rPr>
          <w:rFonts w:hint="eastAsia"/>
          <w:szCs w:val="28"/>
        </w:rPr>
        <w:t>b</w:t>
      </w:r>
      <w:r>
        <w:rPr>
          <w:szCs w:val="28"/>
        </w:rPr>
        <w:t>.</w:t>
      </w:r>
      <w:r>
        <w:rPr>
          <w:rFonts w:hint="eastAsia"/>
          <w:szCs w:val="28"/>
        </w:rPr>
        <w:t>《淮北市人民政府关于印发淮北市水价管理暂行办法的通知》（淮政〔</w:t>
      </w:r>
      <w:r>
        <w:rPr>
          <w:szCs w:val="28"/>
        </w:rPr>
        <w:t>2008</w:t>
      </w:r>
      <w:r>
        <w:rPr>
          <w:rFonts w:hint="eastAsia"/>
          <w:szCs w:val="28"/>
        </w:rPr>
        <w:t>〕</w:t>
      </w:r>
      <w:r>
        <w:rPr>
          <w:szCs w:val="28"/>
        </w:rPr>
        <w:t>45</w:t>
      </w:r>
      <w:r>
        <w:rPr>
          <w:rFonts w:hint="eastAsia"/>
          <w:szCs w:val="28"/>
        </w:rPr>
        <w:t>号）；</w:t>
      </w:r>
    </w:p>
    <w:p>
      <w:pPr>
        <w:ind w:firstLine="560"/>
        <w:rPr>
          <w:szCs w:val="28"/>
        </w:rPr>
      </w:pPr>
      <w:r>
        <w:rPr>
          <w:rFonts w:hint="eastAsia"/>
          <w:szCs w:val="28"/>
        </w:rPr>
        <w:t>c．淮北市人民政府关于实行最严格水资源管理制度的</w:t>
      </w:r>
      <w:r>
        <w:rPr>
          <w:szCs w:val="28"/>
        </w:rPr>
        <w:t xml:space="preserve"> </w:t>
      </w:r>
      <w:r>
        <w:rPr>
          <w:rFonts w:hint="eastAsia"/>
          <w:szCs w:val="28"/>
        </w:rPr>
        <w:t>实施意见；</w:t>
      </w:r>
    </w:p>
    <w:p>
      <w:pPr>
        <w:ind w:firstLine="560"/>
        <w:rPr>
          <w:szCs w:val="28"/>
        </w:rPr>
      </w:pPr>
      <w:r>
        <w:rPr>
          <w:rFonts w:hint="eastAsia"/>
          <w:szCs w:val="28"/>
        </w:rPr>
        <w:t>d</w:t>
      </w:r>
      <w:r>
        <w:rPr>
          <w:szCs w:val="28"/>
        </w:rPr>
        <w:t>.</w:t>
      </w:r>
      <w:r>
        <w:rPr>
          <w:rFonts w:hint="eastAsia"/>
          <w:szCs w:val="28"/>
        </w:rPr>
        <w:t>《淮北市高层住宅二次供水设施管理意见》（淮政办【</w:t>
      </w:r>
      <w:r>
        <w:rPr>
          <w:szCs w:val="28"/>
        </w:rPr>
        <w:t>2014</w:t>
      </w:r>
      <w:r>
        <w:rPr>
          <w:rFonts w:hint="eastAsia"/>
          <w:szCs w:val="28"/>
        </w:rPr>
        <w:t>】</w:t>
      </w:r>
      <w:r>
        <w:rPr>
          <w:szCs w:val="28"/>
        </w:rPr>
        <w:t>7</w:t>
      </w:r>
      <w:r>
        <w:rPr>
          <w:rFonts w:hint="eastAsia"/>
          <w:szCs w:val="28"/>
        </w:rPr>
        <w:t>号）；</w:t>
      </w:r>
    </w:p>
    <w:p>
      <w:pPr>
        <w:ind w:firstLine="560"/>
        <w:rPr>
          <w:szCs w:val="28"/>
        </w:rPr>
      </w:pPr>
      <w:r>
        <w:rPr>
          <w:rFonts w:hint="eastAsia"/>
          <w:szCs w:val="28"/>
        </w:rPr>
        <w:t>e</w:t>
      </w:r>
      <w:r>
        <w:rPr>
          <w:szCs w:val="28"/>
        </w:rPr>
        <w:t>.</w:t>
      </w:r>
      <w:r>
        <w:rPr>
          <w:rFonts w:hint="eastAsia"/>
          <w:szCs w:val="28"/>
        </w:rPr>
        <w:t>淮北市人民政府办公室关于印发城市排水管理办法的通知（淮政办</w:t>
      </w:r>
    </w:p>
    <w:p>
      <w:pPr>
        <w:ind w:firstLine="560"/>
        <w:rPr>
          <w:szCs w:val="28"/>
        </w:rPr>
      </w:pPr>
      <w:r>
        <w:rPr>
          <w:rFonts w:hint="eastAsia"/>
          <w:szCs w:val="28"/>
        </w:rPr>
        <w:t>〔</w:t>
      </w:r>
      <w:r>
        <w:rPr>
          <w:szCs w:val="28"/>
        </w:rPr>
        <w:t>2010</w:t>
      </w:r>
      <w:r>
        <w:rPr>
          <w:rFonts w:hint="eastAsia"/>
          <w:szCs w:val="28"/>
        </w:rPr>
        <w:t>〕</w:t>
      </w:r>
      <w:r>
        <w:rPr>
          <w:szCs w:val="28"/>
        </w:rPr>
        <w:t>83</w:t>
      </w:r>
      <w:r>
        <w:rPr>
          <w:rFonts w:hint="eastAsia"/>
          <w:szCs w:val="28"/>
        </w:rPr>
        <w:t>号）；</w:t>
      </w:r>
    </w:p>
    <w:p>
      <w:pPr>
        <w:ind w:firstLine="560"/>
        <w:rPr>
          <w:szCs w:val="28"/>
        </w:rPr>
      </w:pPr>
      <w:r>
        <w:rPr>
          <w:rFonts w:hint="eastAsia"/>
          <w:szCs w:val="28"/>
        </w:rPr>
        <w:t>f</w:t>
      </w:r>
      <w:r>
        <w:rPr>
          <w:szCs w:val="28"/>
        </w:rPr>
        <w:t>.</w:t>
      </w:r>
      <w:r>
        <w:rPr>
          <w:rFonts w:hint="eastAsia"/>
          <w:szCs w:val="28"/>
        </w:rPr>
        <w:t>《淮北市水资源管理办法》（淮北市人民政府令第</w:t>
      </w:r>
      <w:r>
        <w:rPr>
          <w:szCs w:val="28"/>
        </w:rPr>
        <w:t>42</w:t>
      </w:r>
      <w:r>
        <w:rPr>
          <w:rFonts w:hint="eastAsia"/>
          <w:szCs w:val="28"/>
        </w:rPr>
        <w:t>号）；</w:t>
      </w:r>
    </w:p>
    <w:p>
      <w:pPr>
        <w:ind w:firstLine="560"/>
        <w:rPr>
          <w:szCs w:val="28"/>
        </w:rPr>
      </w:pPr>
      <w:r>
        <w:rPr>
          <w:rFonts w:hint="eastAsia"/>
          <w:szCs w:val="28"/>
        </w:rPr>
        <w:t>g</w:t>
      </w:r>
      <w:r>
        <w:rPr>
          <w:szCs w:val="28"/>
        </w:rPr>
        <w:t>.</w:t>
      </w:r>
      <w:r>
        <w:rPr>
          <w:rFonts w:hint="eastAsia"/>
          <w:szCs w:val="28"/>
        </w:rPr>
        <w:t>《淮北市城市中水利用管理办法》（淮政办〔</w:t>
      </w:r>
      <w:r>
        <w:rPr>
          <w:szCs w:val="28"/>
        </w:rPr>
        <w:t>2009</w:t>
      </w:r>
      <w:r>
        <w:rPr>
          <w:rFonts w:hint="eastAsia"/>
          <w:szCs w:val="28"/>
        </w:rPr>
        <w:t>〕</w:t>
      </w:r>
      <w:r>
        <w:rPr>
          <w:szCs w:val="28"/>
        </w:rPr>
        <w:t>57</w:t>
      </w:r>
      <w:r>
        <w:rPr>
          <w:rFonts w:hint="eastAsia"/>
          <w:szCs w:val="28"/>
        </w:rPr>
        <w:t>号）；</w:t>
      </w:r>
    </w:p>
    <w:p>
      <w:pPr>
        <w:ind w:firstLine="560"/>
        <w:rPr>
          <w:szCs w:val="28"/>
        </w:rPr>
      </w:pPr>
      <w:r>
        <w:rPr>
          <w:rFonts w:hint="eastAsia"/>
          <w:szCs w:val="28"/>
        </w:rPr>
        <w:t>h</w:t>
      </w:r>
      <w:r>
        <w:rPr>
          <w:szCs w:val="28"/>
        </w:rPr>
        <w:t>.</w:t>
      </w:r>
      <w:r>
        <w:rPr>
          <w:rFonts w:hint="eastAsia"/>
          <w:szCs w:val="28"/>
        </w:rPr>
        <w:t>《淮北市节约用水管理办法》（淮政〔</w:t>
      </w:r>
      <w:r>
        <w:rPr>
          <w:szCs w:val="28"/>
        </w:rPr>
        <w:t>2007</w:t>
      </w:r>
      <w:r>
        <w:rPr>
          <w:rFonts w:hint="eastAsia"/>
          <w:szCs w:val="28"/>
        </w:rPr>
        <w:t>〕</w:t>
      </w:r>
      <w:r>
        <w:rPr>
          <w:szCs w:val="28"/>
        </w:rPr>
        <w:t>52</w:t>
      </w:r>
      <w:r>
        <w:rPr>
          <w:rFonts w:hint="eastAsia"/>
          <w:szCs w:val="28"/>
        </w:rPr>
        <w:t>号）；</w:t>
      </w:r>
    </w:p>
    <w:p>
      <w:pPr>
        <w:ind w:firstLine="560"/>
        <w:rPr>
          <w:szCs w:val="28"/>
        </w:rPr>
      </w:pPr>
      <w:r>
        <w:rPr>
          <w:rFonts w:hint="eastAsia"/>
          <w:szCs w:val="28"/>
        </w:rPr>
        <w:t>i</w:t>
      </w:r>
      <w:r>
        <w:rPr>
          <w:szCs w:val="28"/>
        </w:rPr>
        <w:t>.</w:t>
      </w:r>
      <w:r>
        <w:rPr>
          <w:rFonts w:hint="eastAsia"/>
          <w:szCs w:val="28"/>
        </w:rPr>
        <w:t>《淮北市城市污水处理费征收使用管理办法》</w:t>
      </w:r>
    </w:p>
    <w:p>
      <w:pPr>
        <w:ind w:firstLine="560"/>
        <w:rPr>
          <w:szCs w:val="28"/>
        </w:rPr>
      </w:pPr>
      <w:r>
        <w:rPr>
          <w:rFonts w:hint="eastAsia"/>
          <w:szCs w:val="28"/>
        </w:rPr>
        <w:t>（淮政办〔</w:t>
      </w:r>
      <w:r>
        <w:rPr>
          <w:szCs w:val="28"/>
        </w:rPr>
        <w:t>2010</w:t>
      </w:r>
      <w:r>
        <w:rPr>
          <w:rFonts w:hint="eastAsia"/>
          <w:szCs w:val="28"/>
        </w:rPr>
        <w:t>〕</w:t>
      </w:r>
      <w:r>
        <w:rPr>
          <w:szCs w:val="28"/>
        </w:rPr>
        <w:t>84</w:t>
      </w:r>
      <w:r>
        <w:rPr>
          <w:rFonts w:hint="eastAsia"/>
          <w:szCs w:val="28"/>
        </w:rPr>
        <w:t>号）；</w:t>
      </w:r>
    </w:p>
    <w:p>
      <w:pPr>
        <w:ind w:firstLine="560"/>
        <w:rPr>
          <w:szCs w:val="28"/>
        </w:rPr>
      </w:pPr>
      <w:r>
        <w:rPr>
          <w:rFonts w:hint="eastAsia"/>
          <w:szCs w:val="28"/>
        </w:rPr>
        <w:t>g</w:t>
      </w:r>
      <w:r>
        <w:rPr>
          <w:szCs w:val="28"/>
        </w:rPr>
        <w:t>.</w:t>
      </w:r>
      <w:r>
        <w:rPr>
          <w:rFonts w:hint="eastAsia"/>
          <w:szCs w:val="28"/>
        </w:rPr>
        <w:t>《淮北市雨水利用管理办法》（淮政办〔</w:t>
      </w:r>
      <w:r>
        <w:rPr>
          <w:szCs w:val="28"/>
        </w:rPr>
        <w:t>2010</w:t>
      </w:r>
      <w:r>
        <w:rPr>
          <w:rFonts w:hint="eastAsia"/>
          <w:szCs w:val="28"/>
        </w:rPr>
        <w:t>〕</w:t>
      </w:r>
      <w:r>
        <w:rPr>
          <w:szCs w:val="28"/>
        </w:rPr>
        <w:t>89</w:t>
      </w:r>
      <w:r>
        <w:rPr>
          <w:rFonts w:hint="eastAsia"/>
          <w:szCs w:val="28"/>
        </w:rPr>
        <w:t>号）；</w:t>
      </w:r>
    </w:p>
    <w:p>
      <w:pPr>
        <w:ind w:firstLine="560"/>
        <w:rPr>
          <w:szCs w:val="28"/>
        </w:rPr>
      </w:pPr>
      <w:r>
        <w:rPr>
          <w:rFonts w:hint="eastAsia"/>
          <w:szCs w:val="28"/>
        </w:rPr>
        <w:t>k</w:t>
      </w:r>
      <w:r>
        <w:rPr>
          <w:szCs w:val="28"/>
        </w:rPr>
        <w:t>.</w:t>
      </w:r>
      <w:r>
        <w:rPr>
          <w:rFonts w:hint="eastAsia"/>
          <w:szCs w:val="28"/>
        </w:rPr>
        <w:t>《淮北市岩溶地下水开采管理暂行规定》（淮政办〔</w:t>
      </w:r>
      <w:r>
        <w:rPr>
          <w:szCs w:val="28"/>
        </w:rPr>
        <w:t>2010</w:t>
      </w:r>
      <w:r>
        <w:rPr>
          <w:rFonts w:hint="eastAsia"/>
          <w:szCs w:val="28"/>
        </w:rPr>
        <w:t>〕</w:t>
      </w:r>
      <w:r>
        <w:rPr>
          <w:szCs w:val="28"/>
        </w:rPr>
        <w:t>93</w:t>
      </w:r>
      <w:r>
        <w:rPr>
          <w:rFonts w:hint="eastAsia"/>
          <w:szCs w:val="28"/>
        </w:rPr>
        <w:t>号）；</w:t>
      </w:r>
    </w:p>
    <w:p>
      <w:pPr>
        <w:ind w:firstLine="560"/>
        <w:rPr>
          <w:szCs w:val="28"/>
        </w:rPr>
      </w:pPr>
      <w:r>
        <w:rPr>
          <w:rFonts w:hint="eastAsia"/>
          <w:szCs w:val="28"/>
        </w:rPr>
        <w:t>l</w:t>
      </w:r>
      <w:r>
        <w:rPr>
          <w:szCs w:val="28"/>
        </w:rPr>
        <w:t>.</w:t>
      </w:r>
      <w:r>
        <w:rPr>
          <w:rFonts w:hint="eastAsia"/>
          <w:szCs w:val="28"/>
        </w:rPr>
        <w:t>《淮北市水污染防治工作方案》；</w:t>
      </w:r>
    </w:p>
    <w:p>
      <w:pPr>
        <w:ind w:firstLine="560"/>
        <w:rPr>
          <w:szCs w:val="28"/>
        </w:rPr>
      </w:pPr>
      <w:r>
        <w:rPr>
          <w:rFonts w:hint="eastAsia"/>
          <w:szCs w:val="28"/>
        </w:rPr>
        <w:t>m</w:t>
      </w:r>
      <w:r>
        <w:rPr>
          <w:szCs w:val="28"/>
        </w:rPr>
        <w:t xml:space="preserve">. </w:t>
      </w:r>
      <w:r>
        <w:rPr>
          <w:rFonts w:hint="eastAsia"/>
          <w:szCs w:val="28"/>
        </w:rPr>
        <w:t>《淮北市人民政府办公室关于印发淮北市创建国家节水型城市实施方案的通知》（淮政办秘〔</w:t>
      </w:r>
      <w:r>
        <w:rPr>
          <w:szCs w:val="28"/>
        </w:rPr>
        <w:t>2018</w:t>
      </w:r>
      <w:r>
        <w:rPr>
          <w:rFonts w:hint="eastAsia"/>
          <w:szCs w:val="28"/>
        </w:rPr>
        <w:t>〕</w:t>
      </w:r>
      <w:r>
        <w:rPr>
          <w:szCs w:val="28"/>
        </w:rPr>
        <w:t>128</w:t>
      </w:r>
      <w:r>
        <w:rPr>
          <w:rFonts w:hint="eastAsia"/>
          <w:szCs w:val="28"/>
        </w:rPr>
        <w:t>号）；</w:t>
      </w:r>
    </w:p>
    <w:p>
      <w:pPr>
        <w:ind w:firstLine="560"/>
        <w:rPr>
          <w:szCs w:val="28"/>
        </w:rPr>
      </w:pPr>
      <w:r>
        <w:rPr>
          <w:rFonts w:hint="eastAsia"/>
          <w:szCs w:val="28"/>
        </w:rPr>
        <w:t>n</w:t>
      </w:r>
      <w:r>
        <w:rPr>
          <w:szCs w:val="28"/>
        </w:rPr>
        <w:t xml:space="preserve">. </w:t>
      </w:r>
      <w:r>
        <w:rPr>
          <w:rFonts w:hint="eastAsia"/>
          <w:szCs w:val="28"/>
        </w:rPr>
        <w:t>《淮北市行业用水定额》；</w:t>
      </w:r>
    </w:p>
    <w:p>
      <w:pPr>
        <w:ind w:firstLine="560"/>
        <w:rPr>
          <w:szCs w:val="28"/>
        </w:rPr>
      </w:pPr>
      <w:r>
        <w:rPr>
          <w:rFonts w:hint="eastAsia"/>
          <w:szCs w:val="28"/>
        </w:rPr>
        <w:t>近期计划修订和制定出台规范性文件</w:t>
      </w:r>
    </w:p>
    <w:p>
      <w:pPr>
        <w:ind w:firstLine="560"/>
        <w:rPr>
          <w:szCs w:val="28"/>
        </w:rPr>
      </w:pPr>
      <w:r>
        <w:rPr>
          <w:rFonts w:hint="eastAsia"/>
          <w:szCs w:val="28"/>
        </w:rPr>
        <w:t>a</w:t>
      </w:r>
      <w:r>
        <w:rPr>
          <w:szCs w:val="28"/>
        </w:rPr>
        <w:t>.</w:t>
      </w:r>
      <w:r>
        <w:rPr>
          <w:rFonts w:hint="eastAsia"/>
          <w:szCs w:val="28"/>
        </w:rPr>
        <w:t>修订出台：《淮北市城市节约用水管理办法》</w:t>
      </w:r>
    </w:p>
    <w:p>
      <w:pPr>
        <w:ind w:firstLine="560"/>
        <w:rPr>
          <w:szCs w:val="28"/>
        </w:rPr>
      </w:pPr>
      <w:r>
        <w:rPr>
          <w:rFonts w:hint="eastAsia"/>
          <w:szCs w:val="28"/>
        </w:rPr>
        <w:t>b</w:t>
      </w:r>
      <w:r>
        <w:rPr>
          <w:szCs w:val="28"/>
        </w:rPr>
        <w:t>.</w:t>
      </w:r>
      <w:r>
        <w:rPr>
          <w:rFonts w:hint="eastAsia"/>
          <w:szCs w:val="28"/>
        </w:rPr>
        <w:t>淮北市再生水价格管理指导意见</w:t>
      </w:r>
    </w:p>
    <w:p>
      <w:pPr>
        <w:ind w:firstLine="560"/>
        <w:rPr>
          <w:szCs w:val="28"/>
        </w:rPr>
      </w:pPr>
      <w:r>
        <w:rPr>
          <w:rFonts w:hint="eastAsia"/>
          <w:szCs w:val="28"/>
        </w:rPr>
        <w:t>c</w:t>
      </w:r>
      <w:r>
        <w:rPr>
          <w:szCs w:val="28"/>
        </w:rPr>
        <w:t xml:space="preserve">. </w:t>
      </w:r>
      <w:r>
        <w:rPr>
          <w:rFonts w:hint="eastAsia"/>
          <w:szCs w:val="28"/>
        </w:rPr>
        <w:t>《淮北市水资源利用和保护条例》</w:t>
      </w:r>
    </w:p>
    <w:p>
      <w:pPr>
        <w:ind w:firstLine="560"/>
        <w:rPr>
          <w:szCs w:val="28"/>
        </w:rPr>
      </w:pPr>
      <w:r>
        <w:rPr>
          <w:rFonts w:hint="eastAsia"/>
          <w:szCs w:val="28"/>
        </w:rPr>
        <w:t>d</w:t>
      </w:r>
      <w:r>
        <w:rPr>
          <w:szCs w:val="28"/>
        </w:rPr>
        <w:t xml:space="preserve">. </w:t>
      </w:r>
      <w:r>
        <w:rPr>
          <w:rFonts w:hint="eastAsia"/>
          <w:szCs w:val="28"/>
        </w:rPr>
        <w:t>《淮北市城镇供水管理办法》</w:t>
      </w:r>
    </w:p>
    <w:p>
      <w:pPr>
        <w:ind w:firstLine="560"/>
        <w:rPr>
          <w:szCs w:val="28"/>
        </w:rPr>
      </w:pPr>
      <w:r>
        <w:rPr>
          <w:rFonts w:hint="eastAsia"/>
          <w:szCs w:val="28"/>
        </w:rPr>
        <w:t>e</w:t>
      </w:r>
      <w:r>
        <w:rPr>
          <w:szCs w:val="28"/>
        </w:rPr>
        <w:t xml:space="preserve">. </w:t>
      </w:r>
      <w:r>
        <w:rPr>
          <w:rFonts w:hint="eastAsia"/>
          <w:szCs w:val="28"/>
        </w:rPr>
        <w:t>《淮北市海绵城市建设管理办法》</w:t>
      </w:r>
    </w:p>
    <w:p>
      <w:pPr>
        <w:ind w:firstLine="560"/>
        <w:rPr>
          <w:szCs w:val="28"/>
        </w:rPr>
      </w:pPr>
      <w:r>
        <w:rPr>
          <w:rFonts w:hint="eastAsia"/>
          <w:szCs w:val="28"/>
        </w:rPr>
        <w:t>f</w:t>
      </w:r>
      <w:r>
        <w:rPr>
          <w:szCs w:val="28"/>
        </w:rPr>
        <w:t xml:space="preserve">. </w:t>
      </w:r>
      <w:r>
        <w:rPr>
          <w:rFonts w:hint="eastAsia"/>
          <w:szCs w:val="28"/>
        </w:rPr>
        <w:t>《淮北市城镇污水排入排水管网许可制度实施办法》</w:t>
      </w:r>
    </w:p>
    <w:p>
      <w:pPr>
        <w:ind w:firstLine="560"/>
        <w:rPr>
          <w:szCs w:val="28"/>
        </w:rPr>
      </w:pPr>
      <w:r>
        <w:rPr>
          <w:rFonts w:hint="eastAsia"/>
          <w:szCs w:val="28"/>
        </w:rPr>
        <w:t>g</w:t>
      </w:r>
      <w:r>
        <w:rPr>
          <w:szCs w:val="28"/>
        </w:rPr>
        <w:t xml:space="preserve">. </w:t>
      </w:r>
      <w:r>
        <w:rPr>
          <w:rFonts w:hint="eastAsia"/>
          <w:szCs w:val="28"/>
        </w:rPr>
        <w:t>《淮北市节水奖励管理办法》</w:t>
      </w:r>
    </w:p>
    <w:p>
      <w:pPr>
        <w:ind w:firstLine="560"/>
        <w:rPr>
          <w:szCs w:val="28"/>
        </w:rPr>
      </w:pPr>
      <w:r>
        <w:rPr>
          <w:rFonts w:hint="eastAsia"/>
          <w:szCs w:val="28"/>
        </w:rPr>
        <w:t>h</w:t>
      </w:r>
      <w:r>
        <w:rPr>
          <w:szCs w:val="28"/>
        </w:rPr>
        <w:t xml:space="preserve">. </w:t>
      </w:r>
      <w:r>
        <w:rPr>
          <w:rFonts w:hint="eastAsia"/>
          <w:szCs w:val="28"/>
        </w:rPr>
        <w:t>《建立淮北市城市节水统计制度》</w:t>
      </w:r>
    </w:p>
    <w:p>
      <w:pPr>
        <w:ind w:firstLine="560"/>
        <w:rPr>
          <w:szCs w:val="28"/>
        </w:rPr>
      </w:pPr>
      <w:r>
        <w:rPr>
          <w:rFonts w:hint="eastAsia"/>
          <w:szCs w:val="28"/>
        </w:rPr>
        <w:t>i</w:t>
      </w:r>
      <w:r>
        <w:rPr>
          <w:szCs w:val="28"/>
        </w:rPr>
        <w:t xml:space="preserve">. </w:t>
      </w:r>
      <w:r>
        <w:rPr>
          <w:rFonts w:hint="eastAsia"/>
          <w:szCs w:val="28"/>
        </w:rPr>
        <w:t>《淮北市城市节水财政资金管理办法》</w:t>
      </w:r>
    </w:p>
    <w:p>
      <w:pPr>
        <w:ind w:firstLine="560"/>
        <w:rPr>
          <w:szCs w:val="28"/>
        </w:rPr>
      </w:pPr>
      <w:r>
        <w:rPr>
          <w:rFonts w:hint="eastAsia"/>
          <w:szCs w:val="28"/>
        </w:rPr>
        <w:t>g</w:t>
      </w:r>
      <w:r>
        <w:rPr>
          <w:szCs w:val="28"/>
        </w:rPr>
        <w:t xml:space="preserve">. </w:t>
      </w:r>
      <w:r>
        <w:rPr>
          <w:rFonts w:hint="eastAsia"/>
          <w:szCs w:val="28"/>
        </w:rPr>
        <w:t>《淮北市新改扩建项目节水措施三同时管理》</w:t>
      </w:r>
    </w:p>
    <w:p>
      <w:pPr>
        <w:ind w:firstLine="560"/>
        <w:rPr>
          <w:szCs w:val="28"/>
        </w:rPr>
      </w:pPr>
      <w:r>
        <w:rPr>
          <w:rFonts w:hint="eastAsia"/>
          <w:szCs w:val="28"/>
        </w:rPr>
        <w:t>k</w:t>
      </w:r>
      <w:r>
        <w:rPr>
          <w:szCs w:val="28"/>
        </w:rPr>
        <w:t xml:space="preserve">. </w:t>
      </w:r>
      <w:r>
        <w:rPr>
          <w:rFonts w:hint="eastAsia"/>
          <w:szCs w:val="28"/>
        </w:rPr>
        <w:t>《淮北市城市特种用水行业管理办法》</w:t>
      </w:r>
    </w:p>
    <w:p>
      <w:pPr>
        <w:ind w:firstLine="560"/>
        <w:rPr>
          <w:szCs w:val="28"/>
        </w:rPr>
      </w:pPr>
      <w:r>
        <w:rPr>
          <w:rFonts w:hint="eastAsia"/>
          <w:szCs w:val="28"/>
        </w:rPr>
        <w:t>l．《淮北市城市公共供水计划用水与定额管理实施细则》</w:t>
      </w:r>
    </w:p>
    <w:p>
      <w:pPr>
        <w:ind w:firstLine="560"/>
        <w:rPr>
          <w:szCs w:val="28"/>
        </w:rPr>
      </w:pPr>
      <w:r>
        <w:rPr>
          <w:rFonts w:hint="eastAsia"/>
          <w:szCs w:val="28"/>
        </w:rPr>
        <w:t>m</w:t>
      </w:r>
      <w:r>
        <w:rPr>
          <w:szCs w:val="28"/>
        </w:rPr>
        <w:t xml:space="preserve">. </w:t>
      </w:r>
      <w:r>
        <w:rPr>
          <w:rFonts w:hint="eastAsia"/>
          <w:szCs w:val="28"/>
        </w:rPr>
        <w:t>《淮北市水平衡测试管理办法》</w:t>
      </w:r>
    </w:p>
    <w:p>
      <w:pPr>
        <w:ind w:firstLine="560"/>
        <w:rPr>
          <w:szCs w:val="28"/>
        </w:rPr>
      </w:pPr>
      <w:r>
        <w:rPr>
          <w:rFonts w:hint="eastAsia"/>
          <w:szCs w:val="28"/>
        </w:rPr>
        <w:t>n</w:t>
      </w:r>
      <w:r>
        <w:rPr>
          <w:szCs w:val="28"/>
        </w:rPr>
        <w:t xml:space="preserve">. </w:t>
      </w:r>
      <w:r>
        <w:rPr>
          <w:rFonts w:hint="eastAsia"/>
          <w:szCs w:val="28"/>
        </w:rPr>
        <w:t>《淮北市城镇公共供水超定额（计划）累进加价收费制度》</w:t>
      </w:r>
    </w:p>
    <w:p>
      <w:pPr>
        <w:ind w:firstLine="560"/>
        <w:rPr>
          <w:szCs w:val="28"/>
        </w:rPr>
      </w:pPr>
      <w:r>
        <w:rPr>
          <w:rFonts w:hint="eastAsia"/>
          <w:szCs w:val="28"/>
        </w:rPr>
        <w:t>在节水工作推进过程中淮北市注重</w:t>
      </w:r>
      <w:r>
        <w:rPr>
          <w:szCs w:val="28"/>
        </w:rPr>
        <w:t>强化规划</w:t>
      </w:r>
      <w:r>
        <w:rPr>
          <w:rFonts w:hint="eastAsia"/>
          <w:szCs w:val="28"/>
        </w:rPr>
        <w:t>引领作用，</w:t>
      </w:r>
      <w:r>
        <w:rPr>
          <w:szCs w:val="28"/>
        </w:rPr>
        <w:t>先后编制出台了《</w:t>
      </w:r>
      <w:r>
        <w:rPr>
          <w:rFonts w:hint="eastAsia"/>
          <w:szCs w:val="28"/>
        </w:rPr>
        <w:t>淮北</w:t>
      </w:r>
      <w:r>
        <w:rPr>
          <w:szCs w:val="28"/>
        </w:rPr>
        <w:t>市水资源综合规划》、《</w:t>
      </w:r>
      <w:r>
        <w:rPr>
          <w:rFonts w:hint="eastAsia"/>
          <w:szCs w:val="28"/>
        </w:rPr>
        <w:t>淮北市海绵城市专项</w:t>
      </w:r>
      <w:r>
        <w:rPr>
          <w:szCs w:val="28"/>
        </w:rPr>
        <w:t>规划》、《</w:t>
      </w:r>
      <w:r>
        <w:rPr>
          <w:rFonts w:hint="eastAsia"/>
          <w:szCs w:val="28"/>
        </w:rPr>
        <w:t>淮北</w:t>
      </w:r>
      <w:r>
        <w:rPr>
          <w:szCs w:val="28"/>
        </w:rPr>
        <w:t>市</w:t>
      </w:r>
      <w:r>
        <w:rPr>
          <w:rFonts w:hint="eastAsia"/>
          <w:szCs w:val="28"/>
        </w:rPr>
        <w:t>排水防涝综合</w:t>
      </w:r>
      <w:r>
        <w:rPr>
          <w:szCs w:val="28"/>
        </w:rPr>
        <w:t>规划》、《</w:t>
      </w:r>
      <w:r>
        <w:rPr>
          <w:rFonts w:hint="eastAsia"/>
          <w:szCs w:val="28"/>
        </w:rPr>
        <w:t>淮北市城区供水专项规划</w:t>
      </w:r>
      <w:r>
        <w:rPr>
          <w:szCs w:val="28"/>
        </w:rPr>
        <w:t>》等多项专项规划。</w:t>
      </w:r>
    </w:p>
    <w:p>
      <w:pPr>
        <w:ind w:firstLine="560"/>
        <w:rPr>
          <w:szCs w:val="28"/>
        </w:rPr>
      </w:pPr>
      <w:r>
        <w:rPr>
          <w:rFonts w:hint="eastAsia"/>
          <w:szCs w:val="28"/>
        </w:rPr>
        <w:t>在健全完善节约用水法规体系的同时，还加大了依法行政的力度，以“淮北市创建国家节水型城市指挥部”为核心，建立了一支节水管理执法检查队伍，加强对供水、节水违法违章行为的监察和查处力度，做到依法管水、依法用水、依法节水。</w:t>
      </w:r>
    </w:p>
    <w:p>
      <w:pPr>
        <w:pStyle w:val="4"/>
      </w:pPr>
      <w:bookmarkStart w:id="132" w:name="_Toc531180068"/>
      <w:bookmarkStart w:id="133" w:name="_Toc8032543"/>
      <w:r>
        <w:rPr>
          <w:rFonts w:hint="eastAsia"/>
        </w:rPr>
        <w:t>2.6.3重视节水投入，建立奖惩机制</w:t>
      </w:r>
      <w:bookmarkEnd w:id="132"/>
      <w:bookmarkEnd w:id="133"/>
    </w:p>
    <w:p>
      <w:pPr>
        <w:ind w:firstLine="560"/>
        <w:rPr>
          <w:rFonts w:ascii="??_GB2312" w:hAnsi="??_GB2312" w:cs="??_GB2312"/>
          <w:sz w:val="32"/>
          <w:szCs w:val="32"/>
        </w:rPr>
      </w:pPr>
      <w:r>
        <w:rPr>
          <w:rFonts w:hint="eastAsia"/>
        </w:rPr>
        <w:t>淮北市住房和城乡建设局紧紧抓住城市发展的有利时机，以水环境综合整治、城市建设和棚户区、老旧小区改造等为契机，加快城市供、排水管网基础设施建设步伐。一是加快城市供水设施建设。近年来淮北市住房和城乡建设局一直高度重视城市供水管理工作，不断提高供水安全、控制管网漏损、降低水量损耗，结合市政道路和老旧小区改造、</w:t>
      </w:r>
      <w:r>
        <w:t>“</w:t>
      </w:r>
      <w:r>
        <w:rPr>
          <w:rFonts w:hint="eastAsia"/>
        </w:rPr>
        <w:t>一户一表</w:t>
      </w:r>
      <w:r>
        <w:t>”</w:t>
      </w:r>
      <w:r>
        <w:rPr>
          <w:rFonts w:hint="eastAsia"/>
        </w:rPr>
        <w:t>等工程项目，新建小区全部实行一户一表，老旧小区一户一表改造基本完成，市区的水表到户率达到</w:t>
      </w:r>
      <w:r>
        <w:t>100%</w:t>
      </w:r>
      <w:r>
        <w:rPr>
          <w:rFonts w:hint="eastAsia"/>
        </w:rPr>
        <w:t>，为居民生活用水实施阶梯式计量水价创造了良好的条件，城市供水管网漏损水量逐年下降，</w:t>
      </w:r>
      <w:r>
        <w:t>2017</w:t>
      </w:r>
      <w:r>
        <w:rPr>
          <w:rFonts w:hint="eastAsia"/>
        </w:rPr>
        <w:t>年淮北市供水管网漏损率降至</w:t>
      </w:r>
      <w:r>
        <w:t>11</w:t>
      </w:r>
      <w:r>
        <w:rPr>
          <w:rFonts w:hint="eastAsia"/>
        </w:rPr>
        <w:t>.41</w:t>
      </w:r>
      <w:r>
        <w:t>%</w:t>
      </w:r>
      <w:r>
        <w:rPr>
          <w:rFonts w:hint="eastAsia"/>
        </w:rPr>
        <w:t>。二是全力以赴推进黑臭水体整治工作，</w:t>
      </w:r>
      <w:r>
        <w:t>龙岱河</w:t>
      </w:r>
      <w:r>
        <w:rPr>
          <w:rFonts w:hint="eastAsia"/>
        </w:rPr>
        <w:t>、</w:t>
      </w:r>
      <w:r>
        <w:t>西流河</w:t>
      </w:r>
      <w:r>
        <w:rPr>
          <w:rFonts w:hint="eastAsia"/>
        </w:rPr>
        <w:t>、</w:t>
      </w:r>
      <w:r>
        <w:t>跃进河</w:t>
      </w:r>
      <w:r>
        <w:rPr>
          <w:rFonts w:hint="eastAsia"/>
        </w:rPr>
        <w:t>、</w:t>
      </w:r>
      <w:r>
        <w:t>宁王沟</w:t>
      </w:r>
      <w:r>
        <w:rPr>
          <w:rFonts w:hint="eastAsia"/>
        </w:rPr>
        <w:t>、</w:t>
      </w:r>
      <w:r>
        <w:t>相阳沟</w:t>
      </w:r>
      <w:r>
        <w:rPr>
          <w:rFonts w:hint="eastAsia"/>
        </w:rPr>
        <w:t>、东</w:t>
      </w:r>
      <w:r>
        <w:t>相阳沟</w:t>
      </w:r>
      <w:r>
        <w:rPr>
          <w:rFonts w:hint="eastAsia"/>
        </w:rPr>
        <w:t>等6条黑臭水体整治已初见成效，水质明显好转。</w:t>
      </w:r>
    </w:p>
    <w:p>
      <w:pPr>
        <w:ind w:firstLine="560"/>
        <w:rPr>
          <w:szCs w:val="28"/>
        </w:rPr>
      </w:pPr>
      <w:r>
        <w:rPr>
          <w:rFonts w:hint="eastAsia"/>
          <w:szCs w:val="28"/>
        </w:rPr>
        <w:t>市、区级财政在每年的预算中安排资金，专项用于节水宣传、节水表彰奖励、节水科研、节水技术改造、节水器具推广、城市再生水利用、节水型企业、单位和节水型小区创建及节水示范性工程建设等。</w:t>
      </w:r>
    </w:p>
    <w:p>
      <w:pPr>
        <w:pStyle w:val="4"/>
      </w:pPr>
      <w:bookmarkStart w:id="134" w:name="_Toc531180069"/>
      <w:bookmarkStart w:id="135" w:name="_Toc8032544"/>
      <w:r>
        <w:rPr>
          <w:rFonts w:hint="eastAsia"/>
        </w:rPr>
        <w:t>2.6.4加强节水宣传教育，提高公民节水意识</w:t>
      </w:r>
      <w:bookmarkEnd w:id="134"/>
      <w:bookmarkEnd w:id="135"/>
    </w:p>
    <w:p>
      <w:pPr>
        <w:ind w:firstLine="560"/>
      </w:pPr>
      <w:bookmarkStart w:id="136" w:name="_Toc531180070"/>
      <w:bookmarkStart w:id="137" w:name="_Toc514062499"/>
      <w:bookmarkStart w:id="138" w:name="_Toc218"/>
      <w:bookmarkStart w:id="139" w:name="_Toc397599324"/>
      <w:r>
        <w:t>淮北市自成立</w:t>
      </w:r>
      <w:r>
        <w:rPr>
          <w:rFonts w:hint="eastAsia"/>
        </w:rPr>
        <w:t>市城市</w:t>
      </w:r>
      <w:r>
        <w:t>节水</w:t>
      </w:r>
      <w:r>
        <w:rPr>
          <w:rFonts w:hint="eastAsia"/>
        </w:rPr>
        <w:t>管理部门</w:t>
      </w:r>
      <w:r>
        <w:t>以来，节水工作全面有条不紊地开展起来。</w:t>
      </w:r>
    </w:p>
    <w:p>
      <w:pPr>
        <w:ind w:firstLine="560"/>
      </w:pPr>
      <w:r>
        <w:t>首先，利用水相关纪念日加大宣传力度，提高民众意识。借助“全国城市节水宣传周”、“世界水日”、“中国水周”活动契机，利用报刊、电台、电视台、网站、微博、微信、简报等方式开展丰富多彩的宣传活动，逐步形成了六位一体的节水宣传格局。同时通过在城区多处摆放宣传台，发放各类节水宣传册；组织开展“节水进社区、进校园”活动，增强广大市民特别是在校学生的节水意识；在公园广场设置节水宣传条幅，设置节水公益宣传广告，让市民在修身养性的同时融入节水的理念。</w:t>
      </w:r>
    </w:p>
    <w:p>
      <w:pPr>
        <w:ind w:firstLine="560"/>
      </w:pPr>
      <w:r>
        <w:t>其次，节水宣传工作同时注意节水宣传场所。节约用水工作宣传注意加大在人多密集的广场、小区等开展节水宣传活动，工作人员通过摆放节水宣传展板、悬挂宣传条幅、设立宣传服务台、发放《从我做起争创国家节水型城市倡议书》及节水宣传资料等形式，向市民宣传国家节水型城市的意义和措施，解答市民咨询问题，介绍节水小知识，号召广大市民用实际行动惜水爱水节水。让市民直观感受到节约用水的重要性，增强节水意识。</w:t>
      </w:r>
    </w:p>
    <w:p>
      <w:pPr>
        <w:ind w:firstLine="560"/>
      </w:pPr>
      <w:r>
        <w:t>再者，也注意对年轻一代节水意识的培养工作。通过循环在市辖区内中小学开展“节水宣传进校园”活动，培养在校学生从小树立节水意识，加强在日常生活中的节约用水。也通过学生向各家庭传递节水思想，扩大节水工作影响范围，促进全社会树立节水意识，促进节约用水的观念在全社会扎根生长。</w:t>
      </w:r>
    </w:p>
    <w:p>
      <w:pPr>
        <w:pStyle w:val="4"/>
      </w:pPr>
      <w:bookmarkStart w:id="140" w:name="_Toc8032545"/>
      <w:r>
        <w:rPr>
          <w:rFonts w:hint="eastAsia"/>
        </w:rPr>
        <w:t>2</w:t>
      </w:r>
      <w:r>
        <w:t>.</w:t>
      </w:r>
      <w:r>
        <w:rPr>
          <w:rFonts w:hint="eastAsia"/>
        </w:rPr>
        <w:t>6</w:t>
      </w:r>
      <w:r>
        <w:t>.5</w:t>
      </w:r>
      <w:r>
        <w:rPr>
          <w:rFonts w:hint="eastAsia"/>
        </w:rPr>
        <w:t>推进器具改造，淘汰落后产品</w:t>
      </w:r>
      <w:bookmarkEnd w:id="136"/>
      <w:bookmarkEnd w:id="140"/>
    </w:p>
    <w:p>
      <w:pPr>
        <w:spacing w:before="120"/>
        <w:ind w:firstLine="560"/>
      </w:pPr>
      <w:r>
        <w:rPr>
          <w:rFonts w:hint="eastAsia"/>
        </w:rPr>
        <w:t>近几年，工商、质检部门对用水器具生产环节、销售市场加强监督管理，确保了生产的用水器具符合国家或相行业标准和要求，同时通过对市场的清理整顿，从源头上禁止销售高耗水、淘汰型用水器具。实行用水器具认证制度，不定期向社会公布“节水型器具名录”和“明令淘汰型用水器具名录”。住建、规划、水务三部门加大了节水型器具推广力度，新建设工程项目必须使用一次性冲洗量在6L及以下的马桶及其他节水型器具；对机关、学校、宾馆、饭店、文化体育设施等公共用水单位的国家明令淘汰型用水器具，强制改造完成。实行阶梯式水价，引导居民用水户主动使用节水型器具或采取其他节水设施。</w:t>
      </w:r>
    </w:p>
    <w:p>
      <w:pPr>
        <w:pStyle w:val="4"/>
      </w:pPr>
      <w:bookmarkStart w:id="141" w:name="_Toc8032546"/>
      <w:bookmarkStart w:id="142" w:name="_Toc531180071"/>
      <w:r>
        <w:rPr>
          <w:rFonts w:hint="eastAsia"/>
        </w:rPr>
        <w:t>2.6.6加强载体建设，奠定创建基础</w:t>
      </w:r>
      <w:bookmarkEnd w:id="141"/>
      <w:bookmarkEnd w:id="142"/>
    </w:p>
    <w:p>
      <w:pPr>
        <w:ind w:firstLine="560"/>
      </w:pPr>
      <w:r>
        <w:rPr>
          <w:rFonts w:hint="eastAsia"/>
        </w:rPr>
        <w:t>自节水工作开展以来，积极鼓励并帮助工业取用水大户进行节水技改，争创节水型企业。截至目前，淮北市已创建</w:t>
      </w:r>
      <w:r>
        <w:t>的省级节水型企业</w:t>
      </w:r>
      <w:r>
        <w:rPr>
          <w:rFonts w:hint="eastAsia"/>
        </w:rPr>
        <w:t>3家，其中大唐淮北发电厂、淮北国安电力有限</w:t>
      </w:r>
      <w:r>
        <w:t>公司为</w:t>
      </w:r>
      <w:r>
        <w:rPr>
          <w:rFonts w:hint="eastAsia"/>
        </w:rPr>
        <w:t>第三批安徽省</w:t>
      </w:r>
      <w:r>
        <w:t>节水型企业</w:t>
      </w:r>
      <w:r>
        <w:rPr>
          <w:rFonts w:hint="eastAsia"/>
        </w:rPr>
        <w:t>，淮北矿业股份有限公司淮北选煤厂</w:t>
      </w:r>
      <w:r>
        <w:t>为</w:t>
      </w:r>
      <w:r>
        <w:rPr>
          <w:rFonts w:hint="eastAsia"/>
        </w:rPr>
        <w:t>第四批安徽省</w:t>
      </w:r>
      <w:r>
        <w:t>节水型企业</w:t>
      </w:r>
      <w:r>
        <w:rPr>
          <w:rFonts w:hint="eastAsia"/>
        </w:rPr>
        <w:t>。</w:t>
      </w:r>
    </w:p>
    <w:p>
      <w:pPr>
        <w:ind w:firstLine="560"/>
      </w:pPr>
      <w:r>
        <w:rPr>
          <w:rFonts w:hint="eastAsia"/>
        </w:rPr>
        <w:t>淮北市非常规水资源利用起步较晚，规模较低，近年来随着认识的深入，非常规水资源的利用也越来越受到各级部门的重视，有关单位、企业等在此方面进行了有效的探索，并建立了一些示范工程，取得了良好的效益，为非常规水资源的推广利用提供了借鉴。</w:t>
      </w:r>
    </w:p>
    <w:p>
      <w:pPr>
        <w:pStyle w:val="4"/>
      </w:pPr>
      <w:bookmarkStart w:id="143" w:name="_Toc531180072"/>
      <w:bookmarkStart w:id="144" w:name="_Toc8032547"/>
      <w:bookmarkStart w:id="145" w:name="_Toc332135731"/>
      <w:r>
        <w:rPr>
          <w:rFonts w:hint="eastAsia"/>
        </w:rPr>
        <w:t>2.6.7探索非常规水资源利用，加强海绵城市建设</w:t>
      </w:r>
      <w:bookmarkEnd w:id="143"/>
      <w:bookmarkEnd w:id="144"/>
    </w:p>
    <w:bookmarkEnd w:id="145"/>
    <w:p>
      <w:pPr>
        <w:ind w:firstLine="560"/>
      </w:pPr>
      <w:r>
        <w:rPr>
          <w:rFonts w:hint="eastAsia"/>
        </w:rPr>
        <w:t>全面贯彻“海绵城市”建设理念。海绵城市建设是一项系统工程，其设计目标涵盖径流总量控制、内涝削减、面源污染控制、合流制溢流雨水控制、水资源及末端水体治理等多个方面。根据《海绵城市建设技术指南—低影响开发雨水系统构建（试行）》和《海绵城市建设绩效评价考核办法》的要求，从全过程控制海绵城市建设，构建指标控制体系。</w:t>
      </w:r>
    </w:p>
    <w:p>
      <w:pPr>
        <w:ind w:firstLine="560"/>
      </w:pPr>
      <w:r>
        <w:rPr>
          <w:rFonts w:hint="eastAsia"/>
        </w:rPr>
        <w:t>淮北雨水资源化主要以分散利用为主，例如：市质量技术监督局自建雨水储存池用于建筑外部环境保洁和绿化浇灌。淮北工业与艺术学校建设了雨水收集利用系统，收集雨水供绿化及教职工洗车等用途。淮北市首府小区2014年投入63万元建立了雨水收集系统，用于道路及景观绿化浇洒等用途。</w:t>
      </w:r>
    </w:p>
    <w:p>
      <w:pPr>
        <w:pStyle w:val="4"/>
      </w:pPr>
      <w:bookmarkStart w:id="146" w:name="_Toc531180073"/>
      <w:bookmarkStart w:id="147" w:name="_Toc8032548"/>
      <w:r>
        <w:rPr>
          <w:rFonts w:hint="eastAsia"/>
        </w:rPr>
        <w:t>2.6.8加强计划用水和定额管理</w:t>
      </w:r>
      <w:bookmarkEnd w:id="146"/>
      <w:bookmarkEnd w:id="147"/>
    </w:p>
    <w:p>
      <w:pPr>
        <w:spacing w:before="120"/>
        <w:ind w:firstLine="560"/>
      </w:pPr>
      <w:r>
        <w:rPr>
          <w:rFonts w:hint="eastAsia"/>
        </w:rPr>
        <w:t>在不断完善用水定额的基础上，继续对非居民用水单位实行定额计划用水管理，超定额计划用水的收取累进加价水费，促使各非居民用水单位切实加强用水节水管理，不断提高水资源综合利用效率。</w:t>
      </w:r>
    </w:p>
    <w:p>
      <w:pPr>
        <w:pStyle w:val="4"/>
      </w:pPr>
      <w:bookmarkStart w:id="148" w:name="_Toc531180074"/>
      <w:bookmarkStart w:id="149" w:name="_Toc8032549"/>
      <w:r>
        <w:rPr>
          <w:rFonts w:hint="eastAsia"/>
        </w:rPr>
        <w:t>2.6.9完善价格机制，加强用水管理</w:t>
      </w:r>
      <w:bookmarkEnd w:id="148"/>
      <w:bookmarkEnd w:id="149"/>
    </w:p>
    <w:p>
      <w:pPr>
        <w:ind w:firstLine="560"/>
      </w:pPr>
      <w:bookmarkStart w:id="150" w:name="_Toc531180075"/>
      <w:r>
        <w:t>1、计划用水与定额管理</w:t>
      </w:r>
    </w:p>
    <w:p>
      <w:pPr>
        <w:ind w:firstLine="560"/>
      </w:pPr>
      <w:r>
        <w:t>根据统计数据显示，淮北市城区用水主要分为生活用水、工业用水，生活用水包括零售业、住宿业、餐饮业、居民服务业、其他服务业、教育、卫生、广播电视、电影和音响、体育、娱乐业、国家机关及社会团体、基层群众自治组织用水等；工业用水包括</w:t>
      </w:r>
      <w:r>
        <w:rPr>
          <w:rFonts w:hint="eastAsia"/>
        </w:rPr>
        <w:t>煤炭开采和洗选业、火力发电、</w:t>
      </w:r>
      <w:r>
        <w:t>饮料、食品制造、通用设备制造、金属制品以及非金属制品等行业用水。根据“</w:t>
      </w:r>
      <w:r>
        <w:rPr>
          <w:rFonts w:hint="eastAsia"/>
        </w:rPr>
        <w:t>2018淮北统计年鉴</w:t>
      </w:r>
      <w:r>
        <w:t>”显示， 201</w:t>
      </w:r>
      <w:r>
        <w:rPr>
          <w:rFonts w:hint="eastAsia"/>
        </w:rPr>
        <w:t>7</w:t>
      </w:r>
      <w:r>
        <w:t>年淮北市城市用水量（新取水量）</w:t>
      </w:r>
      <w:r>
        <w:rPr>
          <w:rFonts w:hint="eastAsia"/>
        </w:rPr>
        <w:t>5553.7</w:t>
      </w:r>
      <w:r>
        <w:t>万立方米，其中公共供水量</w:t>
      </w:r>
      <w:r>
        <w:rPr>
          <w:rFonts w:hint="eastAsia"/>
        </w:rPr>
        <w:t>3541</w:t>
      </w:r>
      <w:r>
        <w:t>万立方米，自建设施供水量</w:t>
      </w:r>
      <w:r>
        <w:rPr>
          <w:rFonts w:hint="eastAsia"/>
        </w:rPr>
        <w:t>2012.7</w:t>
      </w:r>
      <w:r>
        <w:t>万立方米，公共供水用水量比率占</w:t>
      </w:r>
      <w:r>
        <w:rPr>
          <w:rFonts w:hint="eastAsia"/>
        </w:rPr>
        <w:t>63.76</w:t>
      </w:r>
      <w:r>
        <w:t>%。同时</w:t>
      </w:r>
      <w:r>
        <w:rPr>
          <w:rFonts w:hint="eastAsia"/>
        </w:rPr>
        <w:t>淮北</w:t>
      </w:r>
      <w:r>
        <w:t>市</w:t>
      </w:r>
      <w:r>
        <w:rPr>
          <w:rFonts w:hint="eastAsia"/>
        </w:rPr>
        <w:t>即将修订出台</w:t>
      </w:r>
      <w:r>
        <w:t>的</w:t>
      </w:r>
      <w:r>
        <w:rPr>
          <w:rFonts w:hint="eastAsia"/>
        </w:rPr>
        <w:t>《淮北市城市节约用水管理办法》</w:t>
      </w:r>
      <w:r>
        <w:t>要求：城市综合管理部门将用水量大的单位列为计划用水户，建立用水档案，并根据用水定额和水量分配方案，安排计划用水户的用水计划，并报市政府批准后执行；计划用水户超计划用水实行加价收费，</w:t>
      </w:r>
      <w:r>
        <w:rPr>
          <w:spacing w:val="17"/>
        </w:rPr>
        <w:t>超计划用水50％以下的（不含50％），超过部分按标准水价的1—2倍收费；超计划用水50％以上的，超过部分按标准水价的3—5倍收费；连续6个月超计划用水50％以上的，超过部分按标准水价的5—8倍收费，并可以采取限制供水措施。</w:t>
      </w:r>
      <w:r>
        <w:t>确保公共供水的非居民计划用水率不低于90%。</w:t>
      </w:r>
    </w:p>
    <w:p>
      <w:pPr>
        <w:pStyle w:val="16"/>
        <w:kinsoku w:val="0"/>
        <w:overflowPunct w:val="0"/>
        <w:spacing w:line="240" w:lineRule="auto"/>
        <w:ind w:firstLine="516"/>
        <w:jc w:val="center"/>
        <w:rPr>
          <w:rFonts w:cs="Times New Roman"/>
          <w:b/>
          <w:spacing w:val="17"/>
          <w:sz w:val="24"/>
        </w:rPr>
      </w:pPr>
      <w:r>
        <w:rPr>
          <w:rFonts w:cs="Times New Roman"/>
          <w:b/>
          <w:spacing w:val="17"/>
          <w:sz w:val="24"/>
        </w:rPr>
        <w:t>表</w:t>
      </w:r>
      <w:r>
        <w:rPr>
          <w:rFonts w:hint="eastAsia" w:cs="Times New Roman"/>
          <w:b/>
          <w:spacing w:val="17"/>
          <w:sz w:val="24"/>
        </w:rPr>
        <w:t>2</w:t>
      </w:r>
      <w:r>
        <w:rPr>
          <w:rFonts w:cs="Times New Roman"/>
          <w:b/>
          <w:spacing w:val="17"/>
          <w:sz w:val="24"/>
        </w:rPr>
        <w:t>-</w:t>
      </w:r>
      <w:r>
        <w:rPr>
          <w:rFonts w:hint="eastAsia" w:cs="Times New Roman"/>
          <w:b/>
          <w:spacing w:val="17"/>
          <w:sz w:val="24"/>
        </w:rPr>
        <w:t>21</w:t>
      </w:r>
      <w:r>
        <w:rPr>
          <w:rFonts w:cs="Times New Roman"/>
          <w:b/>
          <w:spacing w:val="17"/>
          <w:sz w:val="24"/>
        </w:rPr>
        <w:t xml:space="preserve">   淮北市</w:t>
      </w:r>
      <w:r>
        <w:rPr>
          <w:rFonts w:hint="eastAsia" w:cs="Times New Roman"/>
          <w:b/>
          <w:spacing w:val="17"/>
          <w:sz w:val="24"/>
        </w:rPr>
        <w:t>主要</w:t>
      </w:r>
      <w:r>
        <w:rPr>
          <w:rFonts w:cs="Times New Roman"/>
          <w:b/>
          <w:spacing w:val="17"/>
          <w:sz w:val="24"/>
        </w:rPr>
        <w:t>工业企业用水量一览表</w:t>
      </w:r>
      <w:r>
        <w:rPr>
          <w:rFonts w:hint="eastAsia" w:cs="Times New Roman"/>
          <w:b/>
          <w:spacing w:val="17"/>
          <w:sz w:val="24"/>
        </w:rPr>
        <w:t>（自备水）</w:t>
      </w:r>
    </w:p>
    <w:tbl>
      <w:tblPr>
        <w:tblStyle w:val="39"/>
        <w:tblW w:w="9323" w:type="dxa"/>
        <w:jc w:val="center"/>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108" w:type="dxa"/>
          <w:bottom w:w="0" w:type="dxa"/>
          <w:right w:w="108" w:type="dxa"/>
        </w:tblCellMar>
      </w:tblPr>
      <w:tblGrid>
        <w:gridCol w:w="1385"/>
        <w:gridCol w:w="1134"/>
        <w:gridCol w:w="4034"/>
        <w:gridCol w:w="2770"/>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32" w:hRule="atLeast"/>
          <w:jc w:val="center"/>
        </w:trPr>
        <w:tc>
          <w:tcPr>
            <w:tcW w:w="1385" w:type="dxa"/>
            <w:vMerge w:val="restart"/>
            <w:vAlign w:val="center"/>
          </w:tcPr>
          <w:p>
            <w:pPr>
              <w:pStyle w:val="72"/>
              <w:spacing w:line="276" w:lineRule="auto"/>
              <w:rPr>
                <w:szCs w:val="21"/>
                <w:lang w:val="ru-RU"/>
              </w:rPr>
            </w:pPr>
            <w:r>
              <w:rPr>
                <w:rFonts w:hint="eastAsia"/>
                <w:szCs w:val="21"/>
                <w:lang w:val="ru-RU"/>
              </w:rPr>
              <w:t>行政区</w:t>
            </w:r>
          </w:p>
        </w:tc>
        <w:tc>
          <w:tcPr>
            <w:tcW w:w="1134" w:type="dxa"/>
            <w:vMerge w:val="restart"/>
            <w:vAlign w:val="center"/>
          </w:tcPr>
          <w:p>
            <w:pPr>
              <w:pStyle w:val="72"/>
              <w:spacing w:line="276" w:lineRule="auto"/>
              <w:rPr>
                <w:szCs w:val="21"/>
              </w:rPr>
            </w:pPr>
            <w:r>
              <w:rPr>
                <w:rFonts w:hint="eastAsia"/>
                <w:szCs w:val="21"/>
              </w:rPr>
              <w:t>序号</w:t>
            </w:r>
          </w:p>
        </w:tc>
        <w:tc>
          <w:tcPr>
            <w:tcW w:w="4034" w:type="dxa"/>
            <w:vMerge w:val="restart"/>
            <w:vAlign w:val="center"/>
          </w:tcPr>
          <w:p>
            <w:pPr>
              <w:pStyle w:val="72"/>
              <w:spacing w:line="276" w:lineRule="auto"/>
              <w:rPr>
                <w:szCs w:val="21"/>
                <w:lang w:val="ru-RU"/>
              </w:rPr>
            </w:pPr>
            <w:r>
              <w:rPr>
                <w:rFonts w:hint="eastAsia"/>
                <w:szCs w:val="21"/>
                <w:lang w:val="ru-RU"/>
              </w:rPr>
              <w:t>单位名称</w:t>
            </w:r>
          </w:p>
        </w:tc>
        <w:tc>
          <w:tcPr>
            <w:tcW w:w="2770" w:type="dxa"/>
            <w:vMerge w:val="restart"/>
            <w:vAlign w:val="center"/>
          </w:tcPr>
          <w:p>
            <w:pPr>
              <w:pStyle w:val="72"/>
              <w:spacing w:line="276" w:lineRule="auto"/>
              <w:rPr>
                <w:szCs w:val="21"/>
                <w:lang w:val="ru-RU"/>
              </w:rPr>
            </w:pPr>
            <w:r>
              <w:rPr>
                <w:rFonts w:hint="eastAsia"/>
                <w:szCs w:val="21"/>
                <w:lang w:val="ru-RU"/>
              </w:rPr>
              <w:t>2017年用水量（万m³）</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32" w:hRule="atLeast"/>
          <w:jc w:val="center"/>
        </w:trPr>
        <w:tc>
          <w:tcPr>
            <w:tcW w:w="1385" w:type="dxa"/>
            <w:vMerge w:val="continue"/>
            <w:vAlign w:val="center"/>
          </w:tcPr>
          <w:p>
            <w:pPr>
              <w:pStyle w:val="72"/>
              <w:spacing w:line="276" w:lineRule="auto"/>
              <w:rPr>
                <w:szCs w:val="21"/>
                <w:lang w:val="ru-RU"/>
              </w:rPr>
            </w:pPr>
          </w:p>
        </w:tc>
        <w:tc>
          <w:tcPr>
            <w:tcW w:w="1134" w:type="dxa"/>
            <w:vMerge w:val="continue"/>
            <w:vAlign w:val="center"/>
          </w:tcPr>
          <w:p>
            <w:pPr>
              <w:pStyle w:val="72"/>
              <w:spacing w:line="276" w:lineRule="auto"/>
              <w:rPr>
                <w:szCs w:val="21"/>
                <w:lang w:val="ru-RU"/>
              </w:rPr>
            </w:pPr>
          </w:p>
        </w:tc>
        <w:tc>
          <w:tcPr>
            <w:tcW w:w="4034" w:type="dxa"/>
            <w:vMerge w:val="continue"/>
            <w:vAlign w:val="center"/>
          </w:tcPr>
          <w:p>
            <w:pPr>
              <w:pStyle w:val="72"/>
              <w:spacing w:line="276" w:lineRule="auto"/>
              <w:rPr>
                <w:szCs w:val="21"/>
                <w:lang w:val="ru-RU"/>
              </w:rPr>
            </w:pPr>
          </w:p>
        </w:tc>
        <w:tc>
          <w:tcPr>
            <w:tcW w:w="2770" w:type="dxa"/>
            <w:vMerge w:val="continue"/>
            <w:vAlign w:val="center"/>
          </w:tcPr>
          <w:p>
            <w:pPr>
              <w:pStyle w:val="72"/>
              <w:spacing w:line="276" w:lineRule="auto"/>
              <w:rPr>
                <w:szCs w:val="21"/>
                <w:lang w:val="ru-RU"/>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544" w:hRule="atLeast"/>
          <w:jc w:val="center"/>
        </w:trPr>
        <w:tc>
          <w:tcPr>
            <w:tcW w:w="1385" w:type="dxa"/>
            <w:vAlign w:val="center"/>
          </w:tcPr>
          <w:p>
            <w:pPr>
              <w:pStyle w:val="72"/>
              <w:spacing w:line="276" w:lineRule="auto"/>
              <w:rPr>
                <w:szCs w:val="21"/>
                <w:lang w:val="ru-RU"/>
              </w:rPr>
            </w:pPr>
            <w:r>
              <w:rPr>
                <w:rFonts w:hint="eastAsia"/>
                <w:szCs w:val="21"/>
                <w:lang w:val="ru-RU"/>
              </w:rPr>
              <w:t>杜集区</w:t>
            </w:r>
          </w:p>
        </w:tc>
        <w:tc>
          <w:tcPr>
            <w:tcW w:w="1134" w:type="dxa"/>
            <w:vAlign w:val="center"/>
          </w:tcPr>
          <w:p>
            <w:pPr>
              <w:pStyle w:val="72"/>
              <w:spacing w:line="276" w:lineRule="auto"/>
              <w:rPr>
                <w:szCs w:val="21"/>
                <w:lang w:val="ru-RU"/>
              </w:rPr>
            </w:pPr>
            <w:r>
              <w:rPr>
                <w:rFonts w:hint="eastAsia"/>
                <w:szCs w:val="21"/>
                <w:lang w:val="ru-RU"/>
              </w:rPr>
              <w:t>1</w:t>
            </w:r>
          </w:p>
        </w:tc>
        <w:tc>
          <w:tcPr>
            <w:tcW w:w="4034" w:type="dxa"/>
            <w:vAlign w:val="center"/>
          </w:tcPr>
          <w:p>
            <w:pPr>
              <w:pStyle w:val="72"/>
              <w:spacing w:line="276" w:lineRule="auto"/>
              <w:rPr>
                <w:szCs w:val="21"/>
                <w:lang w:val="ru-RU"/>
              </w:rPr>
            </w:pPr>
            <w:r>
              <w:rPr>
                <w:rFonts w:hint="eastAsia"/>
                <w:szCs w:val="21"/>
                <w:lang w:val="ru-RU"/>
              </w:rPr>
              <w:t>淮北石台矿业有限责任公司</w:t>
            </w:r>
          </w:p>
        </w:tc>
        <w:tc>
          <w:tcPr>
            <w:tcW w:w="2770" w:type="dxa"/>
            <w:vAlign w:val="center"/>
          </w:tcPr>
          <w:p>
            <w:pPr>
              <w:pStyle w:val="72"/>
              <w:spacing w:line="276" w:lineRule="auto"/>
              <w:rPr>
                <w:szCs w:val="21"/>
                <w:lang w:val="ru-RU"/>
              </w:rPr>
            </w:pPr>
            <w:r>
              <w:rPr>
                <w:rFonts w:hint="eastAsia"/>
                <w:szCs w:val="21"/>
                <w:lang w:val="ru-RU"/>
              </w:rPr>
              <w:t>126</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537" w:hRule="atLeast"/>
          <w:jc w:val="center"/>
        </w:trPr>
        <w:tc>
          <w:tcPr>
            <w:tcW w:w="1385" w:type="dxa"/>
            <w:vAlign w:val="center"/>
          </w:tcPr>
          <w:p>
            <w:pPr>
              <w:pStyle w:val="72"/>
              <w:spacing w:line="276" w:lineRule="auto"/>
              <w:rPr>
                <w:szCs w:val="21"/>
                <w:lang w:val="ru-RU"/>
              </w:rPr>
            </w:pPr>
            <w:r>
              <w:rPr>
                <w:rFonts w:hint="eastAsia"/>
                <w:szCs w:val="21"/>
                <w:lang w:val="ru-RU"/>
              </w:rPr>
              <w:t>杜集区</w:t>
            </w:r>
          </w:p>
        </w:tc>
        <w:tc>
          <w:tcPr>
            <w:tcW w:w="1134" w:type="dxa"/>
            <w:vAlign w:val="center"/>
          </w:tcPr>
          <w:p>
            <w:pPr>
              <w:pStyle w:val="72"/>
              <w:spacing w:line="276" w:lineRule="auto"/>
              <w:rPr>
                <w:szCs w:val="21"/>
                <w:lang w:val="ru-RU"/>
              </w:rPr>
            </w:pPr>
            <w:r>
              <w:rPr>
                <w:rFonts w:hint="eastAsia"/>
                <w:szCs w:val="21"/>
                <w:lang w:val="ru-RU"/>
              </w:rPr>
              <w:t>2</w:t>
            </w:r>
          </w:p>
        </w:tc>
        <w:tc>
          <w:tcPr>
            <w:tcW w:w="4034" w:type="dxa"/>
            <w:vAlign w:val="center"/>
          </w:tcPr>
          <w:p>
            <w:pPr>
              <w:pStyle w:val="72"/>
              <w:spacing w:line="276" w:lineRule="auto"/>
              <w:rPr>
                <w:szCs w:val="21"/>
                <w:lang w:val="ru-RU"/>
              </w:rPr>
            </w:pPr>
            <w:r>
              <w:rPr>
                <w:rFonts w:hint="eastAsia"/>
                <w:szCs w:val="21"/>
                <w:lang w:val="ru-RU"/>
              </w:rPr>
              <w:t>淮北矿业相山水泥有限责任公司</w:t>
            </w:r>
          </w:p>
        </w:tc>
        <w:tc>
          <w:tcPr>
            <w:tcW w:w="2770" w:type="dxa"/>
            <w:vAlign w:val="center"/>
          </w:tcPr>
          <w:p>
            <w:pPr>
              <w:pStyle w:val="72"/>
              <w:spacing w:line="276" w:lineRule="auto"/>
              <w:rPr>
                <w:szCs w:val="21"/>
                <w:lang w:val="ru-RU"/>
              </w:rPr>
            </w:pPr>
            <w:r>
              <w:rPr>
                <w:rFonts w:hint="eastAsia"/>
                <w:szCs w:val="21"/>
                <w:lang w:val="ru-RU"/>
              </w:rPr>
              <w:t>156</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32" w:hRule="atLeast"/>
          <w:jc w:val="center"/>
        </w:trPr>
        <w:tc>
          <w:tcPr>
            <w:tcW w:w="1385" w:type="dxa"/>
            <w:vAlign w:val="center"/>
          </w:tcPr>
          <w:p>
            <w:pPr>
              <w:pStyle w:val="72"/>
              <w:spacing w:line="276" w:lineRule="auto"/>
              <w:rPr>
                <w:szCs w:val="21"/>
                <w:lang w:val="ru-RU"/>
              </w:rPr>
            </w:pPr>
            <w:r>
              <w:rPr>
                <w:rFonts w:hint="eastAsia"/>
                <w:szCs w:val="21"/>
                <w:lang w:val="ru-RU"/>
              </w:rPr>
              <w:t>杜集区</w:t>
            </w:r>
          </w:p>
        </w:tc>
        <w:tc>
          <w:tcPr>
            <w:tcW w:w="1134" w:type="dxa"/>
            <w:vAlign w:val="center"/>
          </w:tcPr>
          <w:p>
            <w:pPr>
              <w:pStyle w:val="72"/>
              <w:spacing w:line="276" w:lineRule="auto"/>
              <w:rPr>
                <w:szCs w:val="21"/>
                <w:lang w:val="ru-RU"/>
              </w:rPr>
            </w:pPr>
            <w:r>
              <w:rPr>
                <w:rFonts w:hint="eastAsia"/>
                <w:szCs w:val="21"/>
                <w:lang w:val="ru-RU"/>
              </w:rPr>
              <w:t>3</w:t>
            </w:r>
          </w:p>
        </w:tc>
        <w:tc>
          <w:tcPr>
            <w:tcW w:w="4034" w:type="dxa"/>
            <w:vAlign w:val="center"/>
          </w:tcPr>
          <w:p>
            <w:pPr>
              <w:pStyle w:val="72"/>
              <w:spacing w:line="276" w:lineRule="auto"/>
              <w:rPr>
                <w:szCs w:val="21"/>
                <w:lang w:val="ru-RU"/>
              </w:rPr>
            </w:pPr>
            <w:r>
              <w:rPr>
                <w:rFonts w:hint="eastAsia"/>
                <w:szCs w:val="21"/>
                <w:lang w:val="ru-RU"/>
              </w:rPr>
              <w:t>淮北众城水泥有限责任公司</w:t>
            </w:r>
          </w:p>
        </w:tc>
        <w:tc>
          <w:tcPr>
            <w:tcW w:w="2770" w:type="dxa"/>
            <w:vAlign w:val="center"/>
          </w:tcPr>
          <w:p>
            <w:pPr>
              <w:pStyle w:val="72"/>
              <w:spacing w:line="276" w:lineRule="auto"/>
              <w:rPr>
                <w:szCs w:val="21"/>
                <w:lang w:val="ru-RU"/>
              </w:rPr>
            </w:pPr>
            <w:r>
              <w:rPr>
                <w:rFonts w:hint="eastAsia"/>
                <w:szCs w:val="21"/>
                <w:lang w:val="ru-RU"/>
              </w:rPr>
              <w:t>83</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32" w:hRule="atLeast"/>
          <w:jc w:val="center"/>
        </w:trPr>
        <w:tc>
          <w:tcPr>
            <w:tcW w:w="1385" w:type="dxa"/>
            <w:vAlign w:val="center"/>
          </w:tcPr>
          <w:p>
            <w:pPr>
              <w:pStyle w:val="72"/>
              <w:spacing w:line="276" w:lineRule="auto"/>
              <w:rPr>
                <w:szCs w:val="21"/>
                <w:lang w:val="ru-RU"/>
              </w:rPr>
            </w:pPr>
            <w:r>
              <w:rPr>
                <w:rFonts w:hint="eastAsia"/>
                <w:szCs w:val="21"/>
                <w:lang w:val="ru-RU"/>
              </w:rPr>
              <w:t>杜集区</w:t>
            </w:r>
          </w:p>
        </w:tc>
        <w:tc>
          <w:tcPr>
            <w:tcW w:w="1134" w:type="dxa"/>
            <w:vAlign w:val="center"/>
          </w:tcPr>
          <w:p>
            <w:pPr>
              <w:pStyle w:val="72"/>
              <w:spacing w:line="276" w:lineRule="auto"/>
              <w:rPr>
                <w:szCs w:val="21"/>
                <w:lang w:val="ru-RU"/>
              </w:rPr>
            </w:pPr>
            <w:r>
              <w:rPr>
                <w:rFonts w:hint="eastAsia"/>
                <w:szCs w:val="21"/>
                <w:lang w:val="ru-RU"/>
              </w:rPr>
              <w:t>4</w:t>
            </w:r>
          </w:p>
        </w:tc>
        <w:tc>
          <w:tcPr>
            <w:tcW w:w="4034" w:type="dxa"/>
            <w:vAlign w:val="center"/>
          </w:tcPr>
          <w:p>
            <w:pPr>
              <w:pStyle w:val="72"/>
              <w:spacing w:line="276" w:lineRule="auto"/>
              <w:rPr>
                <w:szCs w:val="21"/>
                <w:lang w:val="ru-RU"/>
              </w:rPr>
            </w:pPr>
            <w:r>
              <w:rPr>
                <w:rFonts w:hint="eastAsia"/>
                <w:szCs w:val="21"/>
                <w:lang w:val="ru-RU"/>
              </w:rPr>
              <w:t>淮北矿业股份有限公司朱庄煤矿</w:t>
            </w:r>
          </w:p>
        </w:tc>
        <w:tc>
          <w:tcPr>
            <w:tcW w:w="2770" w:type="dxa"/>
            <w:vAlign w:val="center"/>
          </w:tcPr>
          <w:p>
            <w:pPr>
              <w:pStyle w:val="72"/>
              <w:spacing w:line="276" w:lineRule="auto"/>
              <w:rPr>
                <w:szCs w:val="21"/>
                <w:lang w:val="ru-RU"/>
              </w:rPr>
            </w:pPr>
            <w:r>
              <w:rPr>
                <w:rFonts w:hint="eastAsia"/>
                <w:szCs w:val="21"/>
                <w:lang w:val="ru-RU"/>
              </w:rPr>
              <w:t>38</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32" w:hRule="atLeast"/>
          <w:jc w:val="center"/>
        </w:trPr>
        <w:tc>
          <w:tcPr>
            <w:tcW w:w="1385" w:type="dxa"/>
            <w:vAlign w:val="center"/>
          </w:tcPr>
          <w:p>
            <w:pPr>
              <w:pStyle w:val="72"/>
              <w:spacing w:line="276" w:lineRule="auto"/>
              <w:rPr>
                <w:szCs w:val="21"/>
                <w:lang w:val="ru-RU"/>
              </w:rPr>
            </w:pPr>
            <w:r>
              <w:rPr>
                <w:rFonts w:hint="eastAsia"/>
                <w:szCs w:val="21"/>
                <w:lang w:val="ru-RU"/>
              </w:rPr>
              <w:t>杜集区</w:t>
            </w:r>
          </w:p>
        </w:tc>
        <w:tc>
          <w:tcPr>
            <w:tcW w:w="1134" w:type="dxa"/>
            <w:vAlign w:val="center"/>
          </w:tcPr>
          <w:p>
            <w:pPr>
              <w:pStyle w:val="72"/>
              <w:spacing w:line="276" w:lineRule="auto"/>
              <w:rPr>
                <w:szCs w:val="21"/>
                <w:lang w:val="ru-RU"/>
              </w:rPr>
            </w:pPr>
            <w:r>
              <w:rPr>
                <w:rFonts w:hint="eastAsia"/>
                <w:szCs w:val="21"/>
                <w:lang w:val="ru-RU"/>
              </w:rPr>
              <w:t>5</w:t>
            </w:r>
          </w:p>
        </w:tc>
        <w:tc>
          <w:tcPr>
            <w:tcW w:w="4034" w:type="dxa"/>
            <w:vAlign w:val="center"/>
          </w:tcPr>
          <w:p>
            <w:pPr>
              <w:pStyle w:val="72"/>
              <w:spacing w:line="276" w:lineRule="auto"/>
              <w:rPr>
                <w:szCs w:val="21"/>
                <w:lang w:val="ru-RU"/>
              </w:rPr>
            </w:pPr>
            <w:r>
              <w:rPr>
                <w:rFonts w:hint="eastAsia"/>
                <w:szCs w:val="21"/>
                <w:lang w:val="ru-RU"/>
              </w:rPr>
              <w:t>淮北双龙矿业有限责任公司</w:t>
            </w:r>
          </w:p>
        </w:tc>
        <w:tc>
          <w:tcPr>
            <w:tcW w:w="2770" w:type="dxa"/>
            <w:vAlign w:val="center"/>
          </w:tcPr>
          <w:p>
            <w:pPr>
              <w:pStyle w:val="72"/>
              <w:spacing w:line="276" w:lineRule="auto"/>
              <w:rPr>
                <w:szCs w:val="21"/>
                <w:lang w:val="ru-RU"/>
              </w:rPr>
            </w:pPr>
            <w:r>
              <w:rPr>
                <w:rFonts w:hint="eastAsia"/>
                <w:szCs w:val="21"/>
                <w:lang w:val="ru-RU"/>
              </w:rPr>
              <w:t>56.7</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32" w:hRule="atLeast"/>
          <w:jc w:val="center"/>
        </w:trPr>
        <w:tc>
          <w:tcPr>
            <w:tcW w:w="1385" w:type="dxa"/>
            <w:vAlign w:val="center"/>
          </w:tcPr>
          <w:p>
            <w:pPr>
              <w:pStyle w:val="72"/>
              <w:spacing w:line="276" w:lineRule="auto"/>
              <w:rPr>
                <w:szCs w:val="21"/>
                <w:lang w:val="ru-RU"/>
              </w:rPr>
            </w:pPr>
            <w:r>
              <w:rPr>
                <w:rFonts w:hint="eastAsia"/>
                <w:szCs w:val="21"/>
                <w:lang w:val="ru-RU"/>
              </w:rPr>
              <w:t>杜集区</w:t>
            </w:r>
          </w:p>
        </w:tc>
        <w:tc>
          <w:tcPr>
            <w:tcW w:w="1134" w:type="dxa"/>
            <w:vAlign w:val="center"/>
          </w:tcPr>
          <w:p>
            <w:pPr>
              <w:pStyle w:val="72"/>
              <w:spacing w:line="276" w:lineRule="auto"/>
              <w:rPr>
                <w:szCs w:val="21"/>
                <w:lang w:val="ru-RU"/>
              </w:rPr>
            </w:pPr>
            <w:r>
              <w:rPr>
                <w:rFonts w:hint="eastAsia"/>
                <w:szCs w:val="21"/>
                <w:lang w:val="ru-RU"/>
              </w:rPr>
              <w:t>6</w:t>
            </w:r>
          </w:p>
        </w:tc>
        <w:tc>
          <w:tcPr>
            <w:tcW w:w="4034" w:type="dxa"/>
            <w:vAlign w:val="center"/>
          </w:tcPr>
          <w:p>
            <w:pPr>
              <w:pStyle w:val="72"/>
              <w:spacing w:line="276" w:lineRule="auto"/>
              <w:rPr>
                <w:szCs w:val="21"/>
                <w:lang w:val="ru-RU"/>
              </w:rPr>
            </w:pPr>
            <w:r>
              <w:rPr>
                <w:rFonts w:hint="eastAsia"/>
                <w:szCs w:val="21"/>
                <w:lang w:val="ru-RU"/>
              </w:rPr>
              <w:t>淮北朔里矿业有限责任公司</w:t>
            </w:r>
          </w:p>
        </w:tc>
        <w:tc>
          <w:tcPr>
            <w:tcW w:w="2770" w:type="dxa"/>
            <w:vAlign w:val="center"/>
          </w:tcPr>
          <w:p>
            <w:pPr>
              <w:pStyle w:val="72"/>
              <w:spacing w:line="276" w:lineRule="auto"/>
              <w:rPr>
                <w:szCs w:val="21"/>
                <w:lang w:val="ru-RU"/>
              </w:rPr>
            </w:pPr>
            <w:r>
              <w:rPr>
                <w:rFonts w:hint="eastAsia"/>
                <w:szCs w:val="21"/>
                <w:lang w:val="ru-RU"/>
              </w:rPr>
              <w:t>44</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32" w:hRule="atLeast"/>
          <w:jc w:val="center"/>
        </w:trPr>
        <w:tc>
          <w:tcPr>
            <w:tcW w:w="1385" w:type="dxa"/>
            <w:vAlign w:val="center"/>
          </w:tcPr>
          <w:p>
            <w:pPr>
              <w:pStyle w:val="72"/>
              <w:spacing w:line="276" w:lineRule="auto"/>
              <w:rPr>
                <w:szCs w:val="21"/>
                <w:lang w:val="ru-RU"/>
              </w:rPr>
            </w:pPr>
            <w:r>
              <w:rPr>
                <w:rFonts w:hint="eastAsia"/>
                <w:szCs w:val="21"/>
                <w:lang w:val="ru-RU"/>
              </w:rPr>
              <w:t>相山区</w:t>
            </w:r>
          </w:p>
        </w:tc>
        <w:tc>
          <w:tcPr>
            <w:tcW w:w="1134" w:type="dxa"/>
            <w:vAlign w:val="center"/>
          </w:tcPr>
          <w:p>
            <w:pPr>
              <w:pStyle w:val="72"/>
              <w:spacing w:line="276" w:lineRule="auto"/>
              <w:rPr>
                <w:szCs w:val="21"/>
                <w:lang w:val="ru-RU"/>
              </w:rPr>
            </w:pPr>
            <w:r>
              <w:rPr>
                <w:rFonts w:hint="eastAsia"/>
                <w:szCs w:val="21"/>
                <w:lang w:val="ru-RU"/>
              </w:rPr>
              <w:t>7</w:t>
            </w:r>
          </w:p>
        </w:tc>
        <w:tc>
          <w:tcPr>
            <w:tcW w:w="4034" w:type="dxa"/>
            <w:vAlign w:val="center"/>
          </w:tcPr>
          <w:p>
            <w:pPr>
              <w:pStyle w:val="72"/>
              <w:spacing w:line="276" w:lineRule="auto"/>
              <w:rPr>
                <w:szCs w:val="21"/>
                <w:lang w:val="ru-RU"/>
              </w:rPr>
            </w:pPr>
            <w:r>
              <w:rPr>
                <w:rFonts w:hint="eastAsia"/>
                <w:szCs w:val="21"/>
                <w:lang w:val="ru-RU"/>
              </w:rPr>
              <w:t>新光集团淮北刘东煤矿</w:t>
            </w:r>
          </w:p>
        </w:tc>
        <w:tc>
          <w:tcPr>
            <w:tcW w:w="2770" w:type="dxa"/>
            <w:vAlign w:val="center"/>
          </w:tcPr>
          <w:p>
            <w:pPr>
              <w:pStyle w:val="72"/>
              <w:spacing w:line="276" w:lineRule="auto"/>
              <w:rPr>
                <w:szCs w:val="21"/>
                <w:lang w:val="ru-RU"/>
              </w:rPr>
            </w:pPr>
            <w:r>
              <w:rPr>
                <w:rFonts w:hint="eastAsia"/>
                <w:szCs w:val="21"/>
                <w:lang w:val="ru-RU"/>
              </w:rPr>
              <w:t>9.4</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32" w:hRule="atLeast"/>
          <w:jc w:val="center"/>
        </w:trPr>
        <w:tc>
          <w:tcPr>
            <w:tcW w:w="1385" w:type="dxa"/>
            <w:vAlign w:val="center"/>
          </w:tcPr>
          <w:p>
            <w:pPr>
              <w:pStyle w:val="72"/>
              <w:spacing w:line="276" w:lineRule="auto"/>
              <w:rPr>
                <w:szCs w:val="21"/>
                <w:lang w:val="ru-RU"/>
              </w:rPr>
            </w:pPr>
            <w:r>
              <w:rPr>
                <w:rFonts w:hint="eastAsia"/>
                <w:szCs w:val="21"/>
                <w:lang w:val="ru-RU"/>
              </w:rPr>
              <w:t>相山区</w:t>
            </w:r>
          </w:p>
        </w:tc>
        <w:tc>
          <w:tcPr>
            <w:tcW w:w="1134" w:type="dxa"/>
            <w:vAlign w:val="center"/>
          </w:tcPr>
          <w:p>
            <w:pPr>
              <w:pStyle w:val="72"/>
              <w:spacing w:line="276" w:lineRule="auto"/>
              <w:rPr>
                <w:szCs w:val="21"/>
                <w:lang w:val="ru-RU"/>
              </w:rPr>
            </w:pPr>
            <w:r>
              <w:rPr>
                <w:rFonts w:hint="eastAsia"/>
                <w:szCs w:val="21"/>
                <w:lang w:val="ru-RU"/>
              </w:rPr>
              <w:t>8</w:t>
            </w:r>
          </w:p>
        </w:tc>
        <w:tc>
          <w:tcPr>
            <w:tcW w:w="4034" w:type="dxa"/>
            <w:vAlign w:val="center"/>
          </w:tcPr>
          <w:p>
            <w:pPr>
              <w:pStyle w:val="72"/>
              <w:spacing w:line="276" w:lineRule="auto"/>
              <w:rPr>
                <w:szCs w:val="21"/>
                <w:lang w:val="ru-RU"/>
              </w:rPr>
            </w:pPr>
            <w:r>
              <w:rPr>
                <w:rFonts w:hint="eastAsia"/>
                <w:szCs w:val="21"/>
                <w:lang w:val="ru-RU"/>
              </w:rPr>
              <w:t>大唐淮北发电厂（8#）</w:t>
            </w:r>
          </w:p>
        </w:tc>
        <w:tc>
          <w:tcPr>
            <w:tcW w:w="2770" w:type="dxa"/>
            <w:vAlign w:val="center"/>
          </w:tcPr>
          <w:p>
            <w:pPr>
              <w:pStyle w:val="72"/>
              <w:spacing w:line="276" w:lineRule="auto"/>
              <w:rPr>
                <w:szCs w:val="21"/>
                <w:lang w:val="ru-RU"/>
              </w:rPr>
            </w:pPr>
            <w:r>
              <w:rPr>
                <w:rFonts w:hint="eastAsia"/>
                <w:szCs w:val="21"/>
                <w:lang w:val="ru-RU"/>
              </w:rPr>
              <w:t>425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32" w:hRule="atLeast"/>
          <w:jc w:val="center"/>
        </w:trPr>
        <w:tc>
          <w:tcPr>
            <w:tcW w:w="1385" w:type="dxa"/>
            <w:vAlign w:val="center"/>
          </w:tcPr>
          <w:p>
            <w:pPr>
              <w:pStyle w:val="72"/>
              <w:spacing w:line="276" w:lineRule="auto"/>
              <w:rPr>
                <w:szCs w:val="21"/>
                <w:lang w:val="ru-RU"/>
              </w:rPr>
            </w:pPr>
            <w:r>
              <w:rPr>
                <w:rFonts w:hint="eastAsia"/>
                <w:szCs w:val="21"/>
                <w:lang w:val="ru-RU"/>
              </w:rPr>
              <w:t>相山区</w:t>
            </w:r>
          </w:p>
        </w:tc>
        <w:tc>
          <w:tcPr>
            <w:tcW w:w="1134" w:type="dxa"/>
            <w:vAlign w:val="center"/>
          </w:tcPr>
          <w:p>
            <w:pPr>
              <w:pStyle w:val="72"/>
              <w:spacing w:line="276" w:lineRule="auto"/>
              <w:rPr>
                <w:szCs w:val="21"/>
                <w:lang w:val="ru-RU"/>
              </w:rPr>
            </w:pPr>
            <w:r>
              <w:rPr>
                <w:rFonts w:hint="eastAsia"/>
                <w:szCs w:val="21"/>
                <w:lang w:val="ru-RU"/>
              </w:rPr>
              <w:t>9</w:t>
            </w:r>
          </w:p>
        </w:tc>
        <w:tc>
          <w:tcPr>
            <w:tcW w:w="4034" w:type="dxa"/>
            <w:vAlign w:val="center"/>
          </w:tcPr>
          <w:p>
            <w:pPr>
              <w:pStyle w:val="72"/>
              <w:spacing w:line="276" w:lineRule="auto"/>
              <w:rPr>
                <w:szCs w:val="21"/>
                <w:lang w:val="ru-RU"/>
              </w:rPr>
            </w:pPr>
            <w:r>
              <w:rPr>
                <w:rFonts w:hint="eastAsia"/>
                <w:szCs w:val="21"/>
                <w:lang w:val="ru-RU"/>
              </w:rPr>
              <w:t>安徽金冠玻璃有限责任公司</w:t>
            </w:r>
          </w:p>
        </w:tc>
        <w:tc>
          <w:tcPr>
            <w:tcW w:w="2770" w:type="dxa"/>
            <w:vAlign w:val="center"/>
          </w:tcPr>
          <w:p>
            <w:pPr>
              <w:pStyle w:val="72"/>
              <w:spacing w:line="276" w:lineRule="auto"/>
              <w:rPr>
                <w:szCs w:val="21"/>
                <w:lang w:val="ru-RU"/>
              </w:rPr>
            </w:pPr>
            <w:r>
              <w:rPr>
                <w:rFonts w:hint="eastAsia"/>
                <w:szCs w:val="21"/>
                <w:lang w:val="ru-RU"/>
              </w:rPr>
              <w:t>6</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32" w:hRule="atLeast"/>
          <w:jc w:val="center"/>
        </w:trPr>
        <w:tc>
          <w:tcPr>
            <w:tcW w:w="1385" w:type="dxa"/>
            <w:vAlign w:val="center"/>
          </w:tcPr>
          <w:p>
            <w:pPr>
              <w:pStyle w:val="72"/>
              <w:spacing w:line="276" w:lineRule="auto"/>
              <w:rPr>
                <w:szCs w:val="21"/>
                <w:lang w:val="ru-RU"/>
              </w:rPr>
            </w:pPr>
            <w:r>
              <w:rPr>
                <w:rFonts w:hint="eastAsia"/>
                <w:szCs w:val="21"/>
                <w:lang w:val="ru-RU"/>
              </w:rPr>
              <w:t>相山区</w:t>
            </w:r>
          </w:p>
        </w:tc>
        <w:tc>
          <w:tcPr>
            <w:tcW w:w="1134" w:type="dxa"/>
            <w:vAlign w:val="center"/>
          </w:tcPr>
          <w:p>
            <w:pPr>
              <w:pStyle w:val="72"/>
              <w:spacing w:line="276" w:lineRule="auto"/>
              <w:rPr>
                <w:szCs w:val="21"/>
              </w:rPr>
            </w:pPr>
            <w:r>
              <w:rPr>
                <w:rFonts w:hint="eastAsia"/>
                <w:szCs w:val="21"/>
              </w:rPr>
              <w:t>10</w:t>
            </w:r>
          </w:p>
        </w:tc>
        <w:tc>
          <w:tcPr>
            <w:tcW w:w="4034" w:type="dxa"/>
            <w:vAlign w:val="center"/>
          </w:tcPr>
          <w:p>
            <w:pPr>
              <w:pStyle w:val="72"/>
              <w:spacing w:line="276" w:lineRule="auto"/>
              <w:rPr>
                <w:szCs w:val="21"/>
                <w:lang w:val="ru-RU"/>
              </w:rPr>
            </w:pPr>
            <w:r>
              <w:rPr>
                <w:rFonts w:hint="eastAsia"/>
                <w:szCs w:val="21"/>
                <w:lang w:val="ru-RU"/>
              </w:rPr>
              <w:t>安徽雷鸣科化股份有限公司</w:t>
            </w:r>
          </w:p>
        </w:tc>
        <w:tc>
          <w:tcPr>
            <w:tcW w:w="2770" w:type="dxa"/>
            <w:vAlign w:val="center"/>
          </w:tcPr>
          <w:p>
            <w:pPr>
              <w:pStyle w:val="72"/>
              <w:spacing w:line="276" w:lineRule="auto"/>
              <w:rPr>
                <w:szCs w:val="21"/>
              </w:rPr>
            </w:pPr>
            <w:r>
              <w:rPr>
                <w:rFonts w:hint="eastAsia"/>
                <w:szCs w:val="21"/>
              </w:rPr>
              <w:t>7.7</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32" w:hRule="atLeast"/>
          <w:jc w:val="center"/>
        </w:trPr>
        <w:tc>
          <w:tcPr>
            <w:tcW w:w="1385" w:type="dxa"/>
            <w:vAlign w:val="center"/>
          </w:tcPr>
          <w:p>
            <w:pPr>
              <w:pStyle w:val="72"/>
              <w:spacing w:line="276" w:lineRule="auto"/>
              <w:rPr>
                <w:szCs w:val="21"/>
                <w:lang w:val="ru-RU"/>
              </w:rPr>
            </w:pPr>
            <w:r>
              <w:rPr>
                <w:rFonts w:hint="eastAsia"/>
                <w:szCs w:val="21"/>
                <w:lang w:val="ru-RU"/>
              </w:rPr>
              <w:t>相山区</w:t>
            </w:r>
          </w:p>
        </w:tc>
        <w:tc>
          <w:tcPr>
            <w:tcW w:w="1134" w:type="dxa"/>
            <w:vAlign w:val="center"/>
          </w:tcPr>
          <w:p>
            <w:pPr>
              <w:pStyle w:val="72"/>
              <w:spacing w:line="276" w:lineRule="auto"/>
              <w:rPr>
                <w:szCs w:val="21"/>
              </w:rPr>
            </w:pPr>
            <w:r>
              <w:rPr>
                <w:rFonts w:hint="eastAsia"/>
                <w:szCs w:val="21"/>
              </w:rPr>
              <w:t>11</w:t>
            </w:r>
          </w:p>
        </w:tc>
        <w:tc>
          <w:tcPr>
            <w:tcW w:w="4034" w:type="dxa"/>
            <w:vAlign w:val="center"/>
          </w:tcPr>
          <w:p>
            <w:pPr>
              <w:pStyle w:val="72"/>
              <w:spacing w:line="276" w:lineRule="auto"/>
              <w:rPr>
                <w:szCs w:val="21"/>
                <w:lang w:val="ru-RU"/>
              </w:rPr>
            </w:pPr>
            <w:r>
              <w:rPr>
                <w:rFonts w:hint="eastAsia"/>
                <w:szCs w:val="21"/>
                <w:lang w:val="ru-RU"/>
              </w:rPr>
              <w:t>安徽昊佳食品饮料有限责任公司</w:t>
            </w:r>
          </w:p>
        </w:tc>
        <w:tc>
          <w:tcPr>
            <w:tcW w:w="2770" w:type="dxa"/>
            <w:vAlign w:val="center"/>
          </w:tcPr>
          <w:p>
            <w:pPr>
              <w:pStyle w:val="72"/>
              <w:spacing w:line="276" w:lineRule="auto"/>
              <w:rPr>
                <w:szCs w:val="21"/>
              </w:rPr>
            </w:pPr>
            <w:r>
              <w:rPr>
                <w:rFonts w:hint="eastAsia"/>
                <w:szCs w:val="21"/>
              </w:rPr>
              <w:t>7</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32" w:hRule="atLeast"/>
          <w:jc w:val="center"/>
        </w:trPr>
        <w:tc>
          <w:tcPr>
            <w:tcW w:w="1385" w:type="dxa"/>
            <w:vAlign w:val="center"/>
          </w:tcPr>
          <w:p>
            <w:pPr>
              <w:pStyle w:val="72"/>
              <w:spacing w:line="276" w:lineRule="auto"/>
              <w:rPr>
                <w:szCs w:val="21"/>
                <w:lang w:val="ru-RU"/>
              </w:rPr>
            </w:pPr>
            <w:r>
              <w:rPr>
                <w:rFonts w:hint="eastAsia"/>
                <w:szCs w:val="21"/>
                <w:lang w:val="ru-RU"/>
              </w:rPr>
              <w:t>烈山区</w:t>
            </w:r>
          </w:p>
        </w:tc>
        <w:tc>
          <w:tcPr>
            <w:tcW w:w="1134" w:type="dxa"/>
            <w:vAlign w:val="center"/>
          </w:tcPr>
          <w:p>
            <w:pPr>
              <w:pStyle w:val="72"/>
              <w:spacing w:line="276" w:lineRule="auto"/>
              <w:rPr>
                <w:szCs w:val="21"/>
              </w:rPr>
            </w:pPr>
            <w:r>
              <w:rPr>
                <w:rFonts w:hint="eastAsia"/>
                <w:szCs w:val="21"/>
              </w:rPr>
              <w:t>12</w:t>
            </w:r>
          </w:p>
        </w:tc>
        <w:tc>
          <w:tcPr>
            <w:tcW w:w="4034" w:type="dxa"/>
            <w:vAlign w:val="center"/>
          </w:tcPr>
          <w:p>
            <w:pPr>
              <w:pStyle w:val="72"/>
              <w:spacing w:line="276" w:lineRule="auto"/>
              <w:rPr>
                <w:szCs w:val="21"/>
                <w:lang w:val="ru-RU"/>
              </w:rPr>
            </w:pPr>
            <w:r>
              <w:rPr>
                <w:rFonts w:hint="eastAsia"/>
                <w:szCs w:val="21"/>
                <w:lang w:val="ru-RU"/>
              </w:rPr>
              <w:t>淮北矿业股份有限公司杨庄煤矸石热电厂</w:t>
            </w:r>
          </w:p>
        </w:tc>
        <w:tc>
          <w:tcPr>
            <w:tcW w:w="2770" w:type="dxa"/>
            <w:vAlign w:val="center"/>
          </w:tcPr>
          <w:p>
            <w:pPr>
              <w:pStyle w:val="72"/>
              <w:spacing w:line="276" w:lineRule="auto"/>
              <w:rPr>
                <w:szCs w:val="21"/>
              </w:rPr>
            </w:pPr>
            <w:r>
              <w:rPr>
                <w:rFonts w:hint="eastAsia"/>
                <w:szCs w:val="21"/>
              </w:rPr>
              <w:t>35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32" w:hRule="atLeast"/>
          <w:jc w:val="center"/>
        </w:trPr>
        <w:tc>
          <w:tcPr>
            <w:tcW w:w="1385" w:type="dxa"/>
            <w:vAlign w:val="center"/>
          </w:tcPr>
          <w:p>
            <w:pPr>
              <w:pStyle w:val="72"/>
              <w:spacing w:line="276" w:lineRule="auto"/>
              <w:rPr>
                <w:szCs w:val="21"/>
                <w:lang w:val="ru-RU"/>
              </w:rPr>
            </w:pPr>
            <w:r>
              <w:rPr>
                <w:rFonts w:hint="eastAsia"/>
                <w:szCs w:val="21"/>
                <w:lang w:val="ru-RU"/>
              </w:rPr>
              <w:t>烈山区</w:t>
            </w:r>
          </w:p>
        </w:tc>
        <w:tc>
          <w:tcPr>
            <w:tcW w:w="1134" w:type="dxa"/>
            <w:vAlign w:val="center"/>
          </w:tcPr>
          <w:p>
            <w:pPr>
              <w:pStyle w:val="72"/>
              <w:spacing w:line="276" w:lineRule="auto"/>
              <w:rPr>
                <w:szCs w:val="21"/>
              </w:rPr>
            </w:pPr>
            <w:r>
              <w:rPr>
                <w:rFonts w:hint="eastAsia"/>
                <w:szCs w:val="21"/>
              </w:rPr>
              <w:t>13</w:t>
            </w:r>
          </w:p>
        </w:tc>
        <w:tc>
          <w:tcPr>
            <w:tcW w:w="4034" w:type="dxa"/>
            <w:vAlign w:val="center"/>
          </w:tcPr>
          <w:p>
            <w:pPr>
              <w:pStyle w:val="72"/>
              <w:spacing w:line="276" w:lineRule="auto"/>
              <w:rPr>
                <w:szCs w:val="21"/>
                <w:lang w:val="ru-RU"/>
              </w:rPr>
            </w:pPr>
            <w:r>
              <w:rPr>
                <w:rFonts w:hint="eastAsia"/>
                <w:szCs w:val="21"/>
                <w:lang w:val="ru-RU"/>
              </w:rPr>
              <w:t>淮北矿业股份有限公司杨庄煤矿</w:t>
            </w:r>
          </w:p>
        </w:tc>
        <w:tc>
          <w:tcPr>
            <w:tcW w:w="2770" w:type="dxa"/>
            <w:vAlign w:val="center"/>
          </w:tcPr>
          <w:p>
            <w:pPr>
              <w:pStyle w:val="72"/>
              <w:spacing w:line="276" w:lineRule="auto"/>
              <w:rPr>
                <w:szCs w:val="21"/>
              </w:rPr>
            </w:pPr>
            <w:r>
              <w:rPr>
                <w:rFonts w:hint="eastAsia"/>
                <w:szCs w:val="21"/>
              </w:rPr>
              <w:t>60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32" w:hRule="atLeast"/>
          <w:jc w:val="center"/>
        </w:trPr>
        <w:tc>
          <w:tcPr>
            <w:tcW w:w="1385" w:type="dxa"/>
            <w:vAlign w:val="center"/>
          </w:tcPr>
          <w:p>
            <w:pPr>
              <w:pStyle w:val="72"/>
              <w:spacing w:line="276" w:lineRule="auto"/>
              <w:rPr>
                <w:szCs w:val="21"/>
                <w:lang w:val="ru-RU"/>
              </w:rPr>
            </w:pPr>
            <w:r>
              <w:rPr>
                <w:rFonts w:hint="eastAsia"/>
                <w:szCs w:val="21"/>
                <w:lang w:val="ru-RU"/>
              </w:rPr>
              <w:t>烈山区</w:t>
            </w:r>
          </w:p>
        </w:tc>
        <w:tc>
          <w:tcPr>
            <w:tcW w:w="1134" w:type="dxa"/>
            <w:vAlign w:val="center"/>
          </w:tcPr>
          <w:p>
            <w:pPr>
              <w:pStyle w:val="72"/>
              <w:spacing w:line="276" w:lineRule="auto"/>
              <w:rPr>
                <w:szCs w:val="21"/>
              </w:rPr>
            </w:pPr>
            <w:r>
              <w:rPr>
                <w:rFonts w:hint="eastAsia"/>
                <w:szCs w:val="21"/>
              </w:rPr>
              <w:t>14</w:t>
            </w:r>
          </w:p>
        </w:tc>
        <w:tc>
          <w:tcPr>
            <w:tcW w:w="4034" w:type="dxa"/>
            <w:vAlign w:val="center"/>
          </w:tcPr>
          <w:p>
            <w:pPr>
              <w:pStyle w:val="72"/>
              <w:spacing w:line="276" w:lineRule="auto"/>
              <w:rPr>
                <w:szCs w:val="21"/>
                <w:lang w:val="ru-RU"/>
              </w:rPr>
            </w:pPr>
            <w:r>
              <w:rPr>
                <w:rFonts w:hint="eastAsia"/>
                <w:szCs w:val="21"/>
                <w:lang w:val="ru-RU"/>
              </w:rPr>
              <w:t>淮北国安电力有限公司</w:t>
            </w:r>
          </w:p>
        </w:tc>
        <w:tc>
          <w:tcPr>
            <w:tcW w:w="2770" w:type="dxa"/>
            <w:vAlign w:val="center"/>
          </w:tcPr>
          <w:p>
            <w:pPr>
              <w:pStyle w:val="72"/>
              <w:spacing w:line="276" w:lineRule="auto"/>
              <w:rPr>
                <w:szCs w:val="21"/>
              </w:rPr>
            </w:pPr>
            <w:r>
              <w:rPr>
                <w:rFonts w:hint="eastAsia"/>
                <w:szCs w:val="21"/>
              </w:rPr>
              <w:t>472</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32" w:hRule="atLeast"/>
          <w:jc w:val="center"/>
        </w:trPr>
        <w:tc>
          <w:tcPr>
            <w:tcW w:w="1385" w:type="dxa"/>
            <w:vAlign w:val="center"/>
          </w:tcPr>
          <w:p>
            <w:pPr>
              <w:pStyle w:val="72"/>
              <w:spacing w:line="276" w:lineRule="auto"/>
              <w:rPr>
                <w:szCs w:val="21"/>
                <w:lang w:val="ru-RU"/>
              </w:rPr>
            </w:pPr>
            <w:r>
              <w:rPr>
                <w:rFonts w:hint="eastAsia"/>
                <w:szCs w:val="21"/>
                <w:lang w:val="ru-RU"/>
              </w:rPr>
              <w:t>烈山区</w:t>
            </w:r>
          </w:p>
        </w:tc>
        <w:tc>
          <w:tcPr>
            <w:tcW w:w="1134" w:type="dxa"/>
            <w:vAlign w:val="center"/>
          </w:tcPr>
          <w:p>
            <w:pPr>
              <w:pStyle w:val="72"/>
              <w:spacing w:line="276" w:lineRule="auto"/>
              <w:rPr>
                <w:szCs w:val="21"/>
              </w:rPr>
            </w:pPr>
            <w:r>
              <w:rPr>
                <w:rFonts w:hint="eastAsia"/>
                <w:szCs w:val="21"/>
              </w:rPr>
              <w:t>15</w:t>
            </w:r>
          </w:p>
        </w:tc>
        <w:tc>
          <w:tcPr>
            <w:tcW w:w="4034" w:type="dxa"/>
            <w:vAlign w:val="center"/>
          </w:tcPr>
          <w:p>
            <w:pPr>
              <w:pStyle w:val="72"/>
              <w:spacing w:line="276" w:lineRule="auto"/>
              <w:rPr>
                <w:szCs w:val="21"/>
                <w:lang w:val="ru-RU"/>
              </w:rPr>
            </w:pPr>
            <w:r>
              <w:rPr>
                <w:rFonts w:hint="eastAsia"/>
                <w:szCs w:val="21"/>
                <w:lang w:val="ru-RU"/>
              </w:rPr>
              <w:t>淮北矿业股份有限公司铁路运输处</w:t>
            </w:r>
          </w:p>
        </w:tc>
        <w:tc>
          <w:tcPr>
            <w:tcW w:w="2770" w:type="dxa"/>
            <w:vAlign w:val="center"/>
          </w:tcPr>
          <w:p>
            <w:pPr>
              <w:pStyle w:val="72"/>
              <w:spacing w:line="276" w:lineRule="auto"/>
              <w:rPr>
                <w:szCs w:val="21"/>
              </w:rPr>
            </w:pPr>
            <w:r>
              <w:rPr>
                <w:rFonts w:hint="eastAsia"/>
                <w:szCs w:val="21"/>
              </w:rPr>
              <w:t>50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32" w:hRule="atLeast"/>
          <w:jc w:val="center"/>
        </w:trPr>
        <w:tc>
          <w:tcPr>
            <w:tcW w:w="1385" w:type="dxa"/>
            <w:vAlign w:val="center"/>
          </w:tcPr>
          <w:p>
            <w:pPr>
              <w:pStyle w:val="72"/>
              <w:spacing w:line="276" w:lineRule="auto"/>
              <w:rPr>
                <w:szCs w:val="21"/>
                <w:lang w:val="ru-RU"/>
              </w:rPr>
            </w:pPr>
            <w:r>
              <w:rPr>
                <w:rFonts w:hint="eastAsia"/>
                <w:szCs w:val="21"/>
                <w:lang w:val="ru-RU"/>
              </w:rPr>
              <w:t>烈山区</w:t>
            </w:r>
          </w:p>
        </w:tc>
        <w:tc>
          <w:tcPr>
            <w:tcW w:w="1134" w:type="dxa"/>
            <w:vAlign w:val="center"/>
          </w:tcPr>
          <w:p>
            <w:pPr>
              <w:pStyle w:val="72"/>
              <w:spacing w:line="276" w:lineRule="auto"/>
              <w:rPr>
                <w:szCs w:val="21"/>
              </w:rPr>
            </w:pPr>
            <w:r>
              <w:rPr>
                <w:rFonts w:hint="eastAsia"/>
                <w:szCs w:val="21"/>
              </w:rPr>
              <w:t>16</w:t>
            </w:r>
          </w:p>
        </w:tc>
        <w:tc>
          <w:tcPr>
            <w:tcW w:w="4034" w:type="dxa"/>
            <w:vAlign w:val="center"/>
          </w:tcPr>
          <w:p>
            <w:pPr>
              <w:pStyle w:val="72"/>
              <w:spacing w:line="276" w:lineRule="auto"/>
              <w:rPr>
                <w:szCs w:val="21"/>
                <w:lang w:val="ru-RU"/>
              </w:rPr>
            </w:pPr>
            <w:r>
              <w:rPr>
                <w:rFonts w:hint="eastAsia"/>
                <w:szCs w:val="21"/>
                <w:lang w:val="ru-RU"/>
              </w:rPr>
              <w:t>淮北矿业股份有限公司淮北选煤厂</w:t>
            </w:r>
          </w:p>
        </w:tc>
        <w:tc>
          <w:tcPr>
            <w:tcW w:w="2770" w:type="dxa"/>
            <w:vAlign w:val="center"/>
          </w:tcPr>
          <w:p>
            <w:pPr>
              <w:pStyle w:val="72"/>
              <w:spacing w:line="276" w:lineRule="auto"/>
              <w:rPr>
                <w:szCs w:val="21"/>
              </w:rPr>
            </w:pPr>
            <w:r>
              <w:rPr>
                <w:rFonts w:hint="eastAsia"/>
                <w:szCs w:val="21"/>
              </w:rPr>
              <w:t>241</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32" w:hRule="atLeast"/>
          <w:jc w:val="center"/>
        </w:trPr>
        <w:tc>
          <w:tcPr>
            <w:tcW w:w="1385" w:type="dxa"/>
            <w:vAlign w:val="center"/>
          </w:tcPr>
          <w:p>
            <w:pPr>
              <w:pStyle w:val="72"/>
              <w:spacing w:line="276" w:lineRule="auto"/>
              <w:rPr>
                <w:szCs w:val="21"/>
                <w:lang w:val="ru-RU"/>
              </w:rPr>
            </w:pPr>
            <w:r>
              <w:rPr>
                <w:rFonts w:hint="eastAsia"/>
                <w:szCs w:val="21"/>
                <w:lang w:val="ru-RU"/>
              </w:rPr>
              <w:t>烈山区</w:t>
            </w:r>
          </w:p>
        </w:tc>
        <w:tc>
          <w:tcPr>
            <w:tcW w:w="1134" w:type="dxa"/>
            <w:vAlign w:val="center"/>
          </w:tcPr>
          <w:p>
            <w:pPr>
              <w:pStyle w:val="72"/>
              <w:spacing w:line="276" w:lineRule="auto"/>
              <w:rPr>
                <w:szCs w:val="21"/>
              </w:rPr>
            </w:pPr>
            <w:r>
              <w:rPr>
                <w:rFonts w:hint="eastAsia"/>
                <w:szCs w:val="21"/>
              </w:rPr>
              <w:t>17</w:t>
            </w:r>
          </w:p>
        </w:tc>
        <w:tc>
          <w:tcPr>
            <w:tcW w:w="4034" w:type="dxa"/>
            <w:vAlign w:val="center"/>
          </w:tcPr>
          <w:p>
            <w:pPr>
              <w:pStyle w:val="72"/>
              <w:spacing w:line="276" w:lineRule="auto"/>
              <w:rPr>
                <w:szCs w:val="21"/>
                <w:lang w:val="ru-RU"/>
              </w:rPr>
            </w:pPr>
            <w:r>
              <w:rPr>
                <w:rFonts w:hint="eastAsia"/>
                <w:szCs w:val="21"/>
                <w:lang w:val="ru-RU"/>
              </w:rPr>
              <w:t>安徽宝迪肉类食品有限公司</w:t>
            </w:r>
          </w:p>
        </w:tc>
        <w:tc>
          <w:tcPr>
            <w:tcW w:w="2770" w:type="dxa"/>
            <w:vAlign w:val="center"/>
          </w:tcPr>
          <w:p>
            <w:pPr>
              <w:pStyle w:val="72"/>
              <w:spacing w:line="276" w:lineRule="auto"/>
              <w:rPr>
                <w:szCs w:val="21"/>
              </w:rPr>
            </w:pPr>
            <w:r>
              <w:rPr>
                <w:rFonts w:hint="eastAsia"/>
                <w:szCs w:val="21"/>
              </w:rPr>
              <w:t>16</w:t>
            </w:r>
          </w:p>
        </w:tc>
      </w:tr>
    </w:tbl>
    <w:p>
      <w:pPr>
        <w:pStyle w:val="16"/>
        <w:kinsoku w:val="0"/>
        <w:overflowPunct w:val="0"/>
        <w:spacing w:line="360" w:lineRule="auto"/>
        <w:ind w:firstLine="592"/>
        <w:jc w:val="both"/>
        <w:rPr>
          <w:rFonts w:cs="Times New Roman"/>
          <w:spacing w:val="16"/>
        </w:rPr>
      </w:pPr>
      <w:r>
        <w:rPr>
          <w:rFonts w:cs="Times New Roman"/>
          <w:spacing w:val="16"/>
        </w:rPr>
        <w:t>根据 “201</w:t>
      </w:r>
      <w:r>
        <w:rPr>
          <w:rFonts w:hint="eastAsia" w:cs="Times New Roman"/>
          <w:spacing w:val="16"/>
        </w:rPr>
        <w:t>7</w:t>
      </w:r>
      <w:r>
        <w:rPr>
          <w:rFonts w:cs="Times New Roman"/>
          <w:spacing w:val="16"/>
        </w:rPr>
        <w:t>年淮北市主要工业、企业年用水量一览表”可知，用水量较大的行业是</w:t>
      </w:r>
      <w:r>
        <w:rPr>
          <w:rFonts w:hint="eastAsia" w:cs="Times New Roman"/>
          <w:spacing w:val="16"/>
        </w:rPr>
        <w:t>火力发电（</w:t>
      </w:r>
      <w:r>
        <w:rPr>
          <w:rFonts w:hint="eastAsia"/>
          <w:szCs w:val="21"/>
          <w:lang w:val="ru-RU"/>
        </w:rPr>
        <w:t>大唐淮北发电厂、淮北国安电力有限公司、</w:t>
      </w:r>
      <w:r>
        <w:rPr>
          <w:rFonts w:hint="eastAsia" w:cs="Times New Roman"/>
          <w:spacing w:val="16"/>
        </w:rPr>
        <w:t>）煤矿业</w:t>
      </w:r>
      <w:r>
        <w:rPr>
          <w:rFonts w:cs="Times New Roman"/>
          <w:spacing w:val="16"/>
        </w:rPr>
        <w:t>（</w:t>
      </w:r>
      <w:r>
        <w:rPr>
          <w:rFonts w:hint="eastAsia"/>
          <w:szCs w:val="21"/>
          <w:lang w:val="ru-RU"/>
        </w:rPr>
        <w:t>淮北矿业股份有限公司）</w:t>
      </w:r>
      <w:r>
        <w:rPr>
          <w:rFonts w:cs="Times New Roman"/>
          <w:spacing w:val="16"/>
        </w:rPr>
        <w:t>、</w:t>
      </w:r>
      <w:r>
        <w:rPr>
          <w:rFonts w:hint="eastAsia" w:cs="Times New Roman"/>
          <w:spacing w:val="16"/>
        </w:rPr>
        <w:t>水泥制造</w:t>
      </w:r>
      <w:r>
        <w:rPr>
          <w:rFonts w:cs="Times New Roman"/>
          <w:spacing w:val="16"/>
        </w:rPr>
        <w:t>（</w:t>
      </w:r>
      <w:r>
        <w:rPr>
          <w:rFonts w:hint="eastAsia"/>
          <w:szCs w:val="21"/>
          <w:lang w:val="ru-RU"/>
        </w:rPr>
        <w:t>淮北矿业相山水泥有限责任公司、淮北众城水泥有限责任公司</w:t>
      </w:r>
      <w:r>
        <w:rPr>
          <w:rFonts w:cs="Times New Roman"/>
          <w:spacing w:val="16"/>
        </w:rPr>
        <w:t>）等，相关单位正在采取措施，加强对这些行业用水的监控。</w:t>
      </w:r>
    </w:p>
    <w:p>
      <w:pPr>
        <w:pStyle w:val="16"/>
        <w:kinsoku w:val="0"/>
        <w:overflowPunct w:val="0"/>
        <w:spacing w:line="360" w:lineRule="auto"/>
        <w:ind w:firstLine="594"/>
        <w:rPr>
          <w:rFonts w:cs="Times New Roman"/>
          <w:spacing w:val="17"/>
        </w:rPr>
      </w:pPr>
      <w:r>
        <w:rPr>
          <w:rFonts w:cs="Times New Roman"/>
          <w:spacing w:val="17"/>
        </w:rPr>
        <w:t>2、自备水管理</w:t>
      </w:r>
    </w:p>
    <w:p>
      <w:pPr>
        <w:pStyle w:val="16"/>
        <w:kinsoku w:val="0"/>
        <w:overflowPunct w:val="0"/>
        <w:spacing w:line="360" w:lineRule="auto"/>
        <w:ind w:firstLine="594"/>
        <w:rPr>
          <w:rFonts w:cs="Times New Roman"/>
          <w:spacing w:val="17"/>
        </w:rPr>
      </w:pPr>
      <w:r>
        <w:rPr>
          <w:rFonts w:hint="eastAsia" w:cs="Times New Roman"/>
          <w:spacing w:val="17"/>
        </w:rPr>
        <w:t>淮北</w:t>
      </w:r>
      <w:r>
        <w:rPr>
          <w:rFonts w:cs="Times New Roman"/>
          <w:spacing w:val="17"/>
        </w:rPr>
        <w:t>市现状自备水</w:t>
      </w:r>
      <w:r>
        <w:rPr>
          <w:rFonts w:hint="eastAsia" w:cs="Times New Roman"/>
          <w:spacing w:val="17"/>
        </w:rPr>
        <w:t>全部</w:t>
      </w:r>
      <w:r>
        <w:rPr>
          <w:rFonts w:cs="Times New Roman"/>
          <w:spacing w:val="17"/>
        </w:rPr>
        <w:t>为地下水，多用于工业企业自建设施用水，少量用于医院学校生活用水。取水许可批准水量大于实际取水量，计划取水率大于95%。随着水资源管理工作的逐步到位，近几年无取水许可自建设施为主的取水自备水源取水已逐步关停。根据</w:t>
      </w:r>
      <w:r>
        <w:rPr>
          <w:rFonts w:hint="eastAsia" w:cs="Times New Roman"/>
          <w:spacing w:val="17"/>
        </w:rPr>
        <w:t>淮北</w:t>
      </w:r>
      <w:r>
        <w:rPr>
          <w:rFonts w:cs="Times New Roman"/>
          <w:spacing w:val="17"/>
        </w:rPr>
        <w:t>市自来水厂的统计，截止至201</w:t>
      </w:r>
      <w:r>
        <w:rPr>
          <w:rFonts w:hint="eastAsia" w:cs="Times New Roman"/>
          <w:spacing w:val="17"/>
        </w:rPr>
        <w:t>7</w:t>
      </w:r>
      <w:r>
        <w:rPr>
          <w:rFonts w:cs="Times New Roman"/>
          <w:spacing w:val="17"/>
        </w:rPr>
        <w:t>年，</w:t>
      </w:r>
      <w:r>
        <w:rPr>
          <w:rFonts w:hint="eastAsia" w:cs="Times New Roman"/>
          <w:spacing w:val="17"/>
        </w:rPr>
        <w:t>淮北</w:t>
      </w:r>
      <w:r>
        <w:rPr>
          <w:rFonts w:cs="Times New Roman"/>
          <w:spacing w:val="17"/>
        </w:rPr>
        <w:t>市城区供水管网覆盖范围内的自备水井已基本被全部关停</w:t>
      </w:r>
      <w:r>
        <w:rPr>
          <w:rFonts w:hint="eastAsia" w:cs="Times New Roman"/>
          <w:spacing w:val="17"/>
        </w:rPr>
        <w:t>（大唐淮北发电厂等7家用水大户除外）</w:t>
      </w:r>
      <w:r>
        <w:rPr>
          <w:rFonts w:cs="Times New Roman"/>
          <w:spacing w:val="17"/>
        </w:rPr>
        <w:t>。根据《</w:t>
      </w:r>
      <w:r>
        <w:rPr>
          <w:rFonts w:hint="eastAsia" w:cs="Times New Roman"/>
          <w:spacing w:val="17"/>
        </w:rPr>
        <w:t>淮北</w:t>
      </w:r>
      <w:r>
        <w:rPr>
          <w:rFonts w:cs="Times New Roman"/>
          <w:spacing w:val="17"/>
        </w:rPr>
        <w:t>统计年鉴》统计数据，淮北市自备用水取水量已从201</w:t>
      </w:r>
      <w:r>
        <w:rPr>
          <w:rFonts w:hint="eastAsia" w:cs="Times New Roman"/>
          <w:spacing w:val="17"/>
        </w:rPr>
        <w:t>3</w:t>
      </w:r>
      <w:r>
        <w:rPr>
          <w:rFonts w:cs="Times New Roman"/>
          <w:spacing w:val="17"/>
        </w:rPr>
        <w:t>年的</w:t>
      </w:r>
      <w:r>
        <w:rPr>
          <w:rFonts w:hint="eastAsia" w:cs="Times New Roman"/>
          <w:spacing w:val="17"/>
        </w:rPr>
        <w:t>2803</w:t>
      </w:r>
      <w:r>
        <w:rPr>
          <w:rFonts w:cs="Times New Roman"/>
          <w:spacing w:val="17"/>
        </w:rPr>
        <w:t>万立方米/年降低至</w:t>
      </w:r>
      <w:r>
        <w:rPr>
          <w:rFonts w:hint="eastAsia" w:cs="Times New Roman"/>
          <w:spacing w:val="17"/>
        </w:rPr>
        <w:t>2017年的2012.7</w:t>
      </w:r>
      <w:r>
        <w:rPr>
          <w:rFonts w:cs="Times New Roman"/>
          <w:spacing w:val="17"/>
        </w:rPr>
        <w:t>万立方米/年。但总体来讲，</w:t>
      </w:r>
      <w:r>
        <w:rPr>
          <w:rFonts w:hint="eastAsia" w:cs="Times New Roman"/>
          <w:spacing w:val="17"/>
        </w:rPr>
        <w:t>淮北</w:t>
      </w:r>
      <w:r>
        <w:rPr>
          <w:rFonts w:cs="Times New Roman"/>
          <w:spacing w:val="17"/>
        </w:rPr>
        <w:t xml:space="preserve">市自备水源取水量占总用水量的比重仍较大，有关部门应进一步加强对取水许可的审批及自备水源的管理。3、节水“三同时”管理 </w:t>
      </w:r>
    </w:p>
    <w:p>
      <w:pPr>
        <w:pStyle w:val="16"/>
        <w:kinsoku w:val="0"/>
        <w:overflowPunct w:val="0"/>
        <w:spacing w:line="360" w:lineRule="auto"/>
        <w:ind w:firstLine="594"/>
        <w:rPr>
          <w:rFonts w:cs="Times New Roman"/>
          <w:spacing w:val="17"/>
        </w:rPr>
      </w:pPr>
      <w:r>
        <w:rPr>
          <w:rFonts w:cs="Times New Roman"/>
          <w:spacing w:val="17"/>
        </w:rPr>
        <w:t>淮北市</w:t>
      </w:r>
      <w:r>
        <w:rPr>
          <w:rFonts w:hint="eastAsia" w:cs="Times New Roman"/>
          <w:spacing w:val="17"/>
        </w:rPr>
        <w:t>已</w:t>
      </w:r>
      <w:r>
        <w:rPr>
          <w:rFonts w:cs="Times New Roman"/>
          <w:spacing w:val="17"/>
        </w:rPr>
        <w:t>下发在全市范围实施节水“三同时”管理的文件，文件要求新建、改建、扩建的工程项目开工前，建设单位和审图单位把好节水设计和审图关；施工过程中监理单位把好施工现场和实体的节水用水关；竣工时质量监督单位把好节水设施竣工验收关。审图单位应确保设计的卫生器具为节水型器具，设计小区给水系统应综合利用各种水资源，宜实行分质供水，充分利用再生水、雨水等非传统水源，优先采用循环和重复利用给水系统，有条件的小区宜设计中水收集利用系统和雨水收集利用系统。建设单位、施工单位以及市质量监督站应确保节约用水的思想和节水器具的应用落实。</w:t>
      </w:r>
    </w:p>
    <w:p>
      <w:pPr>
        <w:pStyle w:val="16"/>
        <w:kinsoku w:val="0"/>
        <w:overflowPunct w:val="0"/>
        <w:spacing w:line="360" w:lineRule="auto"/>
        <w:ind w:firstLine="594"/>
        <w:rPr>
          <w:rFonts w:cs="Times New Roman"/>
          <w:spacing w:val="17"/>
        </w:rPr>
      </w:pPr>
      <w:r>
        <w:rPr>
          <w:rFonts w:cs="Times New Roman"/>
          <w:spacing w:val="17"/>
        </w:rPr>
        <w:t xml:space="preserve">4、价格管理 </w:t>
      </w:r>
    </w:p>
    <w:p>
      <w:pPr>
        <w:pStyle w:val="16"/>
        <w:spacing w:line="360" w:lineRule="auto"/>
        <w:ind w:firstLine="594"/>
        <w:rPr>
          <w:rFonts w:cs="Times New Roman"/>
          <w:spacing w:val="17"/>
        </w:rPr>
      </w:pPr>
      <w:r>
        <w:rPr>
          <w:rFonts w:cs="Times New Roman"/>
          <w:spacing w:val="17"/>
        </w:rPr>
        <w:t>淮北市城市节约用水价格管理体系涉及水资源费征收率、污水处理费（含自备水）收缴率、加强特种行业用水管理、鼓励使用再生水、建立水价调整成本公开、定价成本监审公开制度及实行阶梯水价等方面的内容</w:t>
      </w:r>
      <w:r>
        <w:rPr>
          <w:rFonts w:hint="eastAsia" w:cs="Times New Roman"/>
          <w:spacing w:val="17"/>
        </w:rPr>
        <w:t>。</w:t>
      </w:r>
    </w:p>
    <w:p>
      <w:pPr>
        <w:pStyle w:val="16"/>
        <w:spacing w:line="360" w:lineRule="auto"/>
        <w:ind w:firstLine="594"/>
        <w:rPr>
          <w:rFonts w:cs="Times New Roman"/>
          <w:spacing w:val="17"/>
        </w:rPr>
      </w:pPr>
      <w:r>
        <w:rPr>
          <w:rFonts w:hint="eastAsia" w:cs="Times New Roman"/>
          <w:spacing w:val="17"/>
        </w:rPr>
        <w:t>淮北市严格执行安徽省物价局、省财政厅、省水利厅联合下发的《关于调整水资源征收标准的通知》，</w:t>
      </w:r>
      <w:r>
        <w:rPr>
          <w:rFonts w:cs="Times New Roman"/>
          <w:spacing w:val="17"/>
        </w:rPr>
        <w:t xml:space="preserve">2020 </w:t>
      </w:r>
      <w:r>
        <w:rPr>
          <w:rFonts w:hint="eastAsia" w:cs="Times New Roman"/>
          <w:spacing w:val="17"/>
        </w:rPr>
        <w:t>年前对水资源费进行调整，地表水、地下水资源费平均征收标准分别不低于</w:t>
      </w:r>
      <w:r>
        <w:rPr>
          <w:rFonts w:cs="Times New Roman"/>
          <w:spacing w:val="17"/>
        </w:rPr>
        <w:t xml:space="preserve"> 0.1 </w:t>
      </w:r>
      <w:r>
        <w:rPr>
          <w:rFonts w:hint="eastAsia" w:cs="Times New Roman"/>
          <w:spacing w:val="17"/>
        </w:rPr>
        <w:t>元</w:t>
      </w:r>
      <w:r>
        <w:rPr>
          <w:rFonts w:cs="Times New Roman"/>
          <w:spacing w:val="17"/>
        </w:rPr>
        <w:t>/</w:t>
      </w:r>
      <w:r>
        <w:rPr>
          <w:rFonts w:hint="eastAsia" w:cs="Times New Roman"/>
          <w:spacing w:val="17"/>
        </w:rPr>
        <w:t>立方米、</w:t>
      </w:r>
      <w:r>
        <w:rPr>
          <w:rFonts w:cs="Times New Roman"/>
          <w:spacing w:val="17"/>
        </w:rPr>
        <w:t xml:space="preserve">0.2 </w:t>
      </w:r>
      <w:r>
        <w:rPr>
          <w:rFonts w:hint="eastAsia" w:cs="Times New Roman"/>
          <w:spacing w:val="17"/>
        </w:rPr>
        <w:t>元</w:t>
      </w:r>
      <w:r>
        <w:rPr>
          <w:rFonts w:cs="Times New Roman"/>
          <w:spacing w:val="17"/>
        </w:rPr>
        <w:t>/</w:t>
      </w:r>
      <w:r>
        <w:rPr>
          <w:rFonts w:hint="eastAsia" w:cs="Times New Roman"/>
          <w:spacing w:val="17"/>
        </w:rPr>
        <w:t>立方米。国家规定污水处理费不低于</w:t>
      </w:r>
      <w:r>
        <w:rPr>
          <w:rFonts w:cs="Times New Roman"/>
          <w:spacing w:val="17"/>
        </w:rPr>
        <w:t xml:space="preserve"> 0.7 </w:t>
      </w:r>
      <w:r>
        <w:rPr>
          <w:rFonts w:hint="eastAsia" w:cs="Times New Roman"/>
          <w:spacing w:val="17"/>
        </w:rPr>
        <w:t>元</w:t>
      </w:r>
      <w:r>
        <w:rPr>
          <w:rFonts w:cs="Times New Roman"/>
          <w:spacing w:val="17"/>
        </w:rPr>
        <w:t>/</w:t>
      </w:r>
      <w:r>
        <w:rPr>
          <w:rFonts w:hint="eastAsia" w:cs="Times New Roman"/>
          <w:spacing w:val="17"/>
        </w:rPr>
        <w:t>立方米，淮北市居民调至</w:t>
      </w:r>
      <w:r>
        <w:rPr>
          <w:rFonts w:cs="Times New Roman"/>
          <w:spacing w:val="17"/>
        </w:rPr>
        <w:t>0.95</w:t>
      </w:r>
      <w:r>
        <w:rPr>
          <w:rFonts w:hint="eastAsia" w:cs="Times New Roman"/>
          <w:spacing w:val="17"/>
        </w:rPr>
        <w:t>元</w:t>
      </w:r>
      <w:r>
        <w:rPr>
          <w:rFonts w:cs="Times New Roman"/>
          <w:spacing w:val="17"/>
        </w:rPr>
        <w:t>/</w:t>
      </w:r>
      <w:r>
        <w:rPr>
          <w:rFonts w:hint="eastAsia" w:cs="Times New Roman"/>
          <w:spacing w:val="17"/>
        </w:rPr>
        <w:t>吨，非居民调至</w:t>
      </w:r>
      <w:r>
        <w:rPr>
          <w:rFonts w:cs="Times New Roman"/>
          <w:spacing w:val="17"/>
        </w:rPr>
        <w:t>1.40</w:t>
      </w:r>
      <w:r>
        <w:rPr>
          <w:rFonts w:hint="eastAsia" w:cs="Times New Roman"/>
          <w:spacing w:val="17"/>
        </w:rPr>
        <w:t>元</w:t>
      </w:r>
      <w:r>
        <w:rPr>
          <w:rFonts w:cs="Times New Roman"/>
          <w:spacing w:val="17"/>
        </w:rPr>
        <w:t>/</w:t>
      </w:r>
      <w:r>
        <w:rPr>
          <w:rFonts w:hint="eastAsia" w:cs="Times New Roman"/>
          <w:spacing w:val="17"/>
        </w:rPr>
        <w:t>吨，特种用水调至</w:t>
      </w:r>
      <w:r>
        <w:rPr>
          <w:rFonts w:cs="Times New Roman"/>
          <w:spacing w:val="17"/>
        </w:rPr>
        <w:t>1.80</w:t>
      </w:r>
      <w:r>
        <w:rPr>
          <w:rFonts w:hint="eastAsia" w:cs="Times New Roman"/>
          <w:spacing w:val="17"/>
        </w:rPr>
        <w:t>元</w:t>
      </w:r>
      <w:r>
        <w:rPr>
          <w:rFonts w:cs="Times New Roman"/>
          <w:spacing w:val="17"/>
        </w:rPr>
        <w:t>/</w:t>
      </w:r>
      <w:r>
        <w:rPr>
          <w:rFonts w:hint="eastAsia" w:cs="Times New Roman"/>
          <w:spacing w:val="17"/>
        </w:rPr>
        <w:t>吨，有效控制了水资源浪费。</w:t>
      </w:r>
    </w:p>
    <w:p>
      <w:pPr>
        <w:pStyle w:val="16"/>
        <w:kinsoku w:val="0"/>
        <w:overflowPunct w:val="0"/>
        <w:spacing w:line="360" w:lineRule="auto"/>
        <w:ind w:firstLine="594"/>
        <w:rPr>
          <w:rFonts w:cs="Times New Roman"/>
          <w:spacing w:val="17"/>
        </w:rPr>
      </w:pPr>
      <w:r>
        <w:rPr>
          <w:rFonts w:hint="eastAsia" w:cs="Times New Roman"/>
          <w:spacing w:val="17"/>
        </w:rPr>
        <w:t>淮北市已于2012年7月1日起，实施阶梯水价</w:t>
      </w:r>
      <w:r>
        <w:rPr>
          <w:rFonts w:cs="Times New Roman"/>
          <w:spacing w:val="17"/>
        </w:rPr>
        <w:t>。</w:t>
      </w:r>
      <w:r>
        <w:rPr>
          <w:rFonts w:hint="eastAsia" w:cs="Times New Roman"/>
          <w:spacing w:val="17"/>
        </w:rPr>
        <w:t>目前淮北市</w:t>
      </w:r>
      <w:r>
        <w:rPr>
          <w:rFonts w:cs="Times New Roman"/>
          <w:spacing w:val="17"/>
        </w:rPr>
        <w:t>水资源费征收标准</w:t>
      </w:r>
      <w:r>
        <w:rPr>
          <w:rFonts w:hint="eastAsia" w:cs="Times New Roman"/>
          <w:spacing w:val="17"/>
        </w:rPr>
        <w:t>为</w:t>
      </w:r>
      <w:r>
        <w:rPr>
          <w:rFonts w:cs="Times New Roman"/>
          <w:spacing w:val="17"/>
        </w:rPr>
        <w:t xml:space="preserve"> 0.</w:t>
      </w:r>
      <w:r>
        <w:rPr>
          <w:rFonts w:hint="eastAsia" w:cs="Times New Roman"/>
          <w:spacing w:val="17"/>
        </w:rPr>
        <w:t>16</w:t>
      </w:r>
      <w:r>
        <w:rPr>
          <w:rFonts w:cs="Times New Roman"/>
          <w:spacing w:val="17"/>
        </w:rPr>
        <w:t xml:space="preserve"> 元/立方米</w:t>
      </w:r>
      <w:r>
        <w:rPr>
          <w:rFonts w:hint="eastAsia" w:cs="Times New Roman"/>
          <w:spacing w:val="17"/>
        </w:rPr>
        <w:t>。</w:t>
      </w:r>
      <w:r>
        <w:rPr>
          <w:rFonts w:cs="Times New Roman"/>
          <w:spacing w:val="17"/>
        </w:rPr>
        <w:t>国家规定污水处理费不低于 0.7 元/立方米，淮北市居民调至0.95元/吨，非居民调至1.40元/吨，特种用水调至</w:t>
      </w:r>
      <w:r>
        <w:rPr>
          <w:rFonts w:hint="eastAsia" w:cs="Times New Roman"/>
          <w:spacing w:val="17"/>
        </w:rPr>
        <w:t>1.4</w:t>
      </w:r>
      <w:r>
        <w:rPr>
          <w:rFonts w:cs="Times New Roman"/>
          <w:spacing w:val="17"/>
        </w:rPr>
        <w:t>元/吨。</w:t>
      </w:r>
    </w:p>
    <w:p>
      <w:pPr>
        <w:pStyle w:val="16"/>
        <w:kinsoku w:val="0"/>
        <w:overflowPunct w:val="0"/>
        <w:spacing w:line="360" w:lineRule="auto"/>
        <w:ind w:firstLine="594"/>
        <w:rPr>
          <w:rFonts w:cs="Times New Roman"/>
          <w:spacing w:val="17"/>
        </w:rPr>
      </w:pPr>
      <w:r>
        <w:rPr>
          <w:rFonts w:cs="Times New Roman"/>
          <w:spacing w:val="17"/>
        </w:rPr>
        <w:t>淮北市公共供水水价中包含污水处理费、水资源费，具体如下：各类用水具体到户价格见下表（单位：元/立方米）：</w:t>
      </w:r>
    </w:p>
    <w:p>
      <w:pPr>
        <w:pStyle w:val="16"/>
        <w:kinsoku w:val="0"/>
        <w:overflowPunct w:val="0"/>
        <w:spacing w:line="360" w:lineRule="auto"/>
        <w:ind w:firstLine="0" w:firstLineChars="0"/>
        <w:jc w:val="center"/>
        <w:rPr>
          <w:rFonts w:cs="Times New Roman" w:eastAsiaTheme="minorEastAsia"/>
          <w:b/>
          <w:spacing w:val="17"/>
        </w:rPr>
      </w:pPr>
      <w:r>
        <w:rPr>
          <w:rFonts w:cs="Times New Roman"/>
          <w:b/>
          <w:spacing w:val="17"/>
          <w:sz w:val="24"/>
        </w:rPr>
        <w:t xml:space="preserve">表 </w:t>
      </w:r>
      <w:r>
        <w:rPr>
          <w:rFonts w:hint="eastAsia" w:cs="Times New Roman"/>
          <w:b/>
          <w:spacing w:val="17"/>
          <w:sz w:val="24"/>
        </w:rPr>
        <w:t>2</w:t>
      </w:r>
      <w:r>
        <w:rPr>
          <w:rFonts w:cs="Times New Roman"/>
          <w:b/>
          <w:spacing w:val="17"/>
          <w:sz w:val="24"/>
        </w:rPr>
        <w:t>-</w:t>
      </w:r>
      <w:r>
        <w:rPr>
          <w:rFonts w:hint="eastAsia" w:cs="Times New Roman"/>
          <w:b/>
          <w:spacing w:val="17"/>
          <w:sz w:val="24"/>
        </w:rPr>
        <w:t>22</w:t>
      </w:r>
      <w:r>
        <w:rPr>
          <w:rFonts w:cs="Times New Roman"/>
          <w:b/>
          <w:spacing w:val="17"/>
          <w:sz w:val="24"/>
        </w:rPr>
        <w:t xml:space="preserve"> 淮北市水价一览表（单位 元/立方米）</w:t>
      </w:r>
    </w:p>
    <w:tbl>
      <w:tblPr>
        <w:tblStyle w:val="67"/>
        <w:tblW w:w="10060" w:type="dxa"/>
        <w:jc w:val="center"/>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2779"/>
        <w:gridCol w:w="1137"/>
        <w:gridCol w:w="1652"/>
        <w:gridCol w:w="1088"/>
        <w:gridCol w:w="6"/>
        <w:gridCol w:w="952"/>
        <w:gridCol w:w="1219"/>
        <w:gridCol w:w="1227"/>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89" w:hRule="atLeast"/>
          <w:jc w:val="center"/>
        </w:trPr>
        <w:tc>
          <w:tcPr>
            <w:tcW w:w="3916" w:type="dxa"/>
            <w:gridSpan w:val="2"/>
            <w:vMerge w:val="restart"/>
            <w:vAlign w:val="center"/>
          </w:tcPr>
          <w:p>
            <w:pPr>
              <w:pStyle w:val="72"/>
              <w:rPr>
                <w:rFonts w:asciiTheme="minorHAnsi" w:hAnsiTheme="minorHAnsi" w:eastAsiaTheme="minorEastAsia"/>
              </w:rPr>
            </w:pPr>
            <w:r>
              <w:rPr>
                <w:rFonts w:hint="eastAsia" w:asciiTheme="minorHAnsi" w:hAnsiTheme="minorHAnsi" w:eastAsiaTheme="minorEastAsia"/>
              </w:rPr>
              <w:t>用水性质</w:t>
            </w:r>
          </w:p>
          <w:p>
            <w:pPr>
              <w:pStyle w:val="72"/>
              <w:rPr>
                <w:rFonts w:asciiTheme="minorHAnsi" w:hAnsiTheme="minorHAnsi" w:eastAsiaTheme="minorEastAsia"/>
              </w:rPr>
            </w:pPr>
          </w:p>
        </w:tc>
        <w:tc>
          <w:tcPr>
            <w:tcW w:w="1652" w:type="dxa"/>
            <w:vMerge w:val="restart"/>
            <w:vAlign w:val="center"/>
          </w:tcPr>
          <w:p>
            <w:pPr>
              <w:pStyle w:val="72"/>
              <w:rPr>
                <w:rFonts w:asciiTheme="minorHAnsi" w:hAnsiTheme="minorHAnsi" w:eastAsiaTheme="minorEastAsia"/>
              </w:rPr>
            </w:pPr>
            <w:r>
              <w:rPr>
                <w:rFonts w:hint="eastAsia" w:asciiTheme="minorHAnsi" w:hAnsiTheme="minorHAnsi" w:eastAsiaTheme="minorEastAsia"/>
              </w:rPr>
              <w:t>基本水价</w:t>
            </w:r>
          </w:p>
        </w:tc>
        <w:tc>
          <w:tcPr>
            <w:tcW w:w="3265" w:type="dxa"/>
            <w:gridSpan w:val="4"/>
            <w:vAlign w:val="center"/>
          </w:tcPr>
          <w:p>
            <w:pPr>
              <w:pStyle w:val="72"/>
              <w:rPr>
                <w:rFonts w:asciiTheme="minorHAnsi" w:hAnsiTheme="minorHAnsi" w:eastAsiaTheme="minorEastAsia"/>
              </w:rPr>
            </w:pPr>
            <w:r>
              <w:rPr>
                <w:rFonts w:hint="eastAsia" w:asciiTheme="minorHAnsi" w:hAnsiTheme="minorHAnsi" w:eastAsiaTheme="minorEastAsia"/>
              </w:rPr>
              <w:t>随水价征收费用（元/m³）</w:t>
            </w:r>
          </w:p>
        </w:tc>
        <w:tc>
          <w:tcPr>
            <w:tcW w:w="1227" w:type="dxa"/>
            <w:vMerge w:val="restart"/>
            <w:vAlign w:val="center"/>
          </w:tcPr>
          <w:p>
            <w:pPr>
              <w:pStyle w:val="72"/>
              <w:rPr>
                <w:rFonts w:asciiTheme="minorHAnsi" w:hAnsiTheme="minorHAnsi" w:eastAsiaTheme="minorEastAsia"/>
              </w:rPr>
            </w:pPr>
            <w:r>
              <w:rPr>
                <w:rFonts w:hint="eastAsia" w:asciiTheme="minorHAnsi" w:hAnsiTheme="minorHAnsi" w:eastAsiaTheme="minorEastAsia"/>
              </w:rPr>
              <w:t>到户价格</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42" w:hRule="exact"/>
          <w:jc w:val="center"/>
        </w:trPr>
        <w:tc>
          <w:tcPr>
            <w:tcW w:w="3916" w:type="dxa"/>
            <w:gridSpan w:val="2"/>
            <w:vMerge w:val="continue"/>
            <w:vAlign w:val="center"/>
          </w:tcPr>
          <w:p>
            <w:pPr>
              <w:pStyle w:val="72"/>
              <w:rPr>
                <w:rFonts w:asciiTheme="minorHAnsi" w:hAnsiTheme="minorHAnsi" w:eastAsiaTheme="minorEastAsia"/>
              </w:rPr>
            </w:pPr>
          </w:p>
        </w:tc>
        <w:tc>
          <w:tcPr>
            <w:tcW w:w="1652" w:type="dxa"/>
            <w:vMerge w:val="continue"/>
            <w:vAlign w:val="center"/>
          </w:tcPr>
          <w:p>
            <w:pPr>
              <w:pStyle w:val="72"/>
              <w:rPr>
                <w:rFonts w:asciiTheme="minorHAnsi" w:hAnsiTheme="minorHAnsi" w:eastAsiaTheme="minorEastAsia"/>
              </w:rPr>
            </w:pPr>
          </w:p>
        </w:tc>
        <w:tc>
          <w:tcPr>
            <w:tcW w:w="1088" w:type="dxa"/>
            <w:vAlign w:val="center"/>
          </w:tcPr>
          <w:p>
            <w:pPr>
              <w:pStyle w:val="72"/>
              <w:rPr>
                <w:rFonts w:asciiTheme="minorHAnsi" w:hAnsiTheme="minorHAnsi" w:eastAsiaTheme="minorEastAsia"/>
              </w:rPr>
            </w:pPr>
            <w:r>
              <w:rPr>
                <w:rFonts w:asciiTheme="minorHAnsi" w:hAnsiTheme="minorHAnsi" w:eastAsiaTheme="minorEastAsia"/>
              </w:rPr>
              <w:t>污水处理费</w:t>
            </w:r>
          </w:p>
        </w:tc>
        <w:tc>
          <w:tcPr>
            <w:tcW w:w="958" w:type="dxa"/>
            <w:gridSpan w:val="2"/>
            <w:vAlign w:val="center"/>
          </w:tcPr>
          <w:p>
            <w:pPr>
              <w:pStyle w:val="72"/>
              <w:rPr>
                <w:rFonts w:asciiTheme="minorHAnsi" w:hAnsiTheme="minorHAnsi" w:eastAsiaTheme="minorEastAsia"/>
              </w:rPr>
            </w:pPr>
            <w:r>
              <w:rPr>
                <w:rFonts w:hint="eastAsia" w:asciiTheme="minorHAnsi" w:hAnsiTheme="minorHAnsi" w:eastAsiaTheme="minorEastAsia"/>
              </w:rPr>
              <w:t>水资源费</w:t>
            </w:r>
          </w:p>
        </w:tc>
        <w:tc>
          <w:tcPr>
            <w:tcW w:w="1219" w:type="dxa"/>
            <w:vAlign w:val="center"/>
          </w:tcPr>
          <w:p>
            <w:pPr>
              <w:pStyle w:val="72"/>
              <w:rPr>
                <w:rFonts w:asciiTheme="minorHAnsi" w:hAnsiTheme="minorHAnsi" w:eastAsiaTheme="minorEastAsia"/>
              </w:rPr>
            </w:pPr>
            <w:r>
              <w:rPr>
                <w:rFonts w:hint="eastAsia" w:asciiTheme="minorHAnsi" w:hAnsiTheme="minorHAnsi" w:eastAsiaTheme="minorEastAsia"/>
              </w:rPr>
              <w:t>小计</w:t>
            </w:r>
          </w:p>
        </w:tc>
        <w:tc>
          <w:tcPr>
            <w:tcW w:w="1227" w:type="dxa"/>
            <w:vMerge w:val="continue"/>
            <w:vAlign w:val="center"/>
          </w:tcPr>
          <w:p>
            <w:pPr>
              <w:pStyle w:val="72"/>
              <w:rPr>
                <w:rFonts w:asciiTheme="minorHAnsi" w:hAnsiTheme="minorHAnsi" w:eastAsiaTheme="minorEastAsia"/>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7" w:hRule="exact"/>
          <w:jc w:val="center"/>
        </w:trPr>
        <w:tc>
          <w:tcPr>
            <w:tcW w:w="2779" w:type="dxa"/>
            <w:vMerge w:val="restart"/>
            <w:vAlign w:val="center"/>
          </w:tcPr>
          <w:p>
            <w:pPr>
              <w:pStyle w:val="72"/>
              <w:rPr>
                <w:rFonts w:asciiTheme="minorHAnsi" w:hAnsiTheme="minorHAnsi" w:eastAsiaTheme="minorEastAsia"/>
              </w:rPr>
            </w:pPr>
            <w:r>
              <w:rPr>
                <w:rFonts w:asciiTheme="minorHAnsi" w:hAnsiTheme="minorHAnsi" w:eastAsiaTheme="minorEastAsia"/>
              </w:rPr>
              <w:t>居民</w:t>
            </w:r>
            <w:r>
              <w:rPr>
                <w:rFonts w:hint="eastAsia" w:asciiTheme="minorHAnsi" w:hAnsiTheme="minorHAnsi" w:eastAsiaTheme="minorEastAsia"/>
              </w:rPr>
              <w:t>阶梯</w:t>
            </w:r>
            <w:r>
              <w:rPr>
                <w:rFonts w:asciiTheme="minorHAnsi" w:hAnsiTheme="minorHAnsi" w:eastAsiaTheme="minorEastAsia"/>
              </w:rPr>
              <w:t>用水</w:t>
            </w:r>
          </w:p>
        </w:tc>
        <w:tc>
          <w:tcPr>
            <w:tcW w:w="1137" w:type="dxa"/>
            <w:vAlign w:val="center"/>
          </w:tcPr>
          <w:p>
            <w:pPr>
              <w:pStyle w:val="72"/>
              <w:rPr>
                <w:rFonts w:asciiTheme="minorHAnsi" w:hAnsiTheme="minorHAnsi" w:eastAsiaTheme="minorEastAsia"/>
              </w:rPr>
            </w:pPr>
            <w:r>
              <w:rPr>
                <w:rFonts w:hint="eastAsia" w:asciiTheme="minorHAnsi" w:hAnsiTheme="minorHAnsi" w:eastAsiaTheme="minorEastAsia"/>
              </w:rPr>
              <w:t>第一级</w:t>
            </w:r>
          </w:p>
        </w:tc>
        <w:tc>
          <w:tcPr>
            <w:tcW w:w="1652" w:type="dxa"/>
            <w:vAlign w:val="center"/>
          </w:tcPr>
          <w:p>
            <w:pPr>
              <w:pStyle w:val="72"/>
              <w:rPr>
                <w:rFonts w:asciiTheme="minorHAnsi" w:hAnsiTheme="minorHAnsi" w:eastAsiaTheme="minorEastAsia"/>
              </w:rPr>
            </w:pPr>
            <w:r>
              <w:rPr>
                <w:rFonts w:hint="eastAsia" w:asciiTheme="minorHAnsi" w:hAnsiTheme="minorHAnsi" w:eastAsiaTheme="minorEastAsia"/>
              </w:rPr>
              <w:t>1.35</w:t>
            </w:r>
          </w:p>
        </w:tc>
        <w:tc>
          <w:tcPr>
            <w:tcW w:w="1094" w:type="dxa"/>
            <w:gridSpan w:val="2"/>
            <w:vAlign w:val="center"/>
          </w:tcPr>
          <w:p>
            <w:pPr>
              <w:pStyle w:val="72"/>
              <w:rPr>
                <w:rFonts w:asciiTheme="minorHAnsi" w:hAnsiTheme="minorHAnsi" w:eastAsiaTheme="minorEastAsia"/>
              </w:rPr>
            </w:pPr>
            <w:r>
              <w:rPr>
                <w:rFonts w:hint="eastAsia" w:asciiTheme="minorHAnsi" w:hAnsiTheme="minorHAnsi" w:eastAsiaTheme="minorEastAsia"/>
              </w:rPr>
              <w:t>0.95</w:t>
            </w:r>
          </w:p>
        </w:tc>
        <w:tc>
          <w:tcPr>
            <w:tcW w:w="952" w:type="dxa"/>
            <w:vAlign w:val="center"/>
          </w:tcPr>
          <w:p>
            <w:pPr>
              <w:pStyle w:val="72"/>
              <w:rPr>
                <w:rFonts w:asciiTheme="minorHAnsi" w:hAnsiTheme="minorHAnsi" w:eastAsiaTheme="minorEastAsia"/>
              </w:rPr>
            </w:pPr>
            <w:r>
              <w:rPr>
                <w:rFonts w:hint="eastAsia" w:asciiTheme="minorHAnsi" w:hAnsiTheme="minorHAnsi" w:eastAsiaTheme="minorEastAsia"/>
              </w:rPr>
              <w:t>0.16</w:t>
            </w:r>
          </w:p>
        </w:tc>
        <w:tc>
          <w:tcPr>
            <w:tcW w:w="1219" w:type="dxa"/>
            <w:vMerge w:val="restart"/>
            <w:vAlign w:val="center"/>
          </w:tcPr>
          <w:p>
            <w:pPr>
              <w:pStyle w:val="72"/>
              <w:rPr>
                <w:rFonts w:asciiTheme="minorHAnsi" w:hAnsiTheme="minorHAnsi" w:eastAsiaTheme="minorEastAsia"/>
              </w:rPr>
            </w:pPr>
            <w:r>
              <w:rPr>
                <w:rFonts w:hint="eastAsia" w:asciiTheme="minorHAnsi" w:hAnsiTheme="minorHAnsi" w:eastAsiaTheme="minorEastAsia"/>
              </w:rPr>
              <w:t>1.11</w:t>
            </w:r>
          </w:p>
        </w:tc>
        <w:tc>
          <w:tcPr>
            <w:tcW w:w="1227" w:type="dxa"/>
            <w:vAlign w:val="center"/>
          </w:tcPr>
          <w:p>
            <w:pPr>
              <w:pStyle w:val="72"/>
              <w:rPr>
                <w:rFonts w:asciiTheme="minorHAnsi" w:hAnsiTheme="minorHAnsi" w:eastAsiaTheme="minorEastAsia"/>
              </w:rPr>
            </w:pPr>
            <w:r>
              <w:rPr>
                <w:rFonts w:hint="eastAsia" w:asciiTheme="minorHAnsi" w:hAnsiTheme="minorHAnsi" w:eastAsiaTheme="minorEastAsia"/>
              </w:rPr>
              <w:t>2.46</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293" w:hRule="exact"/>
          <w:jc w:val="center"/>
        </w:trPr>
        <w:tc>
          <w:tcPr>
            <w:tcW w:w="2779" w:type="dxa"/>
            <w:vMerge w:val="continue"/>
            <w:vAlign w:val="center"/>
          </w:tcPr>
          <w:p>
            <w:pPr>
              <w:pStyle w:val="72"/>
              <w:rPr>
                <w:rFonts w:asciiTheme="minorHAnsi" w:hAnsiTheme="minorHAnsi" w:eastAsiaTheme="minorEastAsia"/>
              </w:rPr>
            </w:pPr>
          </w:p>
        </w:tc>
        <w:tc>
          <w:tcPr>
            <w:tcW w:w="1137" w:type="dxa"/>
            <w:vAlign w:val="center"/>
          </w:tcPr>
          <w:p>
            <w:pPr>
              <w:pStyle w:val="72"/>
              <w:rPr>
                <w:rFonts w:asciiTheme="minorHAnsi" w:hAnsiTheme="minorHAnsi" w:eastAsiaTheme="minorEastAsia"/>
              </w:rPr>
            </w:pPr>
            <w:r>
              <w:rPr>
                <w:rFonts w:hint="eastAsia" w:asciiTheme="minorHAnsi" w:hAnsiTheme="minorHAnsi" w:eastAsiaTheme="minorEastAsia"/>
              </w:rPr>
              <w:t>第二级</w:t>
            </w:r>
          </w:p>
        </w:tc>
        <w:tc>
          <w:tcPr>
            <w:tcW w:w="1652" w:type="dxa"/>
            <w:vAlign w:val="center"/>
          </w:tcPr>
          <w:p>
            <w:pPr>
              <w:pStyle w:val="72"/>
              <w:rPr>
                <w:rFonts w:asciiTheme="minorHAnsi" w:hAnsiTheme="minorHAnsi" w:eastAsiaTheme="minorEastAsia"/>
              </w:rPr>
            </w:pPr>
            <w:r>
              <w:rPr>
                <w:rFonts w:hint="eastAsia" w:asciiTheme="minorHAnsi" w:hAnsiTheme="minorHAnsi" w:eastAsiaTheme="minorEastAsia"/>
              </w:rPr>
              <w:t>2.03</w:t>
            </w:r>
          </w:p>
        </w:tc>
        <w:tc>
          <w:tcPr>
            <w:tcW w:w="1094" w:type="dxa"/>
            <w:gridSpan w:val="2"/>
            <w:vAlign w:val="center"/>
          </w:tcPr>
          <w:p>
            <w:pPr>
              <w:pStyle w:val="72"/>
              <w:rPr>
                <w:rFonts w:asciiTheme="minorHAnsi" w:hAnsiTheme="minorHAnsi" w:eastAsiaTheme="minorEastAsia"/>
              </w:rPr>
            </w:pPr>
            <w:r>
              <w:rPr>
                <w:rFonts w:hint="eastAsia" w:asciiTheme="minorHAnsi" w:hAnsiTheme="minorHAnsi" w:eastAsiaTheme="minorEastAsia"/>
              </w:rPr>
              <w:t>0.95</w:t>
            </w:r>
          </w:p>
        </w:tc>
        <w:tc>
          <w:tcPr>
            <w:tcW w:w="952" w:type="dxa"/>
            <w:vAlign w:val="center"/>
          </w:tcPr>
          <w:p>
            <w:pPr>
              <w:pStyle w:val="72"/>
              <w:rPr>
                <w:rFonts w:asciiTheme="minorHAnsi" w:hAnsiTheme="minorHAnsi" w:eastAsiaTheme="minorEastAsia"/>
              </w:rPr>
            </w:pPr>
            <w:r>
              <w:rPr>
                <w:rFonts w:hint="eastAsia" w:asciiTheme="minorHAnsi" w:hAnsiTheme="minorHAnsi" w:eastAsiaTheme="minorEastAsia"/>
              </w:rPr>
              <w:t>0.16</w:t>
            </w:r>
          </w:p>
        </w:tc>
        <w:tc>
          <w:tcPr>
            <w:tcW w:w="1219" w:type="dxa"/>
            <w:vMerge w:val="continue"/>
            <w:vAlign w:val="center"/>
          </w:tcPr>
          <w:p>
            <w:pPr>
              <w:pStyle w:val="72"/>
              <w:rPr>
                <w:rFonts w:asciiTheme="minorHAnsi" w:hAnsiTheme="minorHAnsi" w:eastAsiaTheme="minorEastAsia"/>
              </w:rPr>
            </w:pPr>
          </w:p>
        </w:tc>
        <w:tc>
          <w:tcPr>
            <w:tcW w:w="1227" w:type="dxa"/>
            <w:vAlign w:val="center"/>
          </w:tcPr>
          <w:p>
            <w:pPr>
              <w:pStyle w:val="72"/>
              <w:rPr>
                <w:rFonts w:asciiTheme="minorHAnsi" w:hAnsiTheme="minorHAnsi" w:eastAsiaTheme="minorEastAsia"/>
              </w:rPr>
            </w:pPr>
            <w:r>
              <w:rPr>
                <w:rFonts w:hint="eastAsia" w:asciiTheme="minorHAnsi" w:hAnsiTheme="minorHAnsi" w:eastAsiaTheme="minorEastAsia"/>
              </w:rPr>
              <w:t>3.14</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287" w:hRule="exact"/>
          <w:jc w:val="center"/>
        </w:trPr>
        <w:tc>
          <w:tcPr>
            <w:tcW w:w="2779" w:type="dxa"/>
            <w:vMerge w:val="continue"/>
            <w:vAlign w:val="center"/>
          </w:tcPr>
          <w:p>
            <w:pPr>
              <w:pStyle w:val="72"/>
              <w:rPr>
                <w:rFonts w:asciiTheme="minorHAnsi" w:hAnsiTheme="minorHAnsi" w:eastAsiaTheme="minorEastAsia"/>
              </w:rPr>
            </w:pPr>
          </w:p>
        </w:tc>
        <w:tc>
          <w:tcPr>
            <w:tcW w:w="1137" w:type="dxa"/>
            <w:vAlign w:val="center"/>
          </w:tcPr>
          <w:p>
            <w:pPr>
              <w:pStyle w:val="72"/>
              <w:rPr>
                <w:rFonts w:asciiTheme="minorHAnsi" w:hAnsiTheme="minorHAnsi" w:eastAsiaTheme="minorEastAsia"/>
              </w:rPr>
            </w:pPr>
            <w:r>
              <w:rPr>
                <w:rFonts w:hint="eastAsia" w:asciiTheme="minorHAnsi" w:hAnsiTheme="minorHAnsi" w:eastAsiaTheme="minorEastAsia"/>
              </w:rPr>
              <w:t>第三极</w:t>
            </w:r>
          </w:p>
        </w:tc>
        <w:tc>
          <w:tcPr>
            <w:tcW w:w="1652" w:type="dxa"/>
            <w:vAlign w:val="center"/>
          </w:tcPr>
          <w:p>
            <w:pPr>
              <w:pStyle w:val="72"/>
              <w:rPr>
                <w:rFonts w:asciiTheme="minorHAnsi" w:hAnsiTheme="minorHAnsi" w:eastAsiaTheme="minorEastAsia"/>
              </w:rPr>
            </w:pPr>
            <w:r>
              <w:rPr>
                <w:rFonts w:hint="eastAsia" w:asciiTheme="minorHAnsi" w:hAnsiTheme="minorHAnsi" w:eastAsiaTheme="minorEastAsia"/>
              </w:rPr>
              <w:t>4.73</w:t>
            </w:r>
          </w:p>
        </w:tc>
        <w:tc>
          <w:tcPr>
            <w:tcW w:w="1094" w:type="dxa"/>
            <w:gridSpan w:val="2"/>
            <w:vAlign w:val="center"/>
          </w:tcPr>
          <w:p>
            <w:pPr>
              <w:pStyle w:val="72"/>
              <w:rPr>
                <w:rFonts w:asciiTheme="minorHAnsi" w:hAnsiTheme="minorHAnsi" w:eastAsiaTheme="minorEastAsia"/>
              </w:rPr>
            </w:pPr>
            <w:r>
              <w:rPr>
                <w:rFonts w:hint="eastAsia" w:asciiTheme="minorHAnsi" w:hAnsiTheme="minorHAnsi" w:eastAsiaTheme="minorEastAsia"/>
              </w:rPr>
              <w:t>0.95</w:t>
            </w:r>
          </w:p>
        </w:tc>
        <w:tc>
          <w:tcPr>
            <w:tcW w:w="952" w:type="dxa"/>
            <w:vAlign w:val="center"/>
          </w:tcPr>
          <w:p>
            <w:pPr>
              <w:pStyle w:val="72"/>
              <w:rPr>
                <w:rFonts w:asciiTheme="minorHAnsi" w:hAnsiTheme="minorHAnsi" w:eastAsiaTheme="minorEastAsia"/>
              </w:rPr>
            </w:pPr>
            <w:r>
              <w:rPr>
                <w:rFonts w:hint="eastAsia" w:asciiTheme="minorHAnsi" w:hAnsiTheme="minorHAnsi" w:eastAsiaTheme="minorEastAsia"/>
              </w:rPr>
              <w:t>0.16</w:t>
            </w:r>
          </w:p>
        </w:tc>
        <w:tc>
          <w:tcPr>
            <w:tcW w:w="1219" w:type="dxa"/>
            <w:vMerge w:val="continue"/>
            <w:vAlign w:val="center"/>
          </w:tcPr>
          <w:p>
            <w:pPr>
              <w:pStyle w:val="72"/>
              <w:rPr>
                <w:rFonts w:asciiTheme="minorHAnsi" w:hAnsiTheme="minorHAnsi" w:eastAsiaTheme="minorEastAsia"/>
              </w:rPr>
            </w:pPr>
          </w:p>
        </w:tc>
        <w:tc>
          <w:tcPr>
            <w:tcW w:w="1227" w:type="dxa"/>
            <w:vAlign w:val="center"/>
          </w:tcPr>
          <w:p>
            <w:pPr>
              <w:pStyle w:val="72"/>
              <w:rPr>
                <w:rFonts w:asciiTheme="minorHAnsi" w:hAnsiTheme="minorHAnsi" w:eastAsiaTheme="minorEastAsia"/>
              </w:rPr>
            </w:pPr>
            <w:r>
              <w:rPr>
                <w:rFonts w:hint="eastAsia" w:asciiTheme="minorHAnsi" w:hAnsiTheme="minorHAnsi" w:eastAsiaTheme="minorEastAsia"/>
              </w:rPr>
              <w:t>5.84</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7" w:hRule="exact"/>
          <w:jc w:val="center"/>
        </w:trPr>
        <w:tc>
          <w:tcPr>
            <w:tcW w:w="3916" w:type="dxa"/>
            <w:gridSpan w:val="2"/>
            <w:vAlign w:val="center"/>
          </w:tcPr>
          <w:p>
            <w:pPr>
              <w:pStyle w:val="72"/>
              <w:rPr>
                <w:rFonts w:asciiTheme="minorHAnsi" w:hAnsiTheme="minorHAnsi" w:eastAsiaTheme="minorEastAsia"/>
              </w:rPr>
            </w:pPr>
            <w:r>
              <w:rPr>
                <w:rFonts w:hint="eastAsia" w:asciiTheme="minorHAnsi" w:hAnsiTheme="minorHAnsi" w:eastAsiaTheme="minorEastAsia"/>
              </w:rPr>
              <w:t>非居民用水</w:t>
            </w:r>
          </w:p>
        </w:tc>
        <w:tc>
          <w:tcPr>
            <w:tcW w:w="1652" w:type="dxa"/>
            <w:vAlign w:val="center"/>
          </w:tcPr>
          <w:p>
            <w:pPr>
              <w:pStyle w:val="72"/>
              <w:rPr>
                <w:rFonts w:asciiTheme="minorHAnsi" w:hAnsiTheme="minorHAnsi" w:eastAsiaTheme="minorEastAsia"/>
              </w:rPr>
            </w:pPr>
            <w:r>
              <w:rPr>
                <w:rFonts w:hint="eastAsia" w:asciiTheme="minorHAnsi" w:hAnsiTheme="minorHAnsi" w:eastAsiaTheme="minorEastAsia"/>
              </w:rPr>
              <w:t>1.95</w:t>
            </w:r>
          </w:p>
        </w:tc>
        <w:tc>
          <w:tcPr>
            <w:tcW w:w="1094" w:type="dxa"/>
            <w:gridSpan w:val="2"/>
            <w:vAlign w:val="center"/>
          </w:tcPr>
          <w:p>
            <w:pPr>
              <w:pStyle w:val="72"/>
              <w:rPr>
                <w:rFonts w:asciiTheme="minorHAnsi" w:hAnsiTheme="minorHAnsi" w:eastAsiaTheme="minorEastAsia"/>
              </w:rPr>
            </w:pPr>
            <w:r>
              <w:rPr>
                <w:rFonts w:hint="eastAsia" w:asciiTheme="minorHAnsi" w:hAnsiTheme="minorHAnsi" w:eastAsiaTheme="minorEastAsia"/>
              </w:rPr>
              <w:t>1.4</w:t>
            </w:r>
          </w:p>
        </w:tc>
        <w:tc>
          <w:tcPr>
            <w:tcW w:w="952" w:type="dxa"/>
            <w:vAlign w:val="center"/>
          </w:tcPr>
          <w:p>
            <w:pPr>
              <w:pStyle w:val="72"/>
              <w:rPr>
                <w:rFonts w:asciiTheme="minorHAnsi" w:hAnsiTheme="minorHAnsi" w:eastAsiaTheme="minorEastAsia"/>
              </w:rPr>
            </w:pPr>
            <w:r>
              <w:rPr>
                <w:rFonts w:hint="eastAsia" w:asciiTheme="minorHAnsi" w:hAnsiTheme="minorHAnsi" w:eastAsiaTheme="minorEastAsia"/>
              </w:rPr>
              <w:t>0.16</w:t>
            </w:r>
          </w:p>
        </w:tc>
        <w:tc>
          <w:tcPr>
            <w:tcW w:w="1219" w:type="dxa"/>
            <w:vAlign w:val="center"/>
          </w:tcPr>
          <w:p>
            <w:pPr>
              <w:pStyle w:val="72"/>
              <w:rPr>
                <w:rFonts w:asciiTheme="minorHAnsi" w:hAnsiTheme="minorHAnsi" w:eastAsiaTheme="minorEastAsia"/>
              </w:rPr>
            </w:pPr>
            <w:r>
              <w:rPr>
                <w:rFonts w:hint="eastAsia" w:asciiTheme="minorHAnsi" w:hAnsiTheme="minorHAnsi" w:eastAsiaTheme="minorEastAsia"/>
              </w:rPr>
              <w:t>1.56</w:t>
            </w:r>
          </w:p>
        </w:tc>
        <w:tc>
          <w:tcPr>
            <w:tcW w:w="1227" w:type="dxa"/>
            <w:vAlign w:val="center"/>
          </w:tcPr>
          <w:p>
            <w:pPr>
              <w:pStyle w:val="72"/>
              <w:rPr>
                <w:rFonts w:asciiTheme="minorHAnsi" w:hAnsiTheme="minorHAnsi" w:eastAsiaTheme="minorEastAsia"/>
              </w:rPr>
            </w:pPr>
            <w:r>
              <w:rPr>
                <w:rFonts w:hint="eastAsia" w:asciiTheme="minorHAnsi" w:hAnsiTheme="minorHAnsi" w:eastAsiaTheme="minorEastAsia"/>
              </w:rPr>
              <w:t>3.51</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7" w:hRule="exact"/>
          <w:jc w:val="center"/>
        </w:trPr>
        <w:tc>
          <w:tcPr>
            <w:tcW w:w="3916" w:type="dxa"/>
            <w:gridSpan w:val="2"/>
            <w:vAlign w:val="center"/>
          </w:tcPr>
          <w:p>
            <w:pPr>
              <w:pStyle w:val="72"/>
              <w:rPr>
                <w:rFonts w:asciiTheme="minorHAnsi" w:hAnsiTheme="minorHAnsi" w:eastAsiaTheme="minorEastAsia"/>
              </w:rPr>
            </w:pPr>
            <w:r>
              <w:rPr>
                <w:rFonts w:asciiTheme="minorHAnsi" w:hAnsiTheme="minorHAnsi" w:eastAsiaTheme="minorEastAsia"/>
              </w:rPr>
              <w:t>特种</w:t>
            </w:r>
            <w:r>
              <w:rPr>
                <w:rFonts w:hint="eastAsia" w:asciiTheme="minorHAnsi" w:hAnsiTheme="minorHAnsi" w:eastAsiaTheme="minorEastAsia"/>
              </w:rPr>
              <w:t>行业</w:t>
            </w:r>
            <w:r>
              <w:rPr>
                <w:rFonts w:asciiTheme="minorHAnsi" w:hAnsiTheme="minorHAnsi" w:eastAsiaTheme="minorEastAsia"/>
              </w:rPr>
              <w:t>用水</w:t>
            </w:r>
          </w:p>
        </w:tc>
        <w:tc>
          <w:tcPr>
            <w:tcW w:w="1652" w:type="dxa"/>
            <w:vAlign w:val="center"/>
          </w:tcPr>
          <w:p>
            <w:pPr>
              <w:pStyle w:val="72"/>
              <w:rPr>
                <w:rFonts w:asciiTheme="minorHAnsi" w:hAnsiTheme="minorHAnsi" w:eastAsiaTheme="minorEastAsia"/>
              </w:rPr>
            </w:pPr>
            <w:r>
              <w:rPr>
                <w:rFonts w:hint="eastAsia" w:asciiTheme="minorHAnsi" w:hAnsiTheme="minorHAnsi" w:eastAsiaTheme="minorEastAsia"/>
              </w:rPr>
              <w:t>8.15</w:t>
            </w:r>
          </w:p>
        </w:tc>
        <w:tc>
          <w:tcPr>
            <w:tcW w:w="1094" w:type="dxa"/>
            <w:gridSpan w:val="2"/>
            <w:vAlign w:val="center"/>
          </w:tcPr>
          <w:p>
            <w:pPr>
              <w:pStyle w:val="72"/>
              <w:rPr>
                <w:rFonts w:asciiTheme="minorHAnsi" w:hAnsiTheme="minorHAnsi" w:eastAsiaTheme="minorEastAsia"/>
              </w:rPr>
            </w:pPr>
            <w:r>
              <w:rPr>
                <w:rFonts w:hint="eastAsia" w:asciiTheme="minorHAnsi" w:hAnsiTheme="minorHAnsi" w:eastAsiaTheme="minorEastAsia"/>
              </w:rPr>
              <w:t>1.4</w:t>
            </w:r>
          </w:p>
        </w:tc>
        <w:tc>
          <w:tcPr>
            <w:tcW w:w="952" w:type="dxa"/>
            <w:vAlign w:val="center"/>
          </w:tcPr>
          <w:p>
            <w:pPr>
              <w:pStyle w:val="72"/>
              <w:rPr>
                <w:rFonts w:asciiTheme="minorHAnsi" w:hAnsiTheme="minorHAnsi" w:eastAsiaTheme="minorEastAsia"/>
              </w:rPr>
            </w:pPr>
            <w:r>
              <w:rPr>
                <w:rFonts w:hint="eastAsia" w:asciiTheme="minorHAnsi" w:hAnsiTheme="minorHAnsi" w:eastAsiaTheme="minorEastAsia"/>
              </w:rPr>
              <w:t>0.16</w:t>
            </w:r>
          </w:p>
        </w:tc>
        <w:tc>
          <w:tcPr>
            <w:tcW w:w="1219" w:type="dxa"/>
            <w:vAlign w:val="center"/>
          </w:tcPr>
          <w:p>
            <w:pPr>
              <w:pStyle w:val="72"/>
              <w:rPr>
                <w:rFonts w:asciiTheme="minorHAnsi" w:hAnsiTheme="minorHAnsi" w:eastAsiaTheme="minorEastAsia"/>
              </w:rPr>
            </w:pPr>
            <w:r>
              <w:rPr>
                <w:rFonts w:hint="eastAsia" w:asciiTheme="minorHAnsi" w:hAnsiTheme="minorHAnsi" w:eastAsiaTheme="minorEastAsia"/>
              </w:rPr>
              <w:t>1.56</w:t>
            </w:r>
          </w:p>
        </w:tc>
        <w:tc>
          <w:tcPr>
            <w:tcW w:w="1227" w:type="dxa"/>
            <w:vAlign w:val="center"/>
          </w:tcPr>
          <w:p>
            <w:pPr>
              <w:pStyle w:val="72"/>
              <w:rPr>
                <w:rFonts w:asciiTheme="minorHAnsi" w:hAnsiTheme="minorHAnsi" w:eastAsiaTheme="minorEastAsia"/>
              </w:rPr>
            </w:pPr>
            <w:r>
              <w:rPr>
                <w:rFonts w:hint="eastAsia" w:asciiTheme="minorHAnsi" w:hAnsiTheme="minorHAnsi" w:eastAsiaTheme="minorEastAsia"/>
              </w:rPr>
              <w:t>9.71</w:t>
            </w:r>
          </w:p>
        </w:tc>
      </w:tr>
    </w:tbl>
    <w:p>
      <w:pPr>
        <w:pStyle w:val="16"/>
        <w:spacing w:line="360" w:lineRule="auto"/>
        <w:ind w:firstLine="560"/>
        <w:rPr>
          <w:rFonts w:cs="Times New Roman"/>
        </w:rPr>
      </w:pPr>
    </w:p>
    <w:p>
      <w:pPr>
        <w:pStyle w:val="16"/>
        <w:spacing w:line="360" w:lineRule="auto"/>
        <w:ind w:firstLine="560"/>
        <w:rPr>
          <w:rFonts w:cs="Times New Roman"/>
        </w:rPr>
      </w:pPr>
      <w:r>
        <w:rPr>
          <w:rFonts w:cs="Times New Roman"/>
        </w:rPr>
        <w:t>淮北市自备用水的企业（单位）均已按国家标准征收水资源费、污水处理费，收费率达 90%以上。特种行业收费价格最高，主要是为了限制特种行业（主要包括洗浴、洗车用水等）用水。</w:t>
      </w:r>
    </w:p>
    <w:p>
      <w:pPr>
        <w:pStyle w:val="4"/>
      </w:pPr>
      <w:bookmarkStart w:id="151" w:name="_Toc8032550"/>
      <w:r>
        <w:rPr>
          <w:rFonts w:hint="eastAsia"/>
        </w:rPr>
        <w:t>2.6.10最严格的</w:t>
      </w:r>
      <w:r>
        <w:t>水资源管理制度</w:t>
      </w:r>
      <w:r>
        <w:rPr>
          <w:rFonts w:hint="eastAsia"/>
        </w:rPr>
        <w:t>初步建立</w:t>
      </w:r>
      <w:bookmarkEnd w:id="150"/>
      <w:bookmarkEnd w:id="151"/>
    </w:p>
    <w:p>
      <w:pPr>
        <w:ind w:firstLine="560"/>
      </w:pPr>
      <w:r>
        <w:rPr>
          <w:rFonts w:hint="eastAsia"/>
        </w:rPr>
        <w:t>按照水资源管理的总体要求，结合淮北市水资源实际认真抓好淮北市最严格水资源管理制的落实。</w:t>
      </w:r>
    </w:p>
    <w:p>
      <w:pPr>
        <w:ind w:firstLine="560"/>
      </w:pPr>
      <w:r>
        <w:rPr>
          <w:rFonts w:hint="eastAsia"/>
        </w:rPr>
        <w:t>一是从水资源管理制度入手，以落实制度推动工作开展，出台了《淮北市水资源管理办法》，编制完成了《淮北市水资源综合规划》、《淮北市十三五节水型社会建设规划》等多项专项规划。</w:t>
      </w:r>
    </w:p>
    <w:p>
      <w:pPr>
        <w:ind w:firstLine="560"/>
      </w:pPr>
      <w:r>
        <w:rPr>
          <w:rFonts w:hint="eastAsia"/>
        </w:rPr>
        <w:t>二是强化取水许可制度管理，规范计划用水与用水计量管理。对原有审批的取用水量进行重新核定，对取水户的用水工艺、节水措施、计量设施、退水水质等进行现场核实登记，根据已颁布的用水定额和用水户近年来的实际用水情况，科学合理地核定取水许可量。加强水政执法监管，从事前审批到用水、退水实施全过程管理。</w:t>
      </w:r>
    </w:p>
    <w:p>
      <w:pPr>
        <w:ind w:firstLine="560"/>
      </w:pPr>
      <w:r>
        <w:rPr>
          <w:rFonts w:hint="eastAsia"/>
        </w:rPr>
        <w:t>三是建立了水资源管理“三条红线”指标体系，将用水总量控制、用水效率控制和水功能区限制纳污指标分解到县区。制定出台《淮北市实行最严格水资源管理制度考核办法》。</w:t>
      </w:r>
    </w:p>
    <w:p>
      <w:pPr>
        <w:ind w:firstLine="560"/>
      </w:pPr>
      <w:r>
        <w:rPr>
          <w:rFonts w:hint="eastAsia"/>
        </w:rPr>
        <w:t>四是严格落实《安徽省物价局财政厅水利厅关于调整水资源费征收标准的通知》精神，加强水资源费征收管理，严格征收标准，做到及时足额征收，为淮北市水资源管理工作提供了资金保障。</w:t>
      </w:r>
    </w:p>
    <w:p>
      <w:pPr>
        <w:snapToGrid w:val="0"/>
        <w:ind w:firstLine="560"/>
      </w:pPr>
      <w:r>
        <w:rPr>
          <w:rFonts w:hint="eastAsia"/>
        </w:rPr>
        <w:t>五是圆满完成节水型社会建设。</w:t>
      </w:r>
      <w:r>
        <w:t>2006</w:t>
      </w:r>
      <w:r>
        <w:rPr>
          <w:rFonts w:hint="eastAsia"/>
        </w:rPr>
        <w:t>年</w:t>
      </w:r>
      <w:r>
        <w:t>11</w:t>
      </w:r>
      <w:r>
        <w:rPr>
          <w:rFonts w:hint="eastAsia"/>
        </w:rPr>
        <w:t>月，淮北市被水利部列为全国第二批节水型社会试点市，</w:t>
      </w:r>
      <w:r>
        <w:t>2013</w:t>
      </w:r>
      <w:r>
        <w:rPr>
          <w:rFonts w:hint="eastAsia"/>
        </w:rPr>
        <w:t>年</w:t>
      </w:r>
      <w:r>
        <w:t>2</w:t>
      </w:r>
      <w:r>
        <w:rPr>
          <w:rFonts w:hint="eastAsia"/>
        </w:rPr>
        <w:t>月被水利部授予“全国第二批节水型社会建设示范区”称号。按照水利部和全国节水办有关规定，为确保顺利通过水利部三年复核验收，印发了《</w:t>
      </w:r>
      <w:r>
        <w:t>2015</w:t>
      </w:r>
      <w:r>
        <w:rPr>
          <w:rFonts w:hint="eastAsia"/>
        </w:rPr>
        <w:t>年淮北市节水型社会建设工作任务分解》（淮节水办〔</w:t>
      </w:r>
      <w:r>
        <w:t>2015</w:t>
      </w:r>
      <w:r>
        <w:rPr>
          <w:rFonts w:hint="eastAsia"/>
        </w:rPr>
        <w:t>〕</w:t>
      </w:r>
      <w:r>
        <w:t>1</w:t>
      </w:r>
      <w:r>
        <w:rPr>
          <w:rFonts w:hint="eastAsia"/>
        </w:rPr>
        <w:t>号），进一步明确了制度建设、宣传教育、工业节水、农业节水、市政节水、水环境保护、综合协调等七个工作组的年度工作任务、具体要求、责任单位、完成时限。各成员单位按照职责分工，以工业节水、农业节水、市政节水、水环境保护为重点，逐项落实各项工作，确保顺利通过国家复核验收。</w:t>
      </w:r>
    </w:p>
    <w:p>
      <w:pPr>
        <w:pStyle w:val="3"/>
        <w:spacing w:before="120" w:after="60" w:line="360" w:lineRule="auto"/>
        <w:ind w:firstLine="602"/>
        <w:rPr>
          <w:rFonts w:ascii="Times New Roman" w:hAnsi="Times New Roman"/>
        </w:rPr>
      </w:pPr>
      <w:bookmarkStart w:id="152" w:name="_Toc8032551"/>
      <w:r>
        <w:rPr>
          <w:rFonts w:hint="eastAsia" w:ascii="Times New Roman" w:hAnsi="Times New Roman"/>
        </w:rPr>
        <w:t xml:space="preserve">2.7 </w:t>
      </w:r>
      <w:r>
        <w:rPr>
          <w:rFonts w:ascii="Times New Roman" w:hAnsi="Times New Roman"/>
        </w:rPr>
        <w:t>城市节约用水现状及节水潜力分析</w:t>
      </w:r>
      <w:bookmarkEnd w:id="152"/>
    </w:p>
    <w:p>
      <w:pPr>
        <w:pStyle w:val="4"/>
        <w:spacing w:line="360" w:lineRule="auto"/>
        <w:rPr>
          <w:rFonts w:cs="Times New Roman"/>
        </w:rPr>
      </w:pPr>
      <w:bookmarkStart w:id="153" w:name="_Toc8032552"/>
      <w:bookmarkStart w:id="154" w:name="_Toc478634309"/>
      <w:r>
        <w:rPr>
          <w:rFonts w:hint="eastAsia" w:cs="Times New Roman"/>
        </w:rPr>
        <w:t xml:space="preserve">2.7.1 </w:t>
      </w:r>
      <w:r>
        <w:rPr>
          <w:rFonts w:cs="Times New Roman"/>
        </w:rPr>
        <w:t xml:space="preserve"> 综合节水现状及潜力分析</w:t>
      </w:r>
      <w:bookmarkEnd w:id="153"/>
      <w:bookmarkEnd w:id="154"/>
    </w:p>
    <w:p>
      <w:pPr>
        <w:pStyle w:val="5"/>
        <w:spacing w:before="120"/>
      </w:pPr>
      <w:bookmarkStart w:id="155" w:name="_Toc478634310"/>
      <w:bookmarkStart w:id="156" w:name="_Toc8032553"/>
      <w:r>
        <w:rPr>
          <w:rFonts w:hint="eastAsia"/>
        </w:rPr>
        <w:t>2.7.1.1</w:t>
      </w:r>
      <w:r>
        <w:t xml:space="preserve">  综合节水现状</w:t>
      </w:r>
      <w:bookmarkEnd w:id="155"/>
      <w:bookmarkEnd w:id="156"/>
    </w:p>
    <w:p>
      <w:pPr>
        <w:pStyle w:val="16"/>
        <w:kinsoku w:val="0"/>
        <w:overflowPunct w:val="0"/>
        <w:spacing w:line="360" w:lineRule="auto"/>
        <w:ind w:firstLine="594"/>
        <w:rPr>
          <w:rFonts w:cs="Times New Roman"/>
          <w:spacing w:val="17"/>
        </w:rPr>
      </w:pPr>
      <w:r>
        <w:rPr>
          <w:rFonts w:cs="Times New Roman"/>
          <w:spacing w:val="17"/>
        </w:rPr>
        <w:t>根据《</w:t>
      </w:r>
      <w:r>
        <w:rPr>
          <w:rFonts w:hint="eastAsia" w:cs="Times New Roman"/>
          <w:spacing w:val="17"/>
        </w:rPr>
        <w:t>淮北</w:t>
      </w:r>
      <w:r>
        <w:rPr>
          <w:rFonts w:cs="Times New Roman"/>
          <w:spacing w:val="17"/>
        </w:rPr>
        <w:t>统计年鉴》的</w:t>
      </w:r>
      <w:r>
        <w:rPr>
          <w:rFonts w:hint="eastAsia" w:cs="Times New Roman"/>
          <w:spacing w:val="17"/>
        </w:rPr>
        <w:t>城市</w:t>
      </w:r>
      <w:r>
        <w:rPr>
          <w:rFonts w:cs="Times New Roman"/>
          <w:spacing w:val="17"/>
        </w:rPr>
        <w:t>公共供水</w:t>
      </w:r>
      <w:r>
        <w:rPr>
          <w:rFonts w:hint="eastAsia" w:cs="Times New Roman"/>
          <w:spacing w:val="17"/>
        </w:rPr>
        <w:t>情况</w:t>
      </w:r>
      <w:r>
        <w:rPr>
          <w:rFonts w:cs="Times New Roman"/>
          <w:spacing w:val="17"/>
        </w:rPr>
        <w:t>、</w:t>
      </w:r>
      <w:r>
        <w:rPr>
          <w:rFonts w:hint="eastAsia" w:cs="Times New Roman"/>
          <w:spacing w:val="17"/>
        </w:rPr>
        <w:t>城市自建设施供水情况</w:t>
      </w:r>
      <w:r>
        <w:rPr>
          <w:rFonts w:cs="Times New Roman"/>
          <w:spacing w:val="17"/>
        </w:rPr>
        <w:t>统计表及相关补充资料可知，</w:t>
      </w:r>
      <w:r>
        <w:rPr>
          <w:rFonts w:hint="eastAsia" w:cs="Times New Roman"/>
          <w:spacing w:val="17"/>
        </w:rPr>
        <w:t>自建设施</w:t>
      </w:r>
      <w:r>
        <w:rPr>
          <w:rFonts w:cs="Times New Roman"/>
          <w:spacing w:val="17"/>
        </w:rPr>
        <w:t>供水</w:t>
      </w:r>
      <w:r>
        <w:rPr>
          <w:rFonts w:hint="eastAsia" w:cs="Times New Roman"/>
          <w:spacing w:val="17"/>
        </w:rPr>
        <w:t>主要</w:t>
      </w:r>
      <w:r>
        <w:rPr>
          <w:rFonts w:cs="Times New Roman"/>
          <w:spacing w:val="17"/>
        </w:rPr>
        <w:t>为企业自取自供，其用水性质主要为工业用水。201</w:t>
      </w:r>
      <w:r>
        <w:rPr>
          <w:rFonts w:hint="eastAsia" w:cs="Times New Roman"/>
          <w:spacing w:val="17"/>
        </w:rPr>
        <w:t>3</w:t>
      </w:r>
      <w:r>
        <w:rPr>
          <w:rFonts w:cs="Times New Roman"/>
          <w:spacing w:val="17"/>
        </w:rPr>
        <w:t>~201</w:t>
      </w:r>
      <w:r>
        <w:rPr>
          <w:rFonts w:hint="eastAsia" w:cs="Times New Roman"/>
          <w:spacing w:val="17"/>
        </w:rPr>
        <w:t>7</w:t>
      </w:r>
      <w:r>
        <w:rPr>
          <w:rFonts w:cs="Times New Roman"/>
          <w:spacing w:val="17"/>
        </w:rPr>
        <w:t xml:space="preserve"> 年公共供水的供水量占城市总供水量的</w:t>
      </w:r>
      <w:r>
        <w:rPr>
          <w:rFonts w:hint="eastAsia" w:cs="Times New Roman"/>
          <w:spacing w:val="17"/>
        </w:rPr>
        <w:t>50</w:t>
      </w:r>
      <w:r>
        <w:rPr>
          <w:rFonts w:cs="Times New Roman"/>
          <w:spacing w:val="17"/>
        </w:rPr>
        <w:t>%以上，节水工作的重点是公共供水方面。</w:t>
      </w:r>
      <w:r>
        <w:rPr>
          <w:rFonts w:hint="eastAsia" w:cs="Times New Roman"/>
          <w:spacing w:val="17"/>
        </w:rPr>
        <w:t xml:space="preserve">  </w:t>
      </w:r>
    </w:p>
    <w:p>
      <w:pPr>
        <w:pStyle w:val="16"/>
        <w:kinsoku w:val="0"/>
        <w:overflowPunct w:val="0"/>
        <w:spacing w:line="360" w:lineRule="auto"/>
        <w:ind w:firstLine="594"/>
        <w:rPr>
          <w:rFonts w:cs="Times New Roman"/>
          <w:spacing w:val="17"/>
        </w:rPr>
      </w:pPr>
      <w:r>
        <w:rPr>
          <w:rFonts w:cs="Times New Roman"/>
          <w:spacing w:val="17"/>
        </w:rPr>
        <w:t>淮北市城区各年份（201</w:t>
      </w:r>
      <w:r>
        <w:rPr>
          <w:rFonts w:hint="eastAsia" w:cs="Times New Roman"/>
          <w:spacing w:val="17"/>
        </w:rPr>
        <w:t>3</w:t>
      </w:r>
      <w:r>
        <w:rPr>
          <w:rFonts w:cs="Times New Roman"/>
          <w:spacing w:val="17"/>
        </w:rPr>
        <w:t>~201</w:t>
      </w:r>
      <w:r>
        <w:rPr>
          <w:rFonts w:hint="eastAsia" w:cs="Times New Roman"/>
          <w:spacing w:val="17"/>
        </w:rPr>
        <w:t>7</w:t>
      </w:r>
      <w:r>
        <w:rPr>
          <w:rFonts w:cs="Times New Roman"/>
          <w:spacing w:val="17"/>
        </w:rPr>
        <w:t>年）供水用水量情况如下附表</w:t>
      </w:r>
      <w:r>
        <w:rPr>
          <w:rFonts w:cs="Times New Roman"/>
          <w:b/>
          <w:spacing w:val="17"/>
        </w:rPr>
        <w:t xml:space="preserve">         </w:t>
      </w:r>
      <w:r>
        <w:rPr>
          <w:rFonts w:cs="Times New Roman"/>
          <w:b/>
          <w:spacing w:val="17"/>
          <w:sz w:val="24"/>
        </w:rPr>
        <w:t xml:space="preserve">  </w:t>
      </w:r>
    </w:p>
    <w:p>
      <w:pPr>
        <w:pStyle w:val="16"/>
        <w:kinsoku w:val="0"/>
        <w:overflowPunct w:val="0"/>
        <w:spacing w:line="360" w:lineRule="auto"/>
        <w:ind w:firstLine="0" w:firstLineChars="0"/>
        <w:jc w:val="center"/>
        <w:rPr>
          <w:rFonts w:cs="Times New Roman"/>
          <w:b/>
          <w:spacing w:val="17"/>
          <w:sz w:val="24"/>
        </w:rPr>
      </w:pPr>
      <w:r>
        <w:rPr>
          <w:rFonts w:cs="Times New Roman"/>
          <w:b/>
          <w:spacing w:val="17"/>
          <w:sz w:val="24"/>
        </w:rPr>
        <w:t xml:space="preserve">  表</w:t>
      </w:r>
      <w:r>
        <w:rPr>
          <w:rFonts w:hint="eastAsia" w:cs="Times New Roman"/>
          <w:b/>
          <w:spacing w:val="17"/>
          <w:sz w:val="24"/>
        </w:rPr>
        <w:t>2</w:t>
      </w:r>
      <w:r>
        <w:rPr>
          <w:rFonts w:cs="Times New Roman"/>
          <w:b/>
          <w:spacing w:val="17"/>
          <w:sz w:val="24"/>
        </w:rPr>
        <w:t>-</w:t>
      </w:r>
      <w:r>
        <w:rPr>
          <w:rFonts w:hint="eastAsia" w:cs="Times New Roman"/>
          <w:b/>
          <w:spacing w:val="17"/>
          <w:sz w:val="24"/>
        </w:rPr>
        <w:t>23</w:t>
      </w:r>
      <w:r>
        <w:rPr>
          <w:rFonts w:cs="Times New Roman"/>
          <w:b/>
          <w:spacing w:val="17"/>
          <w:sz w:val="24"/>
        </w:rPr>
        <w:t xml:space="preserve">  淮北市城区各年份（201</w:t>
      </w:r>
      <w:r>
        <w:rPr>
          <w:rFonts w:hint="eastAsia" w:cs="Times New Roman"/>
          <w:b/>
          <w:spacing w:val="17"/>
          <w:sz w:val="24"/>
        </w:rPr>
        <w:t>3</w:t>
      </w:r>
      <w:r>
        <w:rPr>
          <w:rFonts w:cs="Times New Roman"/>
          <w:b/>
          <w:spacing w:val="17"/>
          <w:sz w:val="24"/>
        </w:rPr>
        <w:t>~201</w:t>
      </w:r>
      <w:r>
        <w:rPr>
          <w:rFonts w:hint="eastAsia" w:cs="Times New Roman"/>
          <w:b/>
          <w:spacing w:val="17"/>
          <w:sz w:val="24"/>
        </w:rPr>
        <w:t>7</w:t>
      </w:r>
      <w:r>
        <w:rPr>
          <w:rFonts w:cs="Times New Roman"/>
          <w:b/>
          <w:spacing w:val="17"/>
          <w:sz w:val="24"/>
        </w:rPr>
        <w:t xml:space="preserve">年）供水用水量情况表       </w:t>
      </w:r>
    </w:p>
    <w:tbl>
      <w:tblPr>
        <w:tblStyle w:val="39"/>
        <w:tblW w:w="10664" w:type="dxa"/>
        <w:tblInd w:w="-176" w:type="dxa"/>
        <w:tblLayout w:type="fixed"/>
        <w:tblCellMar>
          <w:top w:w="0" w:type="dxa"/>
          <w:left w:w="108" w:type="dxa"/>
          <w:bottom w:w="0" w:type="dxa"/>
          <w:right w:w="108" w:type="dxa"/>
        </w:tblCellMar>
      </w:tblPr>
      <w:tblGrid>
        <w:gridCol w:w="516"/>
        <w:gridCol w:w="1048"/>
        <w:gridCol w:w="666"/>
        <w:gridCol w:w="639"/>
        <w:gridCol w:w="831"/>
        <w:gridCol w:w="789"/>
        <w:gridCol w:w="789"/>
        <w:gridCol w:w="844"/>
        <w:gridCol w:w="653"/>
        <w:gridCol w:w="544"/>
        <w:gridCol w:w="797"/>
        <w:gridCol w:w="631"/>
        <w:gridCol w:w="711"/>
        <w:gridCol w:w="603"/>
        <w:gridCol w:w="603"/>
      </w:tblGrid>
      <w:tr>
        <w:tblPrEx>
          <w:tblCellMar>
            <w:top w:w="0" w:type="dxa"/>
            <w:left w:w="108" w:type="dxa"/>
            <w:bottom w:w="0" w:type="dxa"/>
            <w:right w:w="108" w:type="dxa"/>
          </w:tblCellMar>
        </w:tblPrEx>
        <w:trPr>
          <w:trHeight w:val="287" w:hRule="atLeast"/>
        </w:trPr>
        <w:tc>
          <w:tcPr>
            <w:tcW w:w="516" w:type="dxa"/>
            <w:vMerge w:val="restart"/>
            <w:tcBorders>
              <w:top w:val="single" w:color="auto" w:sz="4" w:space="0"/>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rPr>
                <w:rFonts w:ascii="宋体" w:hAnsi="宋体" w:cs="宋体"/>
                <w:color w:val="000000"/>
                <w:sz w:val="15"/>
                <w:szCs w:val="15"/>
              </w:rPr>
            </w:pPr>
            <w:r>
              <w:rPr>
                <w:rFonts w:hint="eastAsia" w:ascii="宋体" w:hAnsi="宋体" w:cs="宋体"/>
                <w:color w:val="000000"/>
                <w:sz w:val="15"/>
                <w:szCs w:val="15"/>
              </w:rPr>
              <w:t>年份</w:t>
            </w:r>
          </w:p>
        </w:tc>
        <w:tc>
          <w:tcPr>
            <w:tcW w:w="1048" w:type="dxa"/>
            <w:vMerge w:val="restart"/>
            <w:tcBorders>
              <w:top w:val="single" w:color="auto" w:sz="4" w:space="0"/>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城市取水量（万立方米）</w:t>
            </w:r>
          </w:p>
        </w:tc>
        <w:tc>
          <w:tcPr>
            <w:tcW w:w="5755" w:type="dxa"/>
            <w:gridSpan w:val="8"/>
            <w:tcBorders>
              <w:top w:val="single" w:color="auto" w:sz="4" w:space="0"/>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城市供水总量(万立方米)</w:t>
            </w:r>
          </w:p>
        </w:tc>
        <w:tc>
          <w:tcPr>
            <w:tcW w:w="797" w:type="dxa"/>
            <w:vMerge w:val="restart"/>
            <w:tcBorders>
              <w:top w:val="single" w:color="auto" w:sz="4" w:space="0"/>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管网漏损率（%）</w:t>
            </w:r>
          </w:p>
        </w:tc>
        <w:tc>
          <w:tcPr>
            <w:tcW w:w="1342" w:type="dxa"/>
            <w:gridSpan w:val="2"/>
            <w:vMerge w:val="restart"/>
            <w:tcBorders>
              <w:top w:val="single" w:color="auto" w:sz="4" w:space="0"/>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供水管道长度(公里)</w:t>
            </w:r>
          </w:p>
        </w:tc>
        <w:tc>
          <w:tcPr>
            <w:tcW w:w="1206" w:type="dxa"/>
            <w:gridSpan w:val="2"/>
            <w:vMerge w:val="restart"/>
            <w:tcBorders>
              <w:top w:val="single" w:color="auto" w:sz="4" w:space="0"/>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用水人口(万人)</w:t>
            </w:r>
          </w:p>
        </w:tc>
      </w:tr>
      <w:tr>
        <w:tblPrEx>
          <w:tblCellMar>
            <w:top w:w="0" w:type="dxa"/>
            <w:left w:w="108" w:type="dxa"/>
            <w:bottom w:w="0" w:type="dxa"/>
            <w:right w:w="108" w:type="dxa"/>
          </w:tblCellMar>
        </w:tblPrEx>
        <w:trPr>
          <w:trHeight w:val="272" w:hRule="atLeast"/>
        </w:trPr>
        <w:tc>
          <w:tcPr>
            <w:tcW w:w="516"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1048"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66"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合计</w:t>
            </w:r>
          </w:p>
        </w:tc>
        <w:tc>
          <w:tcPr>
            <w:tcW w:w="1470" w:type="dxa"/>
            <w:gridSpan w:val="2"/>
            <w:tcBorders>
              <w:top w:val="single" w:color="auto" w:sz="4" w:space="0"/>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其中</w:t>
            </w:r>
          </w:p>
        </w:tc>
        <w:tc>
          <w:tcPr>
            <w:tcW w:w="789"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生产运营用水</w:t>
            </w:r>
          </w:p>
        </w:tc>
        <w:tc>
          <w:tcPr>
            <w:tcW w:w="789"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公共服务用水</w:t>
            </w:r>
          </w:p>
        </w:tc>
        <w:tc>
          <w:tcPr>
            <w:tcW w:w="844"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居民家庭用水</w:t>
            </w:r>
          </w:p>
        </w:tc>
        <w:tc>
          <w:tcPr>
            <w:tcW w:w="653"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其他用水</w:t>
            </w:r>
          </w:p>
        </w:tc>
        <w:tc>
          <w:tcPr>
            <w:tcW w:w="544"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漏损水量</w:t>
            </w:r>
          </w:p>
        </w:tc>
        <w:tc>
          <w:tcPr>
            <w:tcW w:w="797"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1342"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1206"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r>
      <w:tr>
        <w:tblPrEx>
          <w:tblCellMar>
            <w:top w:w="0" w:type="dxa"/>
            <w:left w:w="108" w:type="dxa"/>
            <w:bottom w:w="0" w:type="dxa"/>
            <w:right w:w="108" w:type="dxa"/>
          </w:tblCellMar>
        </w:tblPrEx>
        <w:trPr>
          <w:trHeight w:val="272" w:hRule="atLeast"/>
        </w:trPr>
        <w:tc>
          <w:tcPr>
            <w:tcW w:w="516"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1048"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66"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3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公共供水量</w:t>
            </w:r>
          </w:p>
        </w:tc>
        <w:tc>
          <w:tcPr>
            <w:tcW w:w="8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自建设施供水量</w:t>
            </w:r>
          </w:p>
        </w:tc>
        <w:tc>
          <w:tcPr>
            <w:tcW w:w="789"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789"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844"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53"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544"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797"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1342"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1206" w:type="dxa"/>
            <w:gridSpan w:val="2"/>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r>
      <w:tr>
        <w:tblPrEx>
          <w:tblCellMar>
            <w:top w:w="0" w:type="dxa"/>
            <w:left w:w="108" w:type="dxa"/>
            <w:bottom w:w="0" w:type="dxa"/>
            <w:right w:w="108" w:type="dxa"/>
          </w:tblCellMar>
        </w:tblPrEx>
        <w:trPr>
          <w:trHeight w:val="272" w:hRule="atLeast"/>
        </w:trPr>
        <w:tc>
          <w:tcPr>
            <w:tcW w:w="516"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sz w:val="15"/>
                <w:szCs w:val="15"/>
              </w:rPr>
            </w:pPr>
            <w:r>
              <w:rPr>
                <w:rFonts w:hint="eastAsia" w:ascii="宋体" w:hAnsi="宋体" w:cs="宋体"/>
                <w:sz w:val="15"/>
                <w:szCs w:val="15"/>
              </w:rPr>
              <w:t>2013</w:t>
            </w:r>
          </w:p>
        </w:tc>
        <w:tc>
          <w:tcPr>
            <w:tcW w:w="1048"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5806.5 </w:t>
            </w:r>
          </w:p>
        </w:tc>
        <w:tc>
          <w:tcPr>
            <w:tcW w:w="666"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5530 </w:t>
            </w:r>
          </w:p>
        </w:tc>
        <w:tc>
          <w:tcPr>
            <w:tcW w:w="63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2727 </w:t>
            </w:r>
          </w:p>
        </w:tc>
        <w:tc>
          <w:tcPr>
            <w:tcW w:w="8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736.2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212.17 </w:t>
            </w:r>
          </w:p>
        </w:tc>
        <w:tc>
          <w:tcPr>
            <w:tcW w:w="8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1445.1 </w:t>
            </w:r>
          </w:p>
        </w:tc>
        <w:tc>
          <w:tcPr>
            <w:tcW w:w="65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4.53 </w:t>
            </w:r>
          </w:p>
        </w:tc>
        <w:tc>
          <w:tcPr>
            <w:tcW w:w="5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329 </w:t>
            </w:r>
          </w:p>
        </w:tc>
        <w:tc>
          <w:tcPr>
            <w:tcW w:w="797"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12.06 </w:t>
            </w:r>
          </w:p>
        </w:tc>
        <w:tc>
          <w:tcPr>
            <w:tcW w:w="6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652 </w:t>
            </w:r>
          </w:p>
        </w:tc>
        <w:tc>
          <w:tcPr>
            <w:tcW w:w="711"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930.00 </w:t>
            </w:r>
          </w:p>
        </w:tc>
        <w:tc>
          <w:tcPr>
            <w:tcW w:w="60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36.82 </w:t>
            </w:r>
          </w:p>
        </w:tc>
        <w:tc>
          <w:tcPr>
            <w:tcW w:w="603"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81.88 </w:t>
            </w:r>
          </w:p>
        </w:tc>
      </w:tr>
      <w:tr>
        <w:tblPrEx>
          <w:tblCellMar>
            <w:top w:w="0" w:type="dxa"/>
            <w:left w:w="108" w:type="dxa"/>
            <w:bottom w:w="0" w:type="dxa"/>
            <w:right w:w="108" w:type="dxa"/>
          </w:tblCellMar>
        </w:tblPrEx>
        <w:trPr>
          <w:trHeight w:val="272" w:hRule="atLeast"/>
        </w:trPr>
        <w:tc>
          <w:tcPr>
            <w:tcW w:w="516"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sz w:val="15"/>
                <w:szCs w:val="15"/>
              </w:rPr>
            </w:pPr>
          </w:p>
        </w:tc>
        <w:tc>
          <w:tcPr>
            <w:tcW w:w="1048"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66"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3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w:t>
            </w:r>
          </w:p>
        </w:tc>
        <w:tc>
          <w:tcPr>
            <w:tcW w:w="8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2803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1179.5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68.02 </w:t>
            </w:r>
          </w:p>
        </w:tc>
        <w:tc>
          <w:tcPr>
            <w:tcW w:w="8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1394.08 </w:t>
            </w:r>
          </w:p>
        </w:tc>
        <w:tc>
          <w:tcPr>
            <w:tcW w:w="65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161.4 </w:t>
            </w:r>
          </w:p>
        </w:tc>
        <w:tc>
          <w:tcPr>
            <w:tcW w:w="5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w:t>
            </w:r>
          </w:p>
        </w:tc>
        <w:tc>
          <w:tcPr>
            <w:tcW w:w="797"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278 </w:t>
            </w:r>
          </w:p>
        </w:tc>
        <w:tc>
          <w:tcPr>
            <w:tcW w:w="711"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0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45.06 </w:t>
            </w:r>
          </w:p>
        </w:tc>
        <w:tc>
          <w:tcPr>
            <w:tcW w:w="603"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r>
      <w:tr>
        <w:tblPrEx>
          <w:tblCellMar>
            <w:top w:w="0" w:type="dxa"/>
            <w:left w:w="108" w:type="dxa"/>
            <w:bottom w:w="0" w:type="dxa"/>
            <w:right w:w="108" w:type="dxa"/>
          </w:tblCellMar>
        </w:tblPrEx>
        <w:trPr>
          <w:trHeight w:val="272" w:hRule="atLeast"/>
        </w:trPr>
        <w:tc>
          <w:tcPr>
            <w:tcW w:w="516"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sz w:val="15"/>
                <w:szCs w:val="15"/>
              </w:rPr>
            </w:pPr>
            <w:r>
              <w:rPr>
                <w:rFonts w:hint="eastAsia" w:ascii="宋体" w:hAnsi="宋体" w:cs="宋体"/>
                <w:sz w:val="15"/>
                <w:szCs w:val="15"/>
              </w:rPr>
              <w:t>2014</w:t>
            </w:r>
          </w:p>
        </w:tc>
        <w:tc>
          <w:tcPr>
            <w:tcW w:w="1048"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5791.8 </w:t>
            </w:r>
          </w:p>
        </w:tc>
        <w:tc>
          <w:tcPr>
            <w:tcW w:w="666"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5516 </w:t>
            </w:r>
          </w:p>
        </w:tc>
        <w:tc>
          <w:tcPr>
            <w:tcW w:w="63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2933 </w:t>
            </w:r>
          </w:p>
        </w:tc>
        <w:tc>
          <w:tcPr>
            <w:tcW w:w="8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746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248.4 </w:t>
            </w:r>
          </w:p>
        </w:tc>
        <w:tc>
          <w:tcPr>
            <w:tcW w:w="8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1502 </w:t>
            </w:r>
          </w:p>
        </w:tc>
        <w:tc>
          <w:tcPr>
            <w:tcW w:w="65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5.6 </w:t>
            </w:r>
          </w:p>
        </w:tc>
        <w:tc>
          <w:tcPr>
            <w:tcW w:w="5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431 </w:t>
            </w:r>
          </w:p>
        </w:tc>
        <w:tc>
          <w:tcPr>
            <w:tcW w:w="797"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14.69 </w:t>
            </w:r>
          </w:p>
        </w:tc>
        <w:tc>
          <w:tcPr>
            <w:tcW w:w="6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724 </w:t>
            </w:r>
          </w:p>
        </w:tc>
        <w:tc>
          <w:tcPr>
            <w:tcW w:w="711"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991.00 </w:t>
            </w:r>
          </w:p>
        </w:tc>
        <w:tc>
          <w:tcPr>
            <w:tcW w:w="60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40.76 </w:t>
            </w:r>
          </w:p>
        </w:tc>
        <w:tc>
          <w:tcPr>
            <w:tcW w:w="603"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81.75 </w:t>
            </w:r>
          </w:p>
        </w:tc>
      </w:tr>
      <w:tr>
        <w:tblPrEx>
          <w:tblCellMar>
            <w:top w:w="0" w:type="dxa"/>
            <w:left w:w="108" w:type="dxa"/>
            <w:bottom w:w="0" w:type="dxa"/>
            <w:right w:w="108" w:type="dxa"/>
          </w:tblCellMar>
        </w:tblPrEx>
        <w:trPr>
          <w:trHeight w:val="272" w:hRule="atLeast"/>
        </w:trPr>
        <w:tc>
          <w:tcPr>
            <w:tcW w:w="516"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sz w:val="15"/>
                <w:szCs w:val="15"/>
              </w:rPr>
            </w:pPr>
          </w:p>
        </w:tc>
        <w:tc>
          <w:tcPr>
            <w:tcW w:w="1048"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66"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3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w:t>
            </w:r>
          </w:p>
        </w:tc>
        <w:tc>
          <w:tcPr>
            <w:tcW w:w="8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2583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1399.7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71.5 </w:t>
            </w:r>
          </w:p>
        </w:tc>
        <w:tc>
          <w:tcPr>
            <w:tcW w:w="8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1074.25 </w:t>
            </w:r>
          </w:p>
        </w:tc>
        <w:tc>
          <w:tcPr>
            <w:tcW w:w="65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37.55 </w:t>
            </w:r>
          </w:p>
        </w:tc>
        <w:tc>
          <w:tcPr>
            <w:tcW w:w="5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w:t>
            </w:r>
          </w:p>
        </w:tc>
        <w:tc>
          <w:tcPr>
            <w:tcW w:w="797"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267 </w:t>
            </w:r>
          </w:p>
        </w:tc>
        <w:tc>
          <w:tcPr>
            <w:tcW w:w="711"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0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40.99 </w:t>
            </w:r>
          </w:p>
        </w:tc>
        <w:tc>
          <w:tcPr>
            <w:tcW w:w="603"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r>
      <w:tr>
        <w:tblPrEx>
          <w:tblCellMar>
            <w:top w:w="0" w:type="dxa"/>
            <w:left w:w="108" w:type="dxa"/>
            <w:bottom w:w="0" w:type="dxa"/>
            <w:right w:w="108" w:type="dxa"/>
          </w:tblCellMar>
        </w:tblPrEx>
        <w:trPr>
          <w:trHeight w:val="272" w:hRule="atLeast"/>
        </w:trPr>
        <w:tc>
          <w:tcPr>
            <w:tcW w:w="516"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sz w:val="15"/>
                <w:szCs w:val="15"/>
              </w:rPr>
            </w:pPr>
            <w:r>
              <w:rPr>
                <w:rFonts w:hint="eastAsia" w:ascii="宋体" w:hAnsi="宋体" w:cs="宋体"/>
                <w:sz w:val="15"/>
                <w:szCs w:val="15"/>
              </w:rPr>
              <w:t>2015</w:t>
            </w:r>
          </w:p>
        </w:tc>
        <w:tc>
          <w:tcPr>
            <w:tcW w:w="1048"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5811.75 </w:t>
            </w:r>
          </w:p>
        </w:tc>
        <w:tc>
          <w:tcPr>
            <w:tcW w:w="666"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5535 </w:t>
            </w:r>
          </w:p>
        </w:tc>
        <w:tc>
          <w:tcPr>
            <w:tcW w:w="63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3120 </w:t>
            </w:r>
          </w:p>
        </w:tc>
        <w:tc>
          <w:tcPr>
            <w:tcW w:w="8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753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251.6 </w:t>
            </w:r>
          </w:p>
        </w:tc>
        <w:tc>
          <w:tcPr>
            <w:tcW w:w="8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1646 </w:t>
            </w:r>
          </w:p>
        </w:tc>
        <w:tc>
          <w:tcPr>
            <w:tcW w:w="65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7.4 </w:t>
            </w:r>
          </w:p>
        </w:tc>
        <w:tc>
          <w:tcPr>
            <w:tcW w:w="5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462 </w:t>
            </w:r>
          </w:p>
        </w:tc>
        <w:tc>
          <w:tcPr>
            <w:tcW w:w="797"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14.81 </w:t>
            </w:r>
          </w:p>
        </w:tc>
        <w:tc>
          <w:tcPr>
            <w:tcW w:w="6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766 </w:t>
            </w:r>
          </w:p>
        </w:tc>
        <w:tc>
          <w:tcPr>
            <w:tcW w:w="711"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1022.5 </w:t>
            </w:r>
          </w:p>
        </w:tc>
        <w:tc>
          <w:tcPr>
            <w:tcW w:w="60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41.00 </w:t>
            </w:r>
          </w:p>
        </w:tc>
        <w:tc>
          <w:tcPr>
            <w:tcW w:w="603"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80.82 </w:t>
            </w:r>
          </w:p>
        </w:tc>
      </w:tr>
      <w:tr>
        <w:tblPrEx>
          <w:tblCellMar>
            <w:top w:w="0" w:type="dxa"/>
            <w:left w:w="108" w:type="dxa"/>
            <w:bottom w:w="0" w:type="dxa"/>
            <w:right w:w="108" w:type="dxa"/>
          </w:tblCellMar>
        </w:tblPrEx>
        <w:trPr>
          <w:trHeight w:val="272" w:hRule="atLeast"/>
        </w:trPr>
        <w:tc>
          <w:tcPr>
            <w:tcW w:w="516"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sz w:val="15"/>
                <w:szCs w:val="15"/>
              </w:rPr>
            </w:pPr>
          </w:p>
        </w:tc>
        <w:tc>
          <w:tcPr>
            <w:tcW w:w="1048"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66"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3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w:t>
            </w:r>
          </w:p>
        </w:tc>
        <w:tc>
          <w:tcPr>
            <w:tcW w:w="8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2415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1278.5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72.3 </w:t>
            </w:r>
          </w:p>
        </w:tc>
        <w:tc>
          <w:tcPr>
            <w:tcW w:w="8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1025.5 </w:t>
            </w:r>
          </w:p>
        </w:tc>
        <w:tc>
          <w:tcPr>
            <w:tcW w:w="65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38.7 </w:t>
            </w:r>
          </w:p>
        </w:tc>
        <w:tc>
          <w:tcPr>
            <w:tcW w:w="5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w:t>
            </w:r>
          </w:p>
        </w:tc>
        <w:tc>
          <w:tcPr>
            <w:tcW w:w="797"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256.5 </w:t>
            </w:r>
          </w:p>
        </w:tc>
        <w:tc>
          <w:tcPr>
            <w:tcW w:w="711"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0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39.82 </w:t>
            </w:r>
          </w:p>
        </w:tc>
        <w:tc>
          <w:tcPr>
            <w:tcW w:w="603"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r>
      <w:tr>
        <w:tblPrEx>
          <w:tblCellMar>
            <w:top w:w="0" w:type="dxa"/>
            <w:left w:w="108" w:type="dxa"/>
            <w:bottom w:w="0" w:type="dxa"/>
            <w:right w:w="108" w:type="dxa"/>
          </w:tblCellMar>
        </w:tblPrEx>
        <w:trPr>
          <w:trHeight w:val="272" w:hRule="atLeast"/>
        </w:trPr>
        <w:tc>
          <w:tcPr>
            <w:tcW w:w="516"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sz w:val="15"/>
                <w:szCs w:val="15"/>
              </w:rPr>
            </w:pPr>
            <w:r>
              <w:rPr>
                <w:rFonts w:hint="eastAsia" w:ascii="宋体" w:hAnsi="宋体" w:cs="宋体"/>
                <w:sz w:val="15"/>
                <w:szCs w:val="15"/>
              </w:rPr>
              <w:t>2016</w:t>
            </w:r>
          </w:p>
        </w:tc>
        <w:tc>
          <w:tcPr>
            <w:tcW w:w="1048"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5609.1 </w:t>
            </w:r>
          </w:p>
        </w:tc>
        <w:tc>
          <w:tcPr>
            <w:tcW w:w="666"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5342 </w:t>
            </w:r>
          </w:p>
        </w:tc>
        <w:tc>
          <w:tcPr>
            <w:tcW w:w="63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3146 </w:t>
            </w:r>
          </w:p>
        </w:tc>
        <w:tc>
          <w:tcPr>
            <w:tcW w:w="8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762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262 </w:t>
            </w:r>
          </w:p>
        </w:tc>
        <w:tc>
          <w:tcPr>
            <w:tcW w:w="8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1696 </w:t>
            </w:r>
          </w:p>
        </w:tc>
        <w:tc>
          <w:tcPr>
            <w:tcW w:w="65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8</w:t>
            </w:r>
          </w:p>
        </w:tc>
        <w:tc>
          <w:tcPr>
            <w:tcW w:w="5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418 </w:t>
            </w:r>
          </w:p>
        </w:tc>
        <w:tc>
          <w:tcPr>
            <w:tcW w:w="797"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13.29 </w:t>
            </w:r>
          </w:p>
        </w:tc>
        <w:tc>
          <w:tcPr>
            <w:tcW w:w="6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805 </w:t>
            </w:r>
          </w:p>
        </w:tc>
        <w:tc>
          <w:tcPr>
            <w:tcW w:w="711"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1057.0 </w:t>
            </w:r>
          </w:p>
        </w:tc>
        <w:tc>
          <w:tcPr>
            <w:tcW w:w="60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41.26 </w:t>
            </w:r>
          </w:p>
        </w:tc>
        <w:tc>
          <w:tcPr>
            <w:tcW w:w="603"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73.92 </w:t>
            </w:r>
          </w:p>
        </w:tc>
      </w:tr>
      <w:tr>
        <w:tblPrEx>
          <w:tblCellMar>
            <w:top w:w="0" w:type="dxa"/>
            <w:left w:w="108" w:type="dxa"/>
            <w:bottom w:w="0" w:type="dxa"/>
            <w:right w:w="108" w:type="dxa"/>
          </w:tblCellMar>
        </w:tblPrEx>
        <w:trPr>
          <w:trHeight w:val="272" w:hRule="atLeast"/>
        </w:trPr>
        <w:tc>
          <w:tcPr>
            <w:tcW w:w="516"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sz w:val="15"/>
                <w:szCs w:val="15"/>
              </w:rPr>
            </w:pPr>
          </w:p>
        </w:tc>
        <w:tc>
          <w:tcPr>
            <w:tcW w:w="1048"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66"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3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w:t>
            </w:r>
          </w:p>
        </w:tc>
        <w:tc>
          <w:tcPr>
            <w:tcW w:w="8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2196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1165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72.2 </w:t>
            </w:r>
          </w:p>
        </w:tc>
        <w:tc>
          <w:tcPr>
            <w:tcW w:w="8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920.5 </w:t>
            </w:r>
          </w:p>
        </w:tc>
        <w:tc>
          <w:tcPr>
            <w:tcW w:w="65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38.3 </w:t>
            </w:r>
          </w:p>
        </w:tc>
        <w:tc>
          <w:tcPr>
            <w:tcW w:w="5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w:t>
            </w:r>
          </w:p>
        </w:tc>
        <w:tc>
          <w:tcPr>
            <w:tcW w:w="797"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252 </w:t>
            </w:r>
          </w:p>
        </w:tc>
        <w:tc>
          <w:tcPr>
            <w:tcW w:w="711"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0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32.66 </w:t>
            </w:r>
          </w:p>
        </w:tc>
        <w:tc>
          <w:tcPr>
            <w:tcW w:w="603"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r>
      <w:tr>
        <w:tblPrEx>
          <w:tblCellMar>
            <w:top w:w="0" w:type="dxa"/>
            <w:left w:w="108" w:type="dxa"/>
            <w:bottom w:w="0" w:type="dxa"/>
            <w:right w:w="108" w:type="dxa"/>
          </w:tblCellMar>
        </w:tblPrEx>
        <w:trPr>
          <w:trHeight w:val="272" w:hRule="atLeast"/>
        </w:trPr>
        <w:tc>
          <w:tcPr>
            <w:tcW w:w="516"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sz w:val="15"/>
                <w:szCs w:val="15"/>
              </w:rPr>
            </w:pPr>
            <w:r>
              <w:rPr>
                <w:rFonts w:hint="eastAsia" w:ascii="宋体" w:hAnsi="宋体" w:cs="宋体"/>
                <w:sz w:val="15"/>
                <w:szCs w:val="15"/>
              </w:rPr>
              <w:t>2017</w:t>
            </w:r>
          </w:p>
        </w:tc>
        <w:tc>
          <w:tcPr>
            <w:tcW w:w="1048"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5831.39 </w:t>
            </w:r>
          </w:p>
        </w:tc>
        <w:tc>
          <w:tcPr>
            <w:tcW w:w="666"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5553.7 </w:t>
            </w:r>
          </w:p>
        </w:tc>
        <w:tc>
          <w:tcPr>
            <w:tcW w:w="63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3541 </w:t>
            </w:r>
          </w:p>
        </w:tc>
        <w:tc>
          <w:tcPr>
            <w:tcW w:w="8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876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301 </w:t>
            </w:r>
          </w:p>
        </w:tc>
        <w:tc>
          <w:tcPr>
            <w:tcW w:w="8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1952</w:t>
            </w:r>
          </w:p>
        </w:tc>
        <w:tc>
          <w:tcPr>
            <w:tcW w:w="65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8 </w:t>
            </w:r>
          </w:p>
        </w:tc>
        <w:tc>
          <w:tcPr>
            <w:tcW w:w="5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418 </w:t>
            </w:r>
          </w:p>
        </w:tc>
        <w:tc>
          <w:tcPr>
            <w:tcW w:w="797"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11.41 </w:t>
            </w:r>
          </w:p>
        </w:tc>
        <w:tc>
          <w:tcPr>
            <w:tcW w:w="6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934 </w:t>
            </w:r>
          </w:p>
        </w:tc>
        <w:tc>
          <w:tcPr>
            <w:tcW w:w="711"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1182 </w:t>
            </w:r>
          </w:p>
        </w:tc>
        <w:tc>
          <w:tcPr>
            <w:tcW w:w="60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61.3</w:t>
            </w:r>
          </w:p>
        </w:tc>
        <w:tc>
          <w:tcPr>
            <w:tcW w:w="603" w:type="dxa"/>
            <w:vMerge w:val="restart"/>
            <w:tcBorders>
              <w:top w:val="nil"/>
              <w:left w:val="single" w:color="auto" w:sz="4" w:space="0"/>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74.57 </w:t>
            </w:r>
          </w:p>
        </w:tc>
      </w:tr>
      <w:tr>
        <w:tblPrEx>
          <w:tblCellMar>
            <w:top w:w="0" w:type="dxa"/>
            <w:left w:w="108" w:type="dxa"/>
            <w:bottom w:w="0" w:type="dxa"/>
            <w:right w:w="108" w:type="dxa"/>
          </w:tblCellMar>
        </w:tblPrEx>
        <w:trPr>
          <w:trHeight w:val="272" w:hRule="atLeast"/>
        </w:trPr>
        <w:tc>
          <w:tcPr>
            <w:tcW w:w="516"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sz w:val="15"/>
                <w:szCs w:val="15"/>
              </w:rPr>
            </w:pPr>
          </w:p>
        </w:tc>
        <w:tc>
          <w:tcPr>
            <w:tcW w:w="1048"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66"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3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w:t>
            </w:r>
          </w:p>
        </w:tc>
        <w:tc>
          <w:tcPr>
            <w:tcW w:w="8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2012.7</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1136 </w:t>
            </w:r>
          </w:p>
        </w:tc>
        <w:tc>
          <w:tcPr>
            <w:tcW w:w="789"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50 </w:t>
            </w:r>
          </w:p>
        </w:tc>
        <w:tc>
          <w:tcPr>
            <w:tcW w:w="8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800</w:t>
            </w:r>
          </w:p>
        </w:tc>
        <w:tc>
          <w:tcPr>
            <w:tcW w:w="65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26.7 </w:t>
            </w:r>
          </w:p>
        </w:tc>
        <w:tc>
          <w:tcPr>
            <w:tcW w:w="544"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404　</w:t>
            </w:r>
          </w:p>
        </w:tc>
        <w:tc>
          <w:tcPr>
            <w:tcW w:w="797"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31"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248 </w:t>
            </w:r>
          </w:p>
        </w:tc>
        <w:tc>
          <w:tcPr>
            <w:tcW w:w="711"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c>
          <w:tcPr>
            <w:tcW w:w="603" w:type="dxa"/>
            <w:tcBorders>
              <w:top w:val="nil"/>
              <w:left w:val="nil"/>
              <w:bottom w:val="single" w:color="auto" w:sz="4" w:space="0"/>
              <w:right w:val="single" w:color="auto" w:sz="4" w:space="0"/>
            </w:tcBorders>
            <w:shd w:val="clear" w:color="000000" w:fill="FFFFFF"/>
            <w:vAlign w:val="center"/>
          </w:tcPr>
          <w:p>
            <w:pPr>
              <w:widowControl/>
              <w:autoSpaceDE/>
              <w:autoSpaceDN/>
              <w:adjustRightInd/>
              <w:spacing w:line="240" w:lineRule="auto"/>
              <w:ind w:firstLine="0" w:firstLineChars="0"/>
              <w:jc w:val="center"/>
              <w:rPr>
                <w:rFonts w:ascii="宋体" w:hAnsi="宋体" w:cs="宋体"/>
                <w:color w:val="000000"/>
                <w:sz w:val="15"/>
                <w:szCs w:val="15"/>
              </w:rPr>
            </w:pPr>
            <w:r>
              <w:rPr>
                <w:rFonts w:hint="eastAsia" w:ascii="宋体" w:hAnsi="宋体" w:cs="宋体"/>
                <w:color w:val="000000"/>
                <w:sz w:val="15"/>
                <w:szCs w:val="15"/>
              </w:rPr>
              <w:t xml:space="preserve">13.27 </w:t>
            </w:r>
          </w:p>
        </w:tc>
        <w:tc>
          <w:tcPr>
            <w:tcW w:w="603" w:type="dxa"/>
            <w:vMerge w:val="continue"/>
            <w:tcBorders>
              <w:top w:val="nil"/>
              <w:left w:val="single" w:color="auto" w:sz="4" w:space="0"/>
              <w:bottom w:val="single" w:color="auto" w:sz="4" w:space="0"/>
              <w:right w:val="single" w:color="auto" w:sz="4" w:space="0"/>
            </w:tcBorders>
            <w:vAlign w:val="center"/>
          </w:tcPr>
          <w:p>
            <w:pPr>
              <w:widowControl/>
              <w:autoSpaceDE/>
              <w:autoSpaceDN/>
              <w:adjustRightInd/>
              <w:spacing w:line="240" w:lineRule="auto"/>
              <w:ind w:firstLine="0" w:firstLineChars="0"/>
              <w:rPr>
                <w:rFonts w:ascii="宋体" w:hAnsi="宋体" w:cs="宋体"/>
                <w:color w:val="000000"/>
                <w:sz w:val="15"/>
                <w:szCs w:val="15"/>
              </w:rPr>
            </w:pPr>
          </w:p>
        </w:tc>
      </w:tr>
    </w:tbl>
    <w:p>
      <w:pPr>
        <w:pStyle w:val="72"/>
      </w:pPr>
    </w:p>
    <w:p>
      <w:pPr>
        <w:pStyle w:val="16"/>
        <w:kinsoku w:val="0"/>
        <w:overflowPunct w:val="0"/>
        <w:spacing w:line="360" w:lineRule="auto"/>
        <w:ind w:firstLine="594"/>
        <w:rPr>
          <w:rFonts w:cs="Times New Roman"/>
          <w:spacing w:val="17"/>
        </w:rPr>
      </w:pPr>
      <w:r>
        <w:rPr>
          <w:rFonts w:cs="Times New Roman"/>
          <w:spacing w:val="17"/>
        </w:rPr>
        <w:t>从上表可以看出淮北市城市总供水量约占总取水量的比值为 95~96%，自来水厂生产自用水约占5~6%；居民生活用水量约占城市总供水量的</w:t>
      </w:r>
      <w:r>
        <w:rPr>
          <w:rFonts w:hint="eastAsia" w:cs="Times New Roman"/>
          <w:spacing w:val="17"/>
        </w:rPr>
        <w:t>46.7</w:t>
      </w:r>
      <w:r>
        <w:rPr>
          <w:rFonts w:cs="Times New Roman"/>
          <w:spacing w:val="17"/>
        </w:rPr>
        <w:t>1~</w:t>
      </w:r>
      <w:r>
        <w:rPr>
          <w:rFonts w:hint="eastAsia" w:cs="Times New Roman"/>
          <w:spacing w:val="17"/>
        </w:rPr>
        <w:t>51.34</w:t>
      </w:r>
      <w:r>
        <w:rPr>
          <w:rFonts w:cs="Times New Roman"/>
          <w:spacing w:val="17"/>
        </w:rPr>
        <w:t>%，公共服务用水量约占城市总供水量的</w:t>
      </w:r>
      <w:r>
        <w:rPr>
          <w:rFonts w:hint="eastAsia" w:cs="Times New Roman"/>
          <w:spacing w:val="17"/>
        </w:rPr>
        <w:t>5.07</w:t>
      </w:r>
      <w:r>
        <w:rPr>
          <w:rFonts w:cs="Times New Roman"/>
          <w:spacing w:val="17"/>
        </w:rPr>
        <w:t>~</w:t>
      </w:r>
      <w:r>
        <w:rPr>
          <w:rFonts w:hint="eastAsia" w:cs="Times New Roman"/>
          <w:spacing w:val="17"/>
        </w:rPr>
        <w:t>6.32</w:t>
      </w:r>
      <w:r>
        <w:rPr>
          <w:rFonts w:cs="Times New Roman"/>
          <w:spacing w:val="17"/>
        </w:rPr>
        <w:t>%，生活用水节水属于淮北市重点节水环节；生产运营用水量约占城市总供水量的</w:t>
      </w:r>
      <w:r>
        <w:rPr>
          <w:rFonts w:hint="eastAsia" w:cs="Times New Roman"/>
          <w:spacing w:val="17"/>
        </w:rPr>
        <w:t>34.64</w:t>
      </w:r>
      <w:r>
        <w:rPr>
          <w:rFonts w:cs="Times New Roman"/>
          <w:spacing w:val="17"/>
        </w:rPr>
        <w:t>%~</w:t>
      </w:r>
      <w:r>
        <w:rPr>
          <w:rFonts w:hint="eastAsia" w:cs="Times New Roman"/>
          <w:spacing w:val="17"/>
        </w:rPr>
        <w:t>38.90</w:t>
      </w:r>
      <w:r>
        <w:rPr>
          <w:rFonts w:cs="Times New Roman"/>
          <w:spacing w:val="17"/>
        </w:rPr>
        <w:t>%，生产运营用水主要是工业用水，可见城区工业用水所占比例</w:t>
      </w:r>
      <w:r>
        <w:rPr>
          <w:rFonts w:hint="eastAsia" w:cs="Times New Roman"/>
          <w:spacing w:val="17"/>
        </w:rPr>
        <w:t>较</w:t>
      </w:r>
      <w:r>
        <w:rPr>
          <w:rFonts w:cs="Times New Roman"/>
          <w:spacing w:val="17"/>
        </w:rPr>
        <w:t>大；漏损率</w:t>
      </w:r>
      <w:r>
        <w:rPr>
          <w:rFonts w:hint="eastAsia" w:cs="Times New Roman"/>
          <w:spacing w:val="17"/>
        </w:rPr>
        <w:t>11.41</w:t>
      </w:r>
      <w:r>
        <w:rPr>
          <w:rFonts w:cs="Times New Roman"/>
          <w:spacing w:val="17"/>
        </w:rPr>
        <w:t>%~</w:t>
      </w:r>
      <w:r>
        <w:rPr>
          <w:rFonts w:hint="eastAsia" w:cs="Times New Roman"/>
          <w:spacing w:val="17"/>
        </w:rPr>
        <w:t>14.81</w:t>
      </w:r>
      <w:r>
        <w:rPr>
          <w:rFonts w:cs="Times New Roman"/>
          <w:spacing w:val="17"/>
        </w:rPr>
        <w:t>%，</w:t>
      </w:r>
      <w:r>
        <w:rPr>
          <w:rFonts w:hint="eastAsia" w:cs="Times New Roman"/>
          <w:spacing w:val="17"/>
        </w:rPr>
        <w:t>通过实施供水管网分区计量管理、老旧</w:t>
      </w:r>
      <w:r>
        <w:rPr>
          <w:rFonts w:cs="Times New Roman"/>
          <w:spacing w:val="17"/>
        </w:rPr>
        <w:t>管网</w:t>
      </w:r>
      <w:r>
        <w:rPr>
          <w:rFonts w:hint="eastAsia" w:cs="Times New Roman"/>
          <w:spacing w:val="17"/>
        </w:rPr>
        <w:t>改造等措施</w:t>
      </w:r>
      <w:r>
        <w:rPr>
          <w:rFonts w:cs="Times New Roman"/>
          <w:spacing w:val="17"/>
        </w:rPr>
        <w:t>，呈逐年</w:t>
      </w:r>
      <w:r>
        <w:rPr>
          <w:rFonts w:hint="eastAsia" w:cs="Times New Roman"/>
          <w:spacing w:val="17"/>
        </w:rPr>
        <w:t>下降</w:t>
      </w:r>
      <w:r>
        <w:rPr>
          <w:rFonts w:cs="Times New Roman"/>
          <w:spacing w:val="17"/>
        </w:rPr>
        <w:t>的趋势</w:t>
      </w:r>
      <w:r>
        <w:rPr>
          <w:rFonts w:hint="eastAsia" w:cs="Times New Roman"/>
          <w:spacing w:val="17"/>
        </w:rPr>
        <w:t>。</w:t>
      </w:r>
    </w:p>
    <w:p>
      <w:pPr>
        <w:pStyle w:val="16"/>
        <w:kinsoku w:val="0"/>
        <w:overflowPunct w:val="0"/>
        <w:spacing w:line="360" w:lineRule="auto"/>
        <w:ind w:firstLine="594"/>
        <w:rPr>
          <w:rFonts w:cs="Times New Roman"/>
          <w:spacing w:val="17"/>
        </w:rPr>
      </w:pPr>
      <w:bookmarkStart w:id="157" w:name="_Toc480311571"/>
      <w:bookmarkStart w:id="158" w:name="_Toc478634605"/>
      <w:bookmarkStart w:id="159" w:name="_Toc477942030"/>
      <w:bookmarkStart w:id="160" w:name="_Toc478634311"/>
      <w:r>
        <w:rPr>
          <w:rFonts w:cs="Times New Roman"/>
          <w:spacing w:val="17"/>
        </w:rPr>
        <w:t>1、万元地区生产总值(GDP)用水量</w:t>
      </w:r>
      <w:bookmarkEnd w:id="157"/>
      <w:bookmarkEnd w:id="158"/>
      <w:bookmarkEnd w:id="159"/>
      <w:bookmarkEnd w:id="160"/>
    </w:p>
    <w:p>
      <w:pPr>
        <w:pStyle w:val="16"/>
        <w:kinsoku w:val="0"/>
        <w:overflowPunct w:val="0"/>
        <w:spacing w:line="360" w:lineRule="auto"/>
        <w:ind w:firstLine="594"/>
        <w:rPr>
          <w:rFonts w:cs="Times New Roman"/>
          <w:spacing w:val="17"/>
        </w:rPr>
      </w:pPr>
      <w:r>
        <w:rPr>
          <w:rFonts w:cs="Times New Roman"/>
          <w:spacing w:val="17"/>
        </w:rPr>
        <w:t>安徽省设市城市万元国民生产总值取水量情况如下图：</w:t>
      </w:r>
    </w:p>
    <w:p>
      <w:pPr>
        <w:pStyle w:val="16"/>
        <w:kinsoku w:val="0"/>
        <w:overflowPunct w:val="0"/>
        <w:spacing w:line="240" w:lineRule="auto"/>
        <w:ind w:firstLine="0" w:firstLineChars="0"/>
        <w:jc w:val="center"/>
        <w:rPr>
          <w:rFonts w:cs="Times New Roman"/>
          <w:spacing w:val="17"/>
        </w:rPr>
      </w:pPr>
      <w:r>
        <w:drawing>
          <wp:inline distT="0" distB="0" distL="114300" distR="114300">
            <wp:extent cx="5429250" cy="3066415"/>
            <wp:effectExtent l="0" t="0" r="0" b="635"/>
            <wp:docPr id="2051" name="Picture 4"/>
            <wp:cNvGraphicFramePr/>
            <a:graphic xmlns:a="http://schemas.openxmlformats.org/drawingml/2006/main">
              <a:graphicData uri="http://schemas.openxmlformats.org/drawingml/2006/picture">
                <pic:pic xmlns:pic="http://schemas.openxmlformats.org/drawingml/2006/picture">
                  <pic:nvPicPr>
                    <pic:cNvPr id="2051" name="Picture 4"/>
                    <pic:cNvPicPr preferRelativeResize="0">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429250" cy="3066811"/>
                    </a:xfrm>
                    <a:prstGeom prst="rect">
                      <a:avLst/>
                    </a:prstGeom>
                    <a:noFill/>
                    <a:ln>
                      <a:noFill/>
                    </a:ln>
                  </pic:spPr>
                </pic:pic>
              </a:graphicData>
            </a:graphic>
          </wp:inline>
        </w:drawing>
      </w:r>
    </w:p>
    <w:p>
      <w:pPr>
        <w:pStyle w:val="16"/>
        <w:spacing w:line="360" w:lineRule="auto"/>
        <w:ind w:firstLine="560"/>
        <w:rPr>
          <w:rFonts w:cs="Times New Roman"/>
          <w:spacing w:val="5"/>
        </w:rPr>
      </w:pPr>
      <w:r>
        <w:rPr>
          <w:rFonts w:cs="Times New Roman"/>
        </w:rPr>
        <w:t>根据《淮北统计年鉴》，淮北市</w:t>
      </w:r>
      <w:r>
        <w:rPr>
          <w:rFonts w:hint="eastAsia" w:cs="Times New Roman"/>
        </w:rPr>
        <w:t>（杜集区、相山区、烈山区）</w:t>
      </w:r>
      <w:r>
        <w:rPr>
          <w:rFonts w:cs="Times New Roman"/>
        </w:rPr>
        <w:t>201</w:t>
      </w:r>
      <w:r>
        <w:rPr>
          <w:rFonts w:hint="eastAsia" w:cs="Times New Roman"/>
        </w:rPr>
        <w:t>3</w:t>
      </w:r>
      <w:r>
        <w:rPr>
          <w:rFonts w:cs="Times New Roman"/>
        </w:rPr>
        <w:t>-201</w:t>
      </w:r>
      <w:r>
        <w:rPr>
          <w:rFonts w:hint="eastAsia" w:cs="Times New Roman"/>
        </w:rPr>
        <w:t>7</w:t>
      </w:r>
      <w:r>
        <w:rPr>
          <w:rFonts w:cs="Times New Roman"/>
        </w:rPr>
        <w:t xml:space="preserve">年 </w:t>
      </w:r>
      <w:r>
        <w:rPr>
          <w:rFonts w:eastAsia="Times New Roman" w:cs="Times New Roman"/>
        </w:rPr>
        <w:t>GDP</w:t>
      </w:r>
      <w:r>
        <w:rPr>
          <w:rFonts w:cs="Times New Roman"/>
        </w:rPr>
        <w:t>分别为</w:t>
      </w:r>
      <w:r>
        <w:rPr>
          <w:rFonts w:hint="eastAsia" w:cs="Times New Roman" w:eastAsiaTheme="minorEastAsia"/>
        </w:rPr>
        <w:t>303.7</w:t>
      </w:r>
      <w:r>
        <w:rPr>
          <w:rFonts w:cs="Times New Roman"/>
        </w:rPr>
        <w:t>亿元、</w:t>
      </w:r>
      <w:r>
        <w:rPr>
          <w:rFonts w:hint="eastAsia" w:cs="Times New Roman" w:eastAsiaTheme="minorEastAsia"/>
        </w:rPr>
        <w:t>334.0</w:t>
      </w:r>
      <w:r>
        <w:rPr>
          <w:rFonts w:cs="Times New Roman"/>
        </w:rPr>
        <w:t>亿元、</w:t>
      </w:r>
      <w:r>
        <w:rPr>
          <w:rFonts w:hint="eastAsia" w:cs="Times New Roman" w:eastAsiaTheme="minorEastAsia"/>
        </w:rPr>
        <w:t>350.2</w:t>
      </w:r>
      <w:r>
        <w:rPr>
          <w:rFonts w:cs="Times New Roman"/>
        </w:rPr>
        <w:t>亿元、</w:t>
      </w:r>
      <w:r>
        <w:rPr>
          <w:rFonts w:hint="eastAsia" w:cs="Times New Roman" w:eastAsiaTheme="minorEastAsia"/>
        </w:rPr>
        <w:t>369.3</w:t>
      </w:r>
      <w:r>
        <w:rPr>
          <w:rFonts w:cs="Times New Roman"/>
        </w:rPr>
        <w:t>亿元、</w:t>
      </w:r>
      <w:r>
        <w:rPr>
          <w:rFonts w:hint="eastAsia" w:cs="Times New Roman" w:eastAsiaTheme="minorEastAsia"/>
        </w:rPr>
        <w:t>422.2</w:t>
      </w:r>
      <w:r>
        <w:rPr>
          <w:rFonts w:cs="Times New Roman"/>
        </w:rPr>
        <w:t>亿元，201</w:t>
      </w:r>
      <w:r>
        <w:rPr>
          <w:rFonts w:hint="eastAsia" w:cs="Times New Roman"/>
        </w:rPr>
        <w:t>3</w:t>
      </w:r>
      <w:r>
        <w:rPr>
          <w:rFonts w:cs="Times New Roman"/>
        </w:rPr>
        <w:t>-201</w:t>
      </w:r>
      <w:r>
        <w:rPr>
          <w:rFonts w:hint="eastAsia" w:cs="Times New Roman"/>
        </w:rPr>
        <w:t>7</w:t>
      </w:r>
      <w:r>
        <w:rPr>
          <w:rFonts w:cs="Times New Roman"/>
        </w:rPr>
        <w:t>年公共供水、自备用水的取水量（按</w:t>
      </w:r>
      <w:r>
        <w:rPr>
          <w:rFonts w:cs="Times New Roman"/>
          <w:spacing w:val="9"/>
        </w:rPr>
        <w:t>新水取用水量计）分别为</w:t>
      </w:r>
      <w:r>
        <w:rPr>
          <w:rFonts w:hint="eastAsia" w:cs="Times New Roman" w:eastAsiaTheme="minorEastAsia"/>
          <w:spacing w:val="5"/>
        </w:rPr>
        <w:t>5806.5</w:t>
      </w:r>
      <w:r>
        <w:rPr>
          <w:rFonts w:cs="Times New Roman"/>
          <w:spacing w:val="5"/>
        </w:rPr>
        <w:t>万立方米、</w:t>
      </w:r>
      <w:r>
        <w:rPr>
          <w:rFonts w:hint="eastAsia" w:cs="Times New Roman" w:eastAsiaTheme="minorEastAsia"/>
          <w:spacing w:val="5"/>
        </w:rPr>
        <w:t>5791.8</w:t>
      </w:r>
      <w:r>
        <w:rPr>
          <w:rFonts w:cs="Times New Roman"/>
          <w:spacing w:val="6"/>
        </w:rPr>
        <w:t>万立方米、</w:t>
      </w:r>
      <w:r>
        <w:rPr>
          <w:rFonts w:hint="eastAsia" w:cs="Times New Roman" w:eastAsiaTheme="minorEastAsia"/>
          <w:spacing w:val="6"/>
        </w:rPr>
        <w:t>5811.75</w:t>
      </w:r>
      <w:r>
        <w:rPr>
          <w:rFonts w:cs="Times New Roman"/>
          <w:spacing w:val="8"/>
        </w:rPr>
        <w:t>万立方米、</w:t>
      </w:r>
      <w:r>
        <w:rPr>
          <w:rFonts w:hint="eastAsia" w:cs="Times New Roman" w:eastAsiaTheme="minorEastAsia"/>
          <w:spacing w:val="6"/>
        </w:rPr>
        <w:t>5609.1</w:t>
      </w:r>
      <w:r>
        <w:rPr>
          <w:rFonts w:cs="Times New Roman"/>
          <w:spacing w:val="8"/>
        </w:rPr>
        <w:t>万立方米、</w:t>
      </w:r>
      <w:r>
        <w:rPr>
          <w:rFonts w:hint="eastAsia" w:cs="Times New Roman" w:eastAsiaTheme="minorEastAsia"/>
          <w:spacing w:val="6"/>
        </w:rPr>
        <w:t>5831.39</w:t>
      </w:r>
      <w:r>
        <w:rPr>
          <w:rFonts w:cs="Times New Roman"/>
          <w:spacing w:val="8"/>
        </w:rPr>
        <w:t>万立方米</w:t>
      </w:r>
      <w:r>
        <w:rPr>
          <w:rFonts w:cs="Times New Roman"/>
          <w:spacing w:val="14"/>
        </w:rPr>
        <w:t>，算得万元地区生产总值用水为</w:t>
      </w:r>
      <w:r>
        <w:rPr>
          <w:rFonts w:hint="eastAsia" w:cs="Times New Roman" w:eastAsiaTheme="minorEastAsia"/>
          <w:spacing w:val="8"/>
        </w:rPr>
        <w:t>13.81</w:t>
      </w:r>
      <w:r>
        <w:rPr>
          <w:rFonts w:eastAsia="Times New Roman" w:cs="Times New Roman"/>
          <w:spacing w:val="8"/>
        </w:rPr>
        <w:t>~</w:t>
      </w:r>
      <w:r>
        <w:rPr>
          <w:rFonts w:hint="eastAsia" w:cs="Times New Roman" w:eastAsiaTheme="minorEastAsia"/>
          <w:spacing w:val="8"/>
        </w:rPr>
        <w:t>19.12</w:t>
      </w:r>
      <w:r>
        <w:rPr>
          <w:rFonts w:cs="Times New Roman"/>
          <w:spacing w:val="9"/>
        </w:rPr>
        <w:t>立方米</w:t>
      </w:r>
      <w:r>
        <w:rPr>
          <w:rFonts w:eastAsia="Times New Roman" w:cs="Times New Roman"/>
          <w:spacing w:val="9"/>
        </w:rPr>
        <w:t>/</w:t>
      </w:r>
      <w:r>
        <w:rPr>
          <w:rFonts w:cs="Times New Roman"/>
          <w:spacing w:val="9"/>
        </w:rPr>
        <w:t>万元，并有</w:t>
      </w:r>
      <w:r>
        <w:rPr>
          <w:rFonts w:cs="Times New Roman"/>
          <w:spacing w:val="16"/>
        </w:rPr>
        <w:t>逐</w:t>
      </w:r>
      <w:r>
        <w:rPr>
          <w:rFonts w:cs="Times New Roman"/>
          <w:spacing w:val="19"/>
        </w:rPr>
        <w:t>年降低趋势</w:t>
      </w:r>
      <w:r>
        <w:rPr>
          <w:rFonts w:cs="Times New Roman"/>
          <w:spacing w:val="-111"/>
        </w:rPr>
        <w:t>，</w:t>
      </w:r>
      <w:r>
        <w:rPr>
          <w:rFonts w:cs="Times New Roman"/>
          <w:spacing w:val="19"/>
        </w:rPr>
        <w:t>年</w:t>
      </w:r>
      <w:r>
        <w:rPr>
          <w:rFonts w:cs="Times New Roman"/>
          <w:spacing w:val="16"/>
        </w:rPr>
        <w:t>均</w:t>
      </w:r>
      <w:r>
        <w:rPr>
          <w:rFonts w:cs="Times New Roman"/>
          <w:spacing w:val="19"/>
        </w:rPr>
        <w:t>降低率</w:t>
      </w:r>
      <w:r>
        <w:rPr>
          <w:rFonts w:cs="Times New Roman"/>
        </w:rPr>
        <w:t>约</w:t>
      </w:r>
      <w:r>
        <w:rPr>
          <w:rFonts w:hint="eastAsia" w:cs="Times New Roman" w:eastAsiaTheme="minorEastAsia"/>
          <w:spacing w:val="9"/>
        </w:rPr>
        <w:t>8</w:t>
      </w:r>
      <w:r>
        <w:rPr>
          <w:rFonts w:eastAsia="Times New Roman" w:cs="Times New Roman"/>
          <w:spacing w:val="8"/>
        </w:rPr>
        <w:t>%</w:t>
      </w:r>
      <w:r>
        <w:rPr>
          <w:rFonts w:cs="Times New Roman"/>
          <w:spacing w:val="-111"/>
        </w:rPr>
        <w:t>。</w:t>
      </w:r>
      <w:r>
        <w:rPr>
          <w:rFonts w:eastAsia="Times New Roman" w:cs="Times New Roman"/>
          <w:spacing w:val="9"/>
        </w:rPr>
        <w:t>201</w:t>
      </w:r>
      <w:r>
        <w:rPr>
          <w:rFonts w:hint="eastAsia" w:cs="Times New Roman" w:eastAsiaTheme="minorEastAsia"/>
        </w:rPr>
        <w:t>7</w:t>
      </w:r>
      <w:r>
        <w:rPr>
          <w:rFonts w:cs="Times New Roman"/>
          <w:spacing w:val="16"/>
        </w:rPr>
        <w:t>年</w:t>
      </w:r>
      <w:r>
        <w:rPr>
          <w:rFonts w:cs="Times New Roman"/>
          <w:spacing w:val="19"/>
        </w:rPr>
        <w:t>全</w:t>
      </w:r>
      <w:r>
        <w:rPr>
          <w:rFonts w:cs="Times New Roman"/>
          <w:spacing w:val="16"/>
        </w:rPr>
        <w:t>国</w:t>
      </w:r>
      <w:r>
        <w:rPr>
          <w:rFonts w:cs="Times New Roman"/>
          <w:spacing w:val="19"/>
        </w:rPr>
        <w:t>万元</w:t>
      </w:r>
      <w:r>
        <w:rPr>
          <w:rFonts w:cs="Times New Roman"/>
          <w:spacing w:val="16"/>
        </w:rPr>
        <w:t>地</w:t>
      </w:r>
      <w:r>
        <w:rPr>
          <w:rFonts w:cs="Times New Roman"/>
          <w:spacing w:val="19"/>
        </w:rPr>
        <w:t>区生</w:t>
      </w:r>
      <w:r>
        <w:rPr>
          <w:rFonts w:cs="Times New Roman"/>
          <w:spacing w:val="16"/>
        </w:rPr>
        <w:t>产</w:t>
      </w:r>
      <w:r>
        <w:rPr>
          <w:rFonts w:cs="Times New Roman"/>
          <w:spacing w:val="19"/>
        </w:rPr>
        <w:t>总值</w:t>
      </w:r>
      <w:r>
        <w:rPr>
          <w:rFonts w:cs="Times New Roman"/>
          <w:spacing w:val="16"/>
        </w:rPr>
        <w:t>用</w:t>
      </w:r>
      <w:r>
        <w:rPr>
          <w:rFonts w:cs="Times New Roman"/>
          <w:spacing w:val="19"/>
        </w:rPr>
        <w:t>水量</w:t>
      </w:r>
      <w:r>
        <w:rPr>
          <w:rFonts w:cs="Times New Roman"/>
          <w:spacing w:val="16"/>
        </w:rPr>
        <w:t>约</w:t>
      </w:r>
      <w:r>
        <w:rPr>
          <w:rFonts w:cs="Times New Roman"/>
        </w:rPr>
        <w:t>为</w:t>
      </w:r>
      <w:r>
        <w:rPr>
          <w:rFonts w:hint="eastAsia" w:cs="Times New Roman" w:eastAsiaTheme="minorEastAsia"/>
          <w:spacing w:val="9"/>
        </w:rPr>
        <w:t>81</w:t>
      </w:r>
      <w:r>
        <w:rPr>
          <w:rFonts w:cs="Times New Roman"/>
          <w:spacing w:val="19"/>
        </w:rPr>
        <w:t>立方</w:t>
      </w:r>
      <w:r>
        <w:rPr>
          <w:rFonts w:cs="Times New Roman"/>
          <w:spacing w:val="16"/>
        </w:rPr>
        <w:t>米</w:t>
      </w:r>
      <w:r>
        <w:rPr>
          <w:rFonts w:eastAsia="Times New Roman" w:cs="Times New Roman"/>
          <w:spacing w:val="10"/>
        </w:rPr>
        <w:t>/</w:t>
      </w:r>
      <w:r>
        <w:rPr>
          <w:rFonts w:cs="Times New Roman"/>
          <w:spacing w:val="19"/>
        </w:rPr>
        <w:t>万</w:t>
      </w:r>
      <w:r>
        <w:rPr>
          <w:rFonts w:cs="Times New Roman"/>
          <w:spacing w:val="16"/>
        </w:rPr>
        <w:t>元</w:t>
      </w:r>
      <w:r>
        <w:rPr>
          <w:rFonts w:cs="Times New Roman"/>
        </w:rPr>
        <w:t xml:space="preserve">， </w:t>
      </w:r>
      <w:r>
        <w:rPr>
          <w:rFonts w:cs="Times New Roman"/>
          <w:spacing w:val="17"/>
        </w:rPr>
        <w:t xml:space="preserve">淮北市城区现状万元地区生产总值用水量远低于全国平均值的 </w:t>
      </w:r>
      <w:r>
        <w:rPr>
          <w:rFonts w:hint="eastAsia" w:cs="Times New Roman" w:eastAsiaTheme="minorEastAsia"/>
          <w:spacing w:val="9"/>
        </w:rPr>
        <w:t>4</w:t>
      </w:r>
      <w:r>
        <w:rPr>
          <w:rFonts w:eastAsia="Times New Roman" w:cs="Times New Roman"/>
          <w:spacing w:val="9"/>
        </w:rPr>
        <w:t>0%</w:t>
      </w:r>
      <w:r>
        <w:rPr>
          <w:rFonts w:cs="Times New Roman"/>
          <w:spacing w:val="9"/>
        </w:rPr>
        <w:t>，且年平均降低率大于</w:t>
      </w:r>
      <w:r>
        <w:rPr>
          <w:rFonts w:eastAsia="Times New Roman" w:cs="Times New Roman"/>
          <w:spacing w:val="5"/>
        </w:rPr>
        <w:t>5%</w:t>
      </w:r>
      <w:r>
        <w:rPr>
          <w:rFonts w:cs="Times New Roman"/>
          <w:spacing w:val="5"/>
        </w:rPr>
        <w:t>。</w:t>
      </w:r>
    </w:p>
    <w:p>
      <w:pPr>
        <w:pStyle w:val="16"/>
        <w:kinsoku w:val="0"/>
        <w:overflowPunct w:val="0"/>
        <w:spacing w:line="360" w:lineRule="auto"/>
        <w:ind w:firstLine="0" w:firstLineChars="0"/>
        <w:jc w:val="center"/>
        <w:rPr>
          <w:rFonts w:cs="Times New Roman"/>
          <w:b/>
          <w:spacing w:val="5"/>
          <w:sz w:val="24"/>
        </w:rPr>
      </w:pPr>
      <w:r>
        <w:rPr>
          <w:rFonts w:cs="Times New Roman"/>
          <w:b/>
          <w:spacing w:val="15"/>
          <w:sz w:val="24"/>
        </w:rPr>
        <w:t xml:space="preserve">  </w:t>
      </w:r>
      <w:r>
        <w:rPr>
          <w:rFonts w:cs="Times New Roman"/>
          <w:b/>
          <w:spacing w:val="17"/>
          <w:sz w:val="24"/>
        </w:rPr>
        <w:t>表2-</w:t>
      </w:r>
      <w:r>
        <w:rPr>
          <w:rFonts w:hint="eastAsia" w:cs="Times New Roman"/>
          <w:b/>
          <w:spacing w:val="17"/>
          <w:sz w:val="24"/>
        </w:rPr>
        <w:t>24</w:t>
      </w:r>
      <w:r>
        <w:rPr>
          <w:rFonts w:cs="Times New Roman"/>
          <w:b/>
          <w:spacing w:val="17"/>
          <w:sz w:val="24"/>
        </w:rPr>
        <w:tab/>
      </w:r>
      <w:r>
        <w:rPr>
          <w:rFonts w:hint="eastAsia" w:cs="Times New Roman"/>
          <w:b/>
          <w:spacing w:val="17"/>
          <w:sz w:val="24"/>
        </w:rPr>
        <w:t>淮北</w:t>
      </w:r>
      <w:r>
        <w:rPr>
          <w:rFonts w:cs="Times New Roman"/>
          <w:b/>
          <w:spacing w:val="17"/>
          <w:sz w:val="24"/>
        </w:rPr>
        <w:t xml:space="preserve">市万元地区生产总值（GDP）用水量情况表   </w:t>
      </w:r>
      <w:r>
        <w:rPr>
          <w:rFonts w:cs="Times New Roman"/>
          <w:b/>
          <w:spacing w:val="15"/>
          <w:sz w:val="24"/>
        </w:rPr>
        <w:t xml:space="preserve">    </w:t>
      </w:r>
    </w:p>
    <w:tbl>
      <w:tblPr>
        <w:tblStyle w:val="39"/>
        <w:tblW w:w="10326"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818"/>
        <w:gridCol w:w="1404"/>
        <w:gridCol w:w="1809"/>
        <w:gridCol w:w="2689"/>
        <w:gridCol w:w="2606"/>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60" w:hRule="atLeast"/>
          <w:jc w:val="center"/>
        </w:trPr>
        <w:tc>
          <w:tcPr>
            <w:tcW w:w="1818" w:type="dxa"/>
            <w:vMerge w:val="restart"/>
            <w:tcBorders>
              <w:tl2br w:val="single" w:color="auto" w:sz="4" w:space="0"/>
            </w:tcBorders>
            <w:shd w:val="clear" w:color="000000" w:fill="FFFFFF"/>
            <w:vAlign w:val="center"/>
          </w:tcPr>
          <w:p>
            <w:pPr>
              <w:pStyle w:val="72"/>
              <w:rPr>
                <w:szCs w:val="21"/>
              </w:rPr>
            </w:pPr>
            <w:r>
              <w:rPr>
                <w:szCs w:val="21"/>
              </w:rPr>
              <w:t>年份     项目</w:t>
            </w:r>
          </w:p>
        </w:tc>
        <w:tc>
          <w:tcPr>
            <w:tcW w:w="1404" w:type="dxa"/>
            <w:vMerge w:val="restart"/>
            <w:shd w:val="clear" w:color="000000" w:fill="FFFFFF"/>
            <w:vAlign w:val="center"/>
          </w:tcPr>
          <w:p>
            <w:pPr>
              <w:pStyle w:val="72"/>
              <w:rPr>
                <w:szCs w:val="21"/>
              </w:rPr>
            </w:pPr>
            <w:r>
              <w:rPr>
                <w:szCs w:val="21"/>
              </w:rPr>
              <w:t>地区生产总值（亿元）</w:t>
            </w:r>
          </w:p>
        </w:tc>
        <w:tc>
          <w:tcPr>
            <w:tcW w:w="1809" w:type="dxa"/>
            <w:vMerge w:val="restart"/>
            <w:shd w:val="clear" w:color="000000" w:fill="FFFFFF"/>
            <w:vAlign w:val="center"/>
          </w:tcPr>
          <w:p>
            <w:pPr>
              <w:pStyle w:val="72"/>
              <w:rPr>
                <w:szCs w:val="21"/>
              </w:rPr>
            </w:pPr>
            <w:r>
              <w:rPr>
                <w:szCs w:val="21"/>
              </w:rPr>
              <w:t>城市用水量（万立方米）</w:t>
            </w:r>
          </w:p>
        </w:tc>
        <w:tc>
          <w:tcPr>
            <w:tcW w:w="2689" w:type="dxa"/>
            <w:vMerge w:val="restart"/>
            <w:shd w:val="clear" w:color="000000" w:fill="FFFFFF"/>
            <w:vAlign w:val="center"/>
          </w:tcPr>
          <w:p>
            <w:pPr>
              <w:pStyle w:val="72"/>
              <w:rPr>
                <w:szCs w:val="21"/>
              </w:rPr>
            </w:pPr>
            <w:r>
              <w:rPr>
                <w:szCs w:val="21"/>
              </w:rPr>
              <w:t>万元地区生产总值用水量（立方米/万元）</w:t>
            </w:r>
          </w:p>
        </w:tc>
        <w:tc>
          <w:tcPr>
            <w:tcW w:w="2606" w:type="dxa"/>
            <w:vMerge w:val="restart"/>
            <w:shd w:val="clear" w:color="000000" w:fill="FFFFFF"/>
            <w:vAlign w:val="center"/>
          </w:tcPr>
          <w:p>
            <w:pPr>
              <w:pStyle w:val="72"/>
              <w:rPr>
                <w:szCs w:val="21"/>
              </w:rPr>
            </w:pPr>
            <w:r>
              <w:rPr>
                <w:szCs w:val="21"/>
              </w:rPr>
              <w:t>万元地区生产总值用水量年降低率（%）</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60" w:hRule="atLeast"/>
          <w:jc w:val="center"/>
        </w:trPr>
        <w:tc>
          <w:tcPr>
            <w:tcW w:w="1818" w:type="dxa"/>
            <w:vMerge w:val="continue"/>
            <w:vAlign w:val="center"/>
          </w:tcPr>
          <w:p>
            <w:pPr>
              <w:pStyle w:val="72"/>
              <w:rPr>
                <w:szCs w:val="21"/>
              </w:rPr>
            </w:pPr>
          </w:p>
        </w:tc>
        <w:tc>
          <w:tcPr>
            <w:tcW w:w="1404" w:type="dxa"/>
            <w:vMerge w:val="continue"/>
            <w:vAlign w:val="center"/>
          </w:tcPr>
          <w:p>
            <w:pPr>
              <w:pStyle w:val="72"/>
              <w:rPr>
                <w:szCs w:val="21"/>
              </w:rPr>
            </w:pPr>
          </w:p>
        </w:tc>
        <w:tc>
          <w:tcPr>
            <w:tcW w:w="1809" w:type="dxa"/>
            <w:vMerge w:val="continue"/>
            <w:vAlign w:val="center"/>
          </w:tcPr>
          <w:p>
            <w:pPr>
              <w:pStyle w:val="72"/>
              <w:rPr>
                <w:szCs w:val="21"/>
              </w:rPr>
            </w:pPr>
          </w:p>
        </w:tc>
        <w:tc>
          <w:tcPr>
            <w:tcW w:w="2689" w:type="dxa"/>
            <w:vMerge w:val="continue"/>
            <w:vAlign w:val="center"/>
          </w:tcPr>
          <w:p>
            <w:pPr>
              <w:pStyle w:val="72"/>
              <w:rPr>
                <w:szCs w:val="21"/>
              </w:rPr>
            </w:pPr>
          </w:p>
        </w:tc>
        <w:tc>
          <w:tcPr>
            <w:tcW w:w="2606" w:type="dxa"/>
            <w:vMerge w:val="continue"/>
            <w:vAlign w:val="center"/>
          </w:tcPr>
          <w:p>
            <w:pPr>
              <w:pStyle w:val="72"/>
              <w:rPr>
                <w:szCs w:val="21"/>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241" w:hRule="atLeast"/>
          <w:jc w:val="center"/>
        </w:trPr>
        <w:tc>
          <w:tcPr>
            <w:tcW w:w="1818" w:type="dxa"/>
            <w:vMerge w:val="continue"/>
            <w:vAlign w:val="center"/>
          </w:tcPr>
          <w:p>
            <w:pPr>
              <w:pStyle w:val="72"/>
              <w:rPr>
                <w:szCs w:val="21"/>
              </w:rPr>
            </w:pPr>
          </w:p>
        </w:tc>
        <w:tc>
          <w:tcPr>
            <w:tcW w:w="1404" w:type="dxa"/>
            <w:vMerge w:val="continue"/>
            <w:vAlign w:val="center"/>
          </w:tcPr>
          <w:p>
            <w:pPr>
              <w:pStyle w:val="72"/>
              <w:rPr>
                <w:szCs w:val="21"/>
              </w:rPr>
            </w:pPr>
          </w:p>
        </w:tc>
        <w:tc>
          <w:tcPr>
            <w:tcW w:w="1809" w:type="dxa"/>
            <w:vMerge w:val="continue"/>
            <w:vAlign w:val="center"/>
          </w:tcPr>
          <w:p>
            <w:pPr>
              <w:pStyle w:val="72"/>
              <w:rPr>
                <w:szCs w:val="21"/>
              </w:rPr>
            </w:pPr>
          </w:p>
        </w:tc>
        <w:tc>
          <w:tcPr>
            <w:tcW w:w="2689" w:type="dxa"/>
            <w:vMerge w:val="continue"/>
            <w:vAlign w:val="center"/>
          </w:tcPr>
          <w:p>
            <w:pPr>
              <w:pStyle w:val="72"/>
              <w:rPr>
                <w:szCs w:val="21"/>
              </w:rPr>
            </w:pPr>
          </w:p>
        </w:tc>
        <w:tc>
          <w:tcPr>
            <w:tcW w:w="2606" w:type="dxa"/>
            <w:vMerge w:val="continue"/>
            <w:vAlign w:val="center"/>
          </w:tcPr>
          <w:p>
            <w:pPr>
              <w:pStyle w:val="72"/>
              <w:rPr>
                <w:szCs w:val="21"/>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08" w:hRule="atLeast"/>
          <w:jc w:val="center"/>
        </w:trPr>
        <w:tc>
          <w:tcPr>
            <w:tcW w:w="1818" w:type="dxa"/>
            <w:shd w:val="clear" w:color="000000" w:fill="FFFFFF"/>
            <w:vAlign w:val="center"/>
          </w:tcPr>
          <w:p>
            <w:pPr>
              <w:pStyle w:val="72"/>
              <w:rPr>
                <w:szCs w:val="21"/>
              </w:rPr>
            </w:pPr>
            <w:r>
              <w:rPr>
                <w:szCs w:val="21"/>
              </w:rPr>
              <w:t>201</w:t>
            </w:r>
            <w:r>
              <w:rPr>
                <w:rFonts w:hint="eastAsia"/>
                <w:szCs w:val="21"/>
              </w:rPr>
              <w:t>3</w:t>
            </w:r>
            <w:r>
              <w:rPr>
                <w:szCs w:val="21"/>
              </w:rPr>
              <w:t>年</w:t>
            </w:r>
          </w:p>
        </w:tc>
        <w:tc>
          <w:tcPr>
            <w:tcW w:w="1404" w:type="dxa"/>
            <w:shd w:val="clear" w:color="000000" w:fill="FFFFFF"/>
            <w:vAlign w:val="center"/>
          </w:tcPr>
          <w:p>
            <w:pPr>
              <w:pStyle w:val="72"/>
              <w:rPr>
                <w:szCs w:val="21"/>
              </w:rPr>
            </w:pPr>
            <w:r>
              <w:rPr>
                <w:rFonts w:hint="eastAsia"/>
                <w:szCs w:val="21"/>
              </w:rPr>
              <w:t>303.7</w:t>
            </w:r>
          </w:p>
        </w:tc>
        <w:tc>
          <w:tcPr>
            <w:tcW w:w="1809" w:type="dxa"/>
            <w:shd w:val="clear" w:color="000000" w:fill="FFFFFF"/>
            <w:vAlign w:val="center"/>
          </w:tcPr>
          <w:p>
            <w:pPr>
              <w:pStyle w:val="72"/>
              <w:rPr>
                <w:szCs w:val="21"/>
              </w:rPr>
            </w:pPr>
            <w:r>
              <w:rPr>
                <w:rFonts w:hint="eastAsia"/>
                <w:szCs w:val="21"/>
              </w:rPr>
              <w:t xml:space="preserve">5806.50 </w:t>
            </w:r>
          </w:p>
        </w:tc>
        <w:tc>
          <w:tcPr>
            <w:tcW w:w="2689" w:type="dxa"/>
            <w:shd w:val="clear" w:color="000000" w:fill="FFFFFF"/>
            <w:vAlign w:val="center"/>
          </w:tcPr>
          <w:p>
            <w:pPr>
              <w:pStyle w:val="72"/>
              <w:rPr>
                <w:szCs w:val="21"/>
              </w:rPr>
            </w:pPr>
            <w:r>
              <w:rPr>
                <w:rFonts w:hint="eastAsia"/>
                <w:szCs w:val="21"/>
              </w:rPr>
              <w:t>19.12</w:t>
            </w:r>
          </w:p>
        </w:tc>
        <w:tc>
          <w:tcPr>
            <w:tcW w:w="2606" w:type="dxa"/>
            <w:shd w:val="clear" w:color="000000" w:fill="FFFFFF"/>
            <w:vAlign w:val="center"/>
          </w:tcPr>
          <w:p>
            <w:pPr>
              <w:pStyle w:val="72"/>
              <w:rPr>
                <w:szCs w:val="21"/>
              </w:rPr>
            </w:pPr>
            <w:r>
              <w:rPr>
                <w:rFonts w:hint="eastAsia"/>
                <w:szCs w:val="21"/>
              </w:rPr>
              <w:t>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14" w:hRule="atLeast"/>
          <w:jc w:val="center"/>
        </w:trPr>
        <w:tc>
          <w:tcPr>
            <w:tcW w:w="1818" w:type="dxa"/>
            <w:shd w:val="clear" w:color="000000" w:fill="FFFFFF"/>
            <w:vAlign w:val="center"/>
          </w:tcPr>
          <w:p>
            <w:pPr>
              <w:pStyle w:val="72"/>
              <w:rPr>
                <w:szCs w:val="21"/>
              </w:rPr>
            </w:pPr>
            <w:r>
              <w:rPr>
                <w:szCs w:val="21"/>
              </w:rPr>
              <w:t>201</w:t>
            </w:r>
            <w:r>
              <w:rPr>
                <w:rFonts w:hint="eastAsia"/>
                <w:szCs w:val="21"/>
              </w:rPr>
              <w:t>4</w:t>
            </w:r>
            <w:r>
              <w:rPr>
                <w:szCs w:val="21"/>
              </w:rPr>
              <w:t>年</w:t>
            </w:r>
          </w:p>
        </w:tc>
        <w:tc>
          <w:tcPr>
            <w:tcW w:w="1404" w:type="dxa"/>
            <w:shd w:val="clear" w:color="000000" w:fill="FFFFFF"/>
            <w:vAlign w:val="center"/>
          </w:tcPr>
          <w:p>
            <w:pPr>
              <w:pStyle w:val="72"/>
              <w:rPr>
                <w:szCs w:val="21"/>
              </w:rPr>
            </w:pPr>
            <w:r>
              <w:rPr>
                <w:rFonts w:hint="eastAsia"/>
                <w:szCs w:val="21"/>
              </w:rPr>
              <w:t xml:space="preserve">334.0 </w:t>
            </w:r>
          </w:p>
        </w:tc>
        <w:tc>
          <w:tcPr>
            <w:tcW w:w="1809" w:type="dxa"/>
            <w:shd w:val="clear" w:color="000000" w:fill="FFFFFF"/>
            <w:vAlign w:val="center"/>
          </w:tcPr>
          <w:p>
            <w:pPr>
              <w:pStyle w:val="72"/>
              <w:rPr>
                <w:szCs w:val="21"/>
              </w:rPr>
            </w:pPr>
            <w:r>
              <w:rPr>
                <w:rFonts w:hint="eastAsia"/>
                <w:szCs w:val="21"/>
              </w:rPr>
              <w:t xml:space="preserve">5791.80 </w:t>
            </w:r>
          </w:p>
        </w:tc>
        <w:tc>
          <w:tcPr>
            <w:tcW w:w="2689" w:type="dxa"/>
            <w:shd w:val="clear" w:color="000000" w:fill="FFFFFF"/>
            <w:vAlign w:val="center"/>
          </w:tcPr>
          <w:p>
            <w:pPr>
              <w:pStyle w:val="72"/>
              <w:rPr>
                <w:szCs w:val="21"/>
              </w:rPr>
            </w:pPr>
            <w:r>
              <w:rPr>
                <w:rFonts w:hint="eastAsia"/>
                <w:szCs w:val="21"/>
              </w:rPr>
              <w:t>17.34</w:t>
            </w:r>
          </w:p>
        </w:tc>
        <w:tc>
          <w:tcPr>
            <w:tcW w:w="2606" w:type="dxa"/>
            <w:shd w:val="clear" w:color="000000" w:fill="FFFFFF"/>
            <w:vAlign w:val="center"/>
          </w:tcPr>
          <w:p>
            <w:pPr>
              <w:pStyle w:val="72"/>
              <w:rPr>
                <w:szCs w:val="21"/>
              </w:rPr>
            </w:pPr>
            <w:r>
              <w:rPr>
                <w:rFonts w:hint="eastAsia"/>
                <w:szCs w:val="21"/>
              </w:rPr>
              <w:t>0.09</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05" w:hRule="atLeast"/>
          <w:jc w:val="center"/>
        </w:trPr>
        <w:tc>
          <w:tcPr>
            <w:tcW w:w="1818" w:type="dxa"/>
            <w:shd w:val="clear" w:color="000000" w:fill="FFFFFF"/>
            <w:vAlign w:val="center"/>
          </w:tcPr>
          <w:p>
            <w:pPr>
              <w:pStyle w:val="72"/>
              <w:rPr>
                <w:szCs w:val="21"/>
              </w:rPr>
            </w:pPr>
            <w:r>
              <w:rPr>
                <w:szCs w:val="21"/>
              </w:rPr>
              <w:t>201</w:t>
            </w:r>
            <w:r>
              <w:rPr>
                <w:rFonts w:hint="eastAsia"/>
                <w:szCs w:val="21"/>
              </w:rPr>
              <w:t>5</w:t>
            </w:r>
            <w:r>
              <w:rPr>
                <w:szCs w:val="21"/>
              </w:rPr>
              <w:t>年</w:t>
            </w:r>
          </w:p>
        </w:tc>
        <w:tc>
          <w:tcPr>
            <w:tcW w:w="1404" w:type="dxa"/>
            <w:shd w:val="clear" w:color="000000" w:fill="FFFFFF"/>
            <w:vAlign w:val="center"/>
          </w:tcPr>
          <w:p>
            <w:pPr>
              <w:pStyle w:val="72"/>
              <w:rPr>
                <w:szCs w:val="21"/>
              </w:rPr>
            </w:pPr>
            <w:r>
              <w:rPr>
                <w:rFonts w:hint="eastAsia"/>
                <w:szCs w:val="21"/>
              </w:rPr>
              <w:t xml:space="preserve">350.2 </w:t>
            </w:r>
          </w:p>
        </w:tc>
        <w:tc>
          <w:tcPr>
            <w:tcW w:w="1809" w:type="dxa"/>
            <w:shd w:val="clear" w:color="000000" w:fill="FFFFFF"/>
            <w:vAlign w:val="center"/>
          </w:tcPr>
          <w:p>
            <w:pPr>
              <w:pStyle w:val="72"/>
              <w:rPr>
                <w:szCs w:val="21"/>
              </w:rPr>
            </w:pPr>
            <w:r>
              <w:rPr>
                <w:rFonts w:hint="eastAsia"/>
                <w:szCs w:val="21"/>
              </w:rPr>
              <w:t xml:space="preserve">5811.75 </w:t>
            </w:r>
          </w:p>
        </w:tc>
        <w:tc>
          <w:tcPr>
            <w:tcW w:w="2689" w:type="dxa"/>
            <w:shd w:val="clear" w:color="000000" w:fill="FFFFFF"/>
            <w:vAlign w:val="center"/>
          </w:tcPr>
          <w:p>
            <w:pPr>
              <w:pStyle w:val="72"/>
              <w:rPr>
                <w:szCs w:val="21"/>
              </w:rPr>
            </w:pPr>
            <w:r>
              <w:rPr>
                <w:rFonts w:hint="eastAsia"/>
                <w:szCs w:val="21"/>
              </w:rPr>
              <w:t>16.59</w:t>
            </w:r>
          </w:p>
        </w:tc>
        <w:tc>
          <w:tcPr>
            <w:tcW w:w="2606" w:type="dxa"/>
            <w:shd w:val="clear" w:color="000000" w:fill="FFFFFF"/>
            <w:vAlign w:val="center"/>
          </w:tcPr>
          <w:p>
            <w:pPr>
              <w:pStyle w:val="72"/>
              <w:rPr>
                <w:szCs w:val="21"/>
              </w:rPr>
            </w:pPr>
            <w:r>
              <w:rPr>
                <w:rFonts w:hint="eastAsia"/>
                <w:szCs w:val="21"/>
              </w:rPr>
              <w:t>0.04</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12" w:hRule="atLeast"/>
          <w:jc w:val="center"/>
        </w:trPr>
        <w:tc>
          <w:tcPr>
            <w:tcW w:w="1818" w:type="dxa"/>
            <w:shd w:val="clear" w:color="000000" w:fill="FFFFFF"/>
            <w:vAlign w:val="center"/>
          </w:tcPr>
          <w:p>
            <w:pPr>
              <w:pStyle w:val="72"/>
              <w:rPr>
                <w:szCs w:val="21"/>
              </w:rPr>
            </w:pPr>
            <w:r>
              <w:rPr>
                <w:szCs w:val="21"/>
              </w:rPr>
              <w:t>201</w:t>
            </w:r>
            <w:r>
              <w:rPr>
                <w:rFonts w:hint="eastAsia"/>
                <w:szCs w:val="21"/>
              </w:rPr>
              <w:t>6</w:t>
            </w:r>
            <w:r>
              <w:rPr>
                <w:szCs w:val="21"/>
              </w:rPr>
              <w:t>年</w:t>
            </w:r>
          </w:p>
        </w:tc>
        <w:tc>
          <w:tcPr>
            <w:tcW w:w="1404" w:type="dxa"/>
            <w:shd w:val="clear" w:color="000000" w:fill="FFFFFF"/>
            <w:vAlign w:val="center"/>
          </w:tcPr>
          <w:p>
            <w:pPr>
              <w:pStyle w:val="72"/>
              <w:rPr>
                <w:szCs w:val="21"/>
              </w:rPr>
            </w:pPr>
            <w:r>
              <w:rPr>
                <w:rFonts w:hint="eastAsia"/>
                <w:szCs w:val="21"/>
              </w:rPr>
              <w:t>369.3</w:t>
            </w:r>
          </w:p>
        </w:tc>
        <w:tc>
          <w:tcPr>
            <w:tcW w:w="1809" w:type="dxa"/>
            <w:shd w:val="clear" w:color="000000" w:fill="FFFFFF"/>
            <w:vAlign w:val="center"/>
          </w:tcPr>
          <w:p>
            <w:pPr>
              <w:pStyle w:val="72"/>
              <w:rPr>
                <w:szCs w:val="21"/>
              </w:rPr>
            </w:pPr>
            <w:r>
              <w:rPr>
                <w:rFonts w:hint="eastAsia"/>
                <w:szCs w:val="21"/>
              </w:rPr>
              <w:t xml:space="preserve">5609.10 </w:t>
            </w:r>
          </w:p>
        </w:tc>
        <w:tc>
          <w:tcPr>
            <w:tcW w:w="2689" w:type="dxa"/>
            <w:shd w:val="clear" w:color="000000" w:fill="FFFFFF"/>
            <w:vAlign w:val="center"/>
          </w:tcPr>
          <w:p>
            <w:pPr>
              <w:pStyle w:val="72"/>
              <w:rPr>
                <w:szCs w:val="21"/>
              </w:rPr>
            </w:pPr>
            <w:r>
              <w:rPr>
                <w:rFonts w:hint="eastAsia"/>
                <w:szCs w:val="21"/>
              </w:rPr>
              <w:t>15.19</w:t>
            </w:r>
          </w:p>
        </w:tc>
        <w:tc>
          <w:tcPr>
            <w:tcW w:w="2606" w:type="dxa"/>
            <w:shd w:val="clear" w:color="000000" w:fill="FFFFFF"/>
            <w:vAlign w:val="center"/>
          </w:tcPr>
          <w:p>
            <w:pPr>
              <w:pStyle w:val="72"/>
              <w:rPr>
                <w:szCs w:val="21"/>
              </w:rPr>
            </w:pPr>
            <w:r>
              <w:rPr>
                <w:rFonts w:hint="eastAsia"/>
                <w:szCs w:val="21"/>
              </w:rPr>
              <w:t xml:space="preserve">0.08 </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18" w:hRule="atLeast"/>
          <w:jc w:val="center"/>
        </w:trPr>
        <w:tc>
          <w:tcPr>
            <w:tcW w:w="1818" w:type="dxa"/>
            <w:shd w:val="clear" w:color="000000" w:fill="FFFFFF"/>
            <w:vAlign w:val="center"/>
          </w:tcPr>
          <w:p>
            <w:pPr>
              <w:pStyle w:val="72"/>
              <w:rPr>
                <w:szCs w:val="21"/>
              </w:rPr>
            </w:pPr>
            <w:r>
              <w:rPr>
                <w:rFonts w:hint="eastAsia"/>
                <w:szCs w:val="21"/>
              </w:rPr>
              <w:t>2017年</w:t>
            </w:r>
          </w:p>
        </w:tc>
        <w:tc>
          <w:tcPr>
            <w:tcW w:w="1404" w:type="dxa"/>
            <w:shd w:val="clear" w:color="000000" w:fill="FFFFFF"/>
            <w:vAlign w:val="center"/>
          </w:tcPr>
          <w:p>
            <w:pPr>
              <w:pStyle w:val="72"/>
              <w:rPr>
                <w:szCs w:val="21"/>
              </w:rPr>
            </w:pPr>
            <w:r>
              <w:rPr>
                <w:rFonts w:hint="eastAsia"/>
                <w:szCs w:val="21"/>
              </w:rPr>
              <w:t>422.2</w:t>
            </w:r>
          </w:p>
        </w:tc>
        <w:tc>
          <w:tcPr>
            <w:tcW w:w="1809" w:type="dxa"/>
            <w:shd w:val="clear" w:color="000000" w:fill="FFFFFF"/>
            <w:vAlign w:val="center"/>
          </w:tcPr>
          <w:p>
            <w:pPr>
              <w:pStyle w:val="72"/>
              <w:rPr>
                <w:szCs w:val="21"/>
              </w:rPr>
            </w:pPr>
            <w:r>
              <w:rPr>
                <w:rFonts w:hint="eastAsia"/>
                <w:szCs w:val="21"/>
              </w:rPr>
              <w:t>5831.39</w:t>
            </w:r>
          </w:p>
        </w:tc>
        <w:tc>
          <w:tcPr>
            <w:tcW w:w="2689" w:type="dxa"/>
            <w:shd w:val="clear" w:color="000000" w:fill="FFFFFF"/>
            <w:vAlign w:val="center"/>
          </w:tcPr>
          <w:p>
            <w:pPr>
              <w:pStyle w:val="72"/>
              <w:rPr>
                <w:szCs w:val="21"/>
              </w:rPr>
            </w:pPr>
            <w:r>
              <w:rPr>
                <w:rFonts w:hint="eastAsia"/>
                <w:szCs w:val="21"/>
              </w:rPr>
              <w:t>13.81</w:t>
            </w:r>
          </w:p>
        </w:tc>
        <w:tc>
          <w:tcPr>
            <w:tcW w:w="2606" w:type="dxa"/>
            <w:shd w:val="clear" w:color="000000" w:fill="FFFFFF"/>
            <w:vAlign w:val="center"/>
          </w:tcPr>
          <w:p>
            <w:pPr>
              <w:pStyle w:val="72"/>
              <w:rPr>
                <w:szCs w:val="21"/>
              </w:rPr>
            </w:pPr>
            <w:r>
              <w:rPr>
                <w:rFonts w:hint="eastAsia"/>
                <w:szCs w:val="21"/>
              </w:rPr>
              <w:t>0.09</w:t>
            </w:r>
          </w:p>
        </w:tc>
      </w:tr>
    </w:tbl>
    <w:p>
      <w:pPr>
        <w:pStyle w:val="16"/>
        <w:spacing w:line="360" w:lineRule="auto"/>
        <w:ind w:firstLine="560"/>
        <w:rPr>
          <w:rFonts w:cs="Times New Roman"/>
        </w:rPr>
      </w:pPr>
    </w:p>
    <w:p>
      <w:pPr>
        <w:pStyle w:val="16"/>
        <w:spacing w:line="360" w:lineRule="auto"/>
        <w:ind w:firstLine="560"/>
        <w:rPr>
          <w:rFonts w:cs="Times New Roman"/>
        </w:rPr>
      </w:pPr>
      <w:r>
        <w:rPr>
          <w:rFonts w:cs="Times New Roman"/>
        </w:rPr>
        <w:t>2、城市非常规水资源利用</w:t>
      </w:r>
      <w:r>
        <w:rPr>
          <w:rFonts w:hint="eastAsia" w:cs="Times New Roman"/>
        </w:rPr>
        <w:t>量</w:t>
      </w:r>
    </w:p>
    <w:p>
      <w:pPr>
        <w:pStyle w:val="16"/>
        <w:spacing w:line="360" w:lineRule="auto"/>
        <w:ind w:firstLine="560"/>
        <w:rPr>
          <w:rFonts w:cs="Times New Roman"/>
        </w:rPr>
      </w:pPr>
      <w:r>
        <w:rPr>
          <w:rFonts w:cs="Times New Roman"/>
        </w:rPr>
        <w:t>城市非常规水资源包括再生水、海水、雨水、矿井水、苦咸水等非常规水资源。</w:t>
      </w:r>
    </w:p>
    <w:p>
      <w:pPr>
        <w:pStyle w:val="16"/>
        <w:spacing w:line="360" w:lineRule="auto"/>
        <w:ind w:firstLine="560"/>
        <w:jc w:val="both"/>
        <w:rPr>
          <w:rFonts w:cs="Times New Roman"/>
        </w:rPr>
      </w:pPr>
      <w:r>
        <w:rPr>
          <w:rFonts w:cs="Times New Roman"/>
        </w:rPr>
        <w:t>淮北市非常规水资源主要包括再生水和雨水。城市污水回用既能减少环境污染，又可以缓解水资源紧缺的矛盾，实现优水优用，是贯彻可持续发展战略的重要措施。目前淮北市根据住房城乡</w:t>
      </w:r>
      <w:r>
        <w:rPr>
          <w:rFonts w:hint="eastAsia" w:cs="Times New Roman"/>
        </w:rPr>
        <w:t>建设</w:t>
      </w:r>
      <w:r>
        <w:rPr>
          <w:rFonts w:cs="Times New Roman"/>
        </w:rPr>
        <w:t>部、安徽省住房城乡</w:t>
      </w:r>
      <w:r>
        <w:rPr>
          <w:rFonts w:hint="eastAsia" w:cs="Times New Roman"/>
        </w:rPr>
        <w:t>建设</w:t>
      </w:r>
      <w:r>
        <w:rPr>
          <w:rFonts w:cs="Times New Roman"/>
        </w:rPr>
        <w:t>厅的通知要求，已开始着手建设“海绵城市”，提高淮北市城市非常规水资源利用率，保护和改善城市生态环境。</w:t>
      </w:r>
    </w:p>
    <w:p>
      <w:pPr>
        <w:pStyle w:val="16"/>
        <w:spacing w:line="360" w:lineRule="auto"/>
        <w:ind w:firstLine="560"/>
        <w:rPr>
          <w:rFonts w:cs="Times New Roman"/>
        </w:rPr>
      </w:pPr>
      <w:r>
        <w:rPr>
          <w:rFonts w:hint="eastAsia" w:cs="Times New Roman"/>
        </w:rPr>
        <w:t>淮北市现状再生水主要是用于电厂冷却水、河道生态补水等方面。</w:t>
      </w:r>
    </w:p>
    <w:p>
      <w:pPr>
        <w:pStyle w:val="16"/>
        <w:spacing w:line="360" w:lineRule="auto"/>
        <w:ind w:firstLine="560"/>
        <w:rPr>
          <w:rFonts w:cs="Times New Roman"/>
        </w:rPr>
      </w:pPr>
      <w:r>
        <w:rPr>
          <w:rFonts w:hint="eastAsia" w:cs="Times New Roman"/>
        </w:rPr>
        <w:t>丁楼污水厂尾水由淮北凌云科技环保有限公司建设的中水运营，设计中水处理规模为12万吨／日，投资8000万元；配套中水管网23.5公里，投资8000万元。2013年6月建成投入运行，目前处理中水约12万吨/日，大唐淮北电厂（虎山电厂）实际利用约4万吨/日，其余中水用于补给老濉河、西相阳沟。</w:t>
      </w:r>
    </w:p>
    <w:p>
      <w:pPr>
        <w:pStyle w:val="16"/>
        <w:spacing w:line="360" w:lineRule="auto"/>
        <w:ind w:firstLine="560"/>
        <w:rPr>
          <w:rFonts w:cs="Times New Roman"/>
        </w:rPr>
      </w:pPr>
      <w:r>
        <w:rPr>
          <w:rFonts w:hint="eastAsia" w:cs="Times New Roman"/>
        </w:rPr>
        <w:t>市经济开发区新区污水处理厂尾水从2017年开始全部供平山电厂使用（平山电厂自建输送管网和泵站）。</w:t>
      </w:r>
    </w:p>
    <w:p>
      <w:pPr>
        <w:pStyle w:val="16"/>
        <w:spacing w:line="360" w:lineRule="auto"/>
        <w:ind w:firstLine="560"/>
        <w:rPr>
          <w:rFonts w:cs="Times New Roman"/>
        </w:rPr>
      </w:pPr>
      <w:r>
        <w:rPr>
          <w:rFonts w:hint="eastAsia" w:cs="Times New Roman"/>
        </w:rPr>
        <w:t>另外，淮北市质量技术监督局、首府小区、现代花园北苑小区、港利上城国际小区、滨湖新城小区、观澜郡小区等建有雨水收集系统，年雨水利用量约50万m³。</w:t>
      </w:r>
    </w:p>
    <w:p>
      <w:pPr>
        <w:pStyle w:val="16"/>
        <w:spacing w:before="36" w:line="360" w:lineRule="auto"/>
        <w:ind w:right="238" w:firstLine="560"/>
        <w:jc w:val="both"/>
        <w:rPr>
          <w:rFonts w:cs="Times New Roman"/>
        </w:rPr>
      </w:pPr>
      <w:r>
        <w:rPr>
          <w:rFonts w:hint="eastAsia" w:cs="Times New Roman"/>
        </w:rPr>
        <w:t>3</w:t>
      </w:r>
      <w:r>
        <w:rPr>
          <w:rFonts w:cs="Times New Roman"/>
        </w:rPr>
        <w:t xml:space="preserve">、城市供水管网漏损率 </w:t>
      </w:r>
    </w:p>
    <w:p>
      <w:pPr>
        <w:pStyle w:val="16"/>
        <w:spacing w:before="36" w:line="360" w:lineRule="auto"/>
        <w:ind w:right="238" w:firstLine="560"/>
        <w:jc w:val="both"/>
        <w:rPr>
          <w:rFonts w:cs="Times New Roman"/>
          <w:spacing w:val="17"/>
        </w:rPr>
      </w:pPr>
      <w:r>
        <w:rPr>
          <w:rFonts w:hint="eastAsia" w:cs="Times New Roman"/>
        </w:rPr>
        <w:t>根据《城市供水管网漏损控制及评定标准》（CJJ92-2016）相关内容，城市供水管网漏损率分为两级，一级为10%，二级为12%.</w:t>
      </w:r>
    </w:p>
    <w:p>
      <w:pPr>
        <w:pStyle w:val="16"/>
        <w:spacing w:line="360" w:lineRule="auto"/>
        <w:ind w:firstLine="594"/>
        <w:jc w:val="both"/>
        <w:rPr>
          <w:rFonts w:cs="Times New Roman"/>
          <w:spacing w:val="17"/>
        </w:rPr>
      </w:pPr>
      <w:r>
        <w:rPr>
          <w:rFonts w:cs="Times New Roman"/>
          <w:spacing w:val="17"/>
        </w:rPr>
        <w:t>根据上节统计201</w:t>
      </w:r>
      <w:r>
        <w:rPr>
          <w:rFonts w:hint="eastAsia" w:cs="Times New Roman"/>
          <w:spacing w:val="17"/>
        </w:rPr>
        <w:t>3</w:t>
      </w:r>
      <w:r>
        <w:rPr>
          <w:rFonts w:cs="Times New Roman"/>
          <w:spacing w:val="17"/>
        </w:rPr>
        <w:t>~201</w:t>
      </w:r>
      <w:r>
        <w:rPr>
          <w:rFonts w:hint="eastAsia" w:cs="Times New Roman"/>
          <w:spacing w:val="17"/>
        </w:rPr>
        <w:t>7</w:t>
      </w:r>
      <w:r>
        <w:rPr>
          <w:rFonts w:cs="Times New Roman"/>
          <w:spacing w:val="17"/>
        </w:rPr>
        <w:t>年供水管网漏损率分别为</w:t>
      </w:r>
      <w:r>
        <w:rPr>
          <w:rFonts w:hint="eastAsia" w:cs="Times New Roman"/>
          <w:spacing w:val="17"/>
        </w:rPr>
        <w:t>12.09</w:t>
      </w:r>
      <w:r>
        <w:rPr>
          <w:rFonts w:cs="Times New Roman"/>
          <w:spacing w:val="17"/>
        </w:rPr>
        <w:t>%、</w:t>
      </w:r>
      <w:r>
        <w:rPr>
          <w:rFonts w:hint="eastAsia" w:cs="Times New Roman"/>
          <w:spacing w:val="17"/>
        </w:rPr>
        <w:t>14.69</w:t>
      </w:r>
      <w:r>
        <w:rPr>
          <w:rFonts w:cs="Times New Roman"/>
          <w:spacing w:val="17"/>
        </w:rPr>
        <w:t>%、</w:t>
      </w:r>
      <w:r>
        <w:rPr>
          <w:rFonts w:hint="eastAsia" w:cs="Times New Roman"/>
          <w:spacing w:val="17"/>
        </w:rPr>
        <w:t>14.81</w:t>
      </w:r>
      <w:r>
        <w:rPr>
          <w:rFonts w:cs="Times New Roman"/>
          <w:spacing w:val="17"/>
        </w:rPr>
        <w:t>%、</w:t>
      </w:r>
      <w:r>
        <w:rPr>
          <w:rFonts w:hint="eastAsia" w:cs="Times New Roman"/>
          <w:spacing w:val="17"/>
        </w:rPr>
        <w:t>13.29</w:t>
      </w:r>
      <w:r>
        <w:rPr>
          <w:rFonts w:cs="Times New Roman"/>
          <w:spacing w:val="17"/>
        </w:rPr>
        <w:t>%、</w:t>
      </w:r>
      <w:r>
        <w:rPr>
          <w:rFonts w:hint="eastAsia" w:cs="Times New Roman"/>
          <w:spacing w:val="17"/>
        </w:rPr>
        <w:t>11.41</w:t>
      </w:r>
      <w:r>
        <w:rPr>
          <w:rFonts w:cs="Times New Roman"/>
          <w:spacing w:val="17"/>
        </w:rPr>
        <w:t>%，管网漏损</w:t>
      </w:r>
      <w:r>
        <w:rPr>
          <w:rFonts w:hint="eastAsia" w:cs="Times New Roman"/>
          <w:spacing w:val="17"/>
        </w:rPr>
        <w:t>率</w:t>
      </w:r>
      <w:r>
        <w:rPr>
          <w:rFonts w:cs="Times New Roman"/>
          <w:spacing w:val="17"/>
        </w:rPr>
        <w:t>随</w:t>
      </w:r>
      <w:r>
        <w:rPr>
          <w:rFonts w:hint="eastAsia" w:cs="Times New Roman"/>
          <w:spacing w:val="17"/>
        </w:rPr>
        <w:t>供水</w:t>
      </w:r>
      <w:r>
        <w:rPr>
          <w:rFonts w:cs="Times New Roman"/>
          <w:spacing w:val="17"/>
        </w:rPr>
        <w:t>管网</w:t>
      </w:r>
      <w:r>
        <w:rPr>
          <w:rFonts w:hint="eastAsia" w:cs="Times New Roman"/>
          <w:spacing w:val="17"/>
        </w:rPr>
        <w:t>改造</w:t>
      </w:r>
      <w:r>
        <w:rPr>
          <w:rFonts w:cs="Times New Roman"/>
          <w:spacing w:val="17"/>
        </w:rPr>
        <w:t>逐渐</w:t>
      </w:r>
      <w:r>
        <w:rPr>
          <w:rFonts w:hint="eastAsia" w:cs="Times New Roman"/>
          <w:spacing w:val="17"/>
        </w:rPr>
        <w:t>降低</w:t>
      </w:r>
      <w:r>
        <w:rPr>
          <w:rFonts w:cs="Times New Roman"/>
          <w:spacing w:val="17"/>
        </w:rPr>
        <w:t>。</w:t>
      </w:r>
    </w:p>
    <w:p>
      <w:pPr>
        <w:pStyle w:val="16"/>
        <w:kinsoku w:val="0"/>
        <w:overflowPunct w:val="0"/>
        <w:spacing w:line="360" w:lineRule="auto"/>
        <w:ind w:firstLine="0" w:firstLineChars="0"/>
        <w:jc w:val="center"/>
        <w:rPr>
          <w:rFonts w:cs="Times New Roman"/>
          <w:b/>
          <w:spacing w:val="15"/>
          <w:sz w:val="24"/>
        </w:rPr>
      </w:pPr>
      <w:r>
        <w:rPr>
          <w:rFonts w:cs="Times New Roman"/>
          <w:b/>
          <w:spacing w:val="15"/>
          <w:sz w:val="24"/>
        </w:rPr>
        <w:t>表2-</w:t>
      </w:r>
      <w:r>
        <w:rPr>
          <w:rFonts w:hint="eastAsia" w:cs="Times New Roman"/>
          <w:b/>
          <w:spacing w:val="15"/>
          <w:sz w:val="24"/>
        </w:rPr>
        <w:t>25</w:t>
      </w:r>
      <w:r>
        <w:rPr>
          <w:rFonts w:cs="Times New Roman"/>
          <w:b/>
          <w:spacing w:val="15"/>
          <w:sz w:val="24"/>
        </w:rPr>
        <w:tab/>
      </w:r>
      <w:r>
        <w:rPr>
          <w:rFonts w:cs="Times New Roman"/>
          <w:b/>
          <w:spacing w:val="15"/>
          <w:sz w:val="24"/>
        </w:rPr>
        <w:t>城市供水管网漏损率情况表</w:t>
      </w:r>
    </w:p>
    <w:tbl>
      <w:tblPr>
        <w:tblStyle w:val="39"/>
        <w:tblW w:w="10016" w:type="dxa"/>
        <w:jc w:val="center"/>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108" w:type="dxa"/>
          <w:bottom w:w="0" w:type="dxa"/>
          <w:right w:w="108" w:type="dxa"/>
        </w:tblCellMar>
      </w:tblPr>
      <w:tblGrid>
        <w:gridCol w:w="1422"/>
        <w:gridCol w:w="2125"/>
        <w:gridCol w:w="2076"/>
        <w:gridCol w:w="1843"/>
        <w:gridCol w:w="2550"/>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750" w:hRule="atLeast"/>
          <w:jc w:val="center"/>
        </w:trPr>
        <w:tc>
          <w:tcPr>
            <w:tcW w:w="1422" w:type="dxa"/>
            <w:vMerge w:val="restart"/>
            <w:tcBorders>
              <w:tl2br w:val="single" w:color="auto" w:sz="4" w:space="0"/>
            </w:tcBorders>
            <w:shd w:val="clear" w:color="000000" w:fill="FFFFFF"/>
            <w:vAlign w:val="center"/>
          </w:tcPr>
          <w:p>
            <w:pPr>
              <w:pStyle w:val="72"/>
              <w:ind w:firstLine="560"/>
            </w:pPr>
            <w:r>
              <w:t>年份</w:t>
            </w:r>
          </w:p>
          <w:p>
            <w:pPr>
              <w:pStyle w:val="72"/>
            </w:pPr>
            <w:r>
              <w:t>项目</w:t>
            </w:r>
          </w:p>
        </w:tc>
        <w:tc>
          <w:tcPr>
            <w:tcW w:w="2125" w:type="dxa"/>
            <w:vMerge w:val="restart"/>
            <w:shd w:val="clear" w:color="auto" w:fill="auto"/>
            <w:vAlign w:val="center"/>
          </w:tcPr>
          <w:p>
            <w:pPr>
              <w:pStyle w:val="72"/>
            </w:pPr>
            <w:r>
              <w:t>《城市供水管网漏损控制及评定标准》 (CJJ92-2016)</w:t>
            </w:r>
          </w:p>
        </w:tc>
        <w:tc>
          <w:tcPr>
            <w:tcW w:w="2076" w:type="dxa"/>
            <w:vMerge w:val="restart"/>
            <w:shd w:val="clear" w:color="auto" w:fill="auto"/>
            <w:vAlign w:val="center"/>
          </w:tcPr>
          <w:p>
            <w:pPr>
              <w:pStyle w:val="72"/>
            </w:pPr>
            <w:r>
              <w:t>城市公共供水总量(万立方米)</w:t>
            </w:r>
          </w:p>
        </w:tc>
        <w:tc>
          <w:tcPr>
            <w:tcW w:w="1843" w:type="dxa"/>
            <w:vMerge w:val="restart"/>
            <w:shd w:val="clear" w:color="auto" w:fill="auto"/>
            <w:vAlign w:val="center"/>
          </w:tcPr>
          <w:p>
            <w:pPr>
              <w:pStyle w:val="72"/>
            </w:pPr>
            <w:r>
              <w:t>城市有效供水量(万立方米)</w:t>
            </w:r>
          </w:p>
        </w:tc>
        <w:tc>
          <w:tcPr>
            <w:tcW w:w="2550" w:type="dxa"/>
            <w:vMerge w:val="restart"/>
            <w:shd w:val="clear" w:color="auto" w:fill="auto"/>
            <w:vAlign w:val="center"/>
          </w:tcPr>
          <w:p>
            <w:pPr>
              <w:pStyle w:val="72"/>
            </w:pPr>
            <w:r>
              <w:t>城市供水管网漏损率(%)</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560" w:hRule="atLeast"/>
          <w:jc w:val="center"/>
        </w:trPr>
        <w:tc>
          <w:tcPr>
            <w:tcW w:w="1422" w:type="dxa"/>
            <w:vMerge w:val="continue"/>
            <w:vAlign w:val="center"/>
          </w:tcPr>
          <w:p>
            <w:pPr>
              <w:pStyle w:val="72"/>
              <w:ind w:firstLine="560"/>
            </w:pPr>
          </w:p>
        </w:tc>
        <w:tc>
          <w:tcPr>
            <w:tcW w:w="2125" w:type="dxa"/>
            <w:vMerge w:val="continue"/>
            <w:vAlign w:val="center"/>
          </w:tcPr>
          <w:p>
            <w:pPr>
              <w:pStyle w:val="72"/>
              <w:ind w:firstLine="560"/>
            </w:pPr>
          </w:p>
        </w:tc>
        <w:tc>
          <w:tcPr>
            <w:tcW w:w="2076" w:type="dxa"/>
            <w:vMerge w:val="continue"/>
            <w:vAlign w:val="center"/>
          </w:tcPr>
          <w:p>
            <w:pPr>
              <w:pStyle w:val="72"/>
              <w:ind w:firstLine="560"/>
            </w:pPr>
          </w:p>
        </w:tc>
        <w:tc>
          <w:tcPr>
            <w:tcW w:w="1843" w:type="dxa"/>
            <w:vMerge w:val="continue"/>
            <w:vAlign w:val="center"/>
          </w:tcPr>
          <w:p>
            <w:pPr>
              <w:pStyle w:val="72"/>
              <w:ind w:firstLine="560"/>
            </w:pPr>
          </w:p>
        </w:tc>
        <w:tc>
          <w:tcPr>
            <w:tcW w:w="2550" w:type="dxa"/>
            <w:vMerge w:val="continue"/>
            <w:vAlign w:val="center"/>
          </w:tcPr>
          <w:p>
            <w:pPr>
              <w:pStyle w:val="72"/>
              <w:ind w:firstLine="560"/>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00" w:hRule="atLeast"/>
          <w:jc w:val="center"/>
        </w:trPr>
        <w:tc>
          <w:tcPr>
            <w:tcW w:w="1422" w:type="dxa"/>
            <w:shd w:val="clear" w:color="auto" w:fill="auto"/>
            <w:vAlign w:val="center"/>
          </w:tcPr>
          <w:p>
            <w:pPr>
              <w:pStyle w:val="72"/>
            </w:pPr>
            <w:r>
              <w:t>201</w:t>
            </w:r>
            <w:r>
              <w:rPr>
                <w:rFonts w:hint="eastAsia"/>
              </w:rPr>
              <w:t>3</w:t>
            </w:r>
            <w:r>
              <w:t xml:space="preserve"> 年</w:t>
            </w:r>
          </w:p>
        </w:tc>
        <w:tc>
          <w:tcPr>
            <w:tcW w:w="2125" w:type="dxa"/>
            <w:shd w:val="clear" w:color="auto" w:fill="auto"/>
            <w:vAlign w:val="center"/>
          </w:tcPr>
          <w:p>
            <w:pPr>
              <w:pStyle w:val="72"/>
              <w:ind w:firstLine="630" w:firstLineChars="300"/>
              <w:jc w:val="left"/>
            </w:pPr>
            <w:r>
              <w:t>≤1</w:t>
            </w:r>
            <w:r>
              <w:rPr>
                <w:rFonts w:hint="eastAsia"/>
              </w:rPr>
              <w:t>2</w:t>
            </w:r>
            <w:r>
              <w:t>%</w:t>
            </w:r>
          </w:p>
        </w:tc>
        <w:tc>
          <w:tcPr>
            <w:tcW w:w="2076" w:type="dxa"/>
            <w:shd w:val="clear" w:color="auto" w:fill="auto"/>
            <w:vAlign w:val="center"/>
          </w:tcPr>
          <w:p>
            <w:pPr>
              <w:pStyle w:val="72"/>
              <w:ind w:firstLine="630" w:firstLineChars="300"/>
              <w:jc w:val="left"/>
            </w:pPr>
            <w:r>
              <w:rPr>
                <w:rFonts w:hint="eastAsia"/>
              </w:rPr>
              <w:t>2727</w:t>
            </w:r>
          </w:p>
        </w:tc>
        <w:tc>
          <w:tcPr>
            <w:tcW w:w="1843" w:type="dxa"/>
            <w:shd w:val="clear" w:color="auto" w:fill="auto"/>
            <w:vAlign w:val="center"/>
          </w:tcPr>
          <w:p>
            <w:pPr>
              <w:pStyle w:val="72"/>
              <w:ind w:firstLine="560"/>
              <w:jc w:val="left"/>
            </w:pPr>
            <w:r>
              <w:rPr>
                <w:rFonts w:hint="eastAsia"/>
              </w:rPr>
              <w:t>2398</w:t>
            </w:r>
          </w:p>
        </w:tc>
        <w:tc>
          <w:tcPr>
            <w:tcW w:w="2550" w:type="dxa"/>
            <w:shd w:val="clear" w:color="auto" w:fill="auto"/>
            <w:vAlign w:val="center"/>
          </w:tcPr>
          <w:p>
            <w:pPr>
              <w:pStyle w:val="72"/>
              <w:ind w:firstLine="840" w:firstLineChars="400"/>
              <w:jc w:val="left"/>
            </w:pPr>
            <w:r>
              <w:rPr>
                <w:rFonts w:hint="eastAsia"/>
              </w:rPr>
              <w:t>12.06</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504" w:hRule="atLeast"/>
          <w:jc w:val="center"/>
        </w:trPr>
        <w:tc>
          <w:tcPr>
            <w:tcW w:w="1422" w:type="dxa"/>
            <w:shd w:val="clear" w:color="auto" w:fill="auto"/>
            <w:vAlign w:val="center"/>
          </w:tcPr>
          <w:p>
            <w:pPr>
              <w:pStyle w:val="72"/>
            </w:pPr>
            <w:r>
              <w:t>201</w:t>
            </w:r>
            <w:r>
              <w:rPr>
                <w:rFonts w:hint="eastAsia"/>
              </w:rPr>
              <w:t>4</w:t>
            </w:r>
            <w:r>
              <w:t>年</w:t>
            </w:r>
          </w:p>
        </w:tc>
        <w:tc>
          <w:tcPr>
            <w:tcW w:w="2125" w:type="dxa"/>
            <w:shd w:val="clear" w:color="auto" w:fill="auto"/>
            <w:vAlign w:val="center"/>
          </w:tcPr>
          <w:p>
            <w:pPr>
              <w:pStyle w:val="72"/>
              <w:ind w:firstLine="630" w:firstLineChars="300"/>
              <w:jc w:val="left"/>
            </w:pPr>
            <w:r>
              <w:t>≤1</w:t>
            </w:r>
            <w:r>
              <w:rPr>
                <w:rFonts w:hint="eastAsia"/>
              </w:rPr>
              <w:t>2</w:t>
            </w:r>
            <w:r>
              <w:t>%</w:t>
            </w:r>
          </w:p>
        </w:tc>
        <w:tc>
          <w:tcPr>
            <w:tcW w:w="2076" w:type="dxa"/>
            <w:shd w:val="clear" w:color="auto" w:fill="auto"/>
            <w:vAlign w:val="center"/>
          </w:tcPr>
          <w:p>
            <w:pPr>
              <w:pStyle w:val="72"/>
              <w:ind w:firstLine="630" w:firstLineChars="300"/>
              <w:jc w:val="left"/>
            </w:pPr>
            <w:r>
              <w:rPr>
                <w:rFonts w:hint="eastAsia"/>
              </w:rPr>
              <w:t>2933</w:t>
            </w:r>
          </w:p>
        </w:tc>
        <w:tc>
          <w:tcPr>
            <w:tcW w:w="1843" w:type="dxa"/>
            <w:shd w:val="clear" w:color="auto" w:fill="auto"/>
            <w:vAlign w:val="center"/>
          </w:tcPr>
          <w:p>
            <w:pPr>
              <w:pStyle w:val="72"/>
            </w:pPr>
            <w:r>
              <w:rPr>
                <w:rFonts w:hint="eastAsia"/>
              </w:rPr>
              <w:t>2502</w:t>
            </w:r>
          </w:p>
        </w:tc>
        <w:tc>
          <w:tcPr>
            <w:tcW w:w="2550" w:type="dxa"/>
            <w:shd w:val="clear" w:color="auto" w:fill="auto"/>
            <w:vAlign w:val="center"/>
          </w:tcPr>
          <w:p>
            <w:pPr>
              <w:pStyle w:val="72"/>
              <w:ind w:firstLine="840" w:firstLineChars="400"/>
              <w:jc w:val="left"/>
            </w:pPr>
            <w:r>
              <w:rPr>
                <w:rFonts w:hint="eastAsia"/>
              </w:rPr>
              <w:t>14.69</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66" w:hRule="atLeast"/>
          <w:jc w:val="center"/>
        </w:trPr>
        <w:tc>
          <w:tcPr>
            <w:tcW w:w="1422" w:type="dxa"/>
            <w:shd w:val="clear" w:color="auto" w:fill="auto"/>
            <w:vAlign w:val="center"/>
          </w:tcPr>
          <w:p>
            <w:pPr>
              <w:pStyle w:val="72"/>
            </w:pPr>
            <w:r>
              <w:t>201</w:t>
            </w:r>
            <w:r>
              <w:rPr>
                <w:rFonts w:hint="eastAsia"/>
              </w:rPr>
              <w:t>5</w:t>
            </w:r>
            <w:r>
              <w:t>年</w:t>
            </w:r>
          </w:p>
        </w:tc>
        <w:tc>
          <w:tcPr>
            <w:tcW w:w="2125" w:type="dxa"/>
            <w:shd w:val="clear" w:color="auto" w:fill="auto"/>
            <w:vAlign w:val="center"/>
          </w:tcPr>
          <w:p>
            <w:pPr>
              <w:pStyle w:val="72"/>
            </w:pPr>
            <w:r>
              <w:t>≤1</w:t>
            </w:r>
            <w:r>
              <w:rPr>
                <w:rFonts w:hint="eastAsia"/>
              </w:rPr>
              <w:t>2</w:t>
            </w:r>
            <w:r>
              <w:t>%</w:t>
            </w:r>
          </w:p>
        </w:tc>
        <w:tc>
          <w:tcPr>
            <w:tcW w:w="2076" w:type="dxa"/>
            <w:shd w:val="clear" w:color="auto" w:fill="auto"/>
            <w:vAlign w:val="center"/>
          </w:tcPr>
          <w:p>
            <w:pPr>
              <w:pStyle w:val="72"/>
            </w:pPr>
            <w:r>
              <w:rPr>
                <w:rFonts w:hint="eastAsia"/>
              </w:rPr>
              <w:t>3120</w:t>
            </w:r>
          </w:p>
        </w:tc>
        <w:tc>
          <w:tcPr>
            <w:tcW w:w="1843" w:type="dxa"/>
            <w:shd w:val="clear" w:color="auto" w:fill="auto"/>
            <w:vAlign w:val="center"/>
          </w:tcPr>
          <w:p>
            <w:pPr>
              <w:pStyle w:val="72"/>
            </w:pPr>
            <w:r>
              <w:rPr>
                <w:rFonts w:hint="eastAsia"/>
              </w:rPr>
              <w:t>2658</w:t>
            </w:r>
          </w:p>
        </w:tc>
        <w:tc>
          <w:tcPr>
            <w:tcW w:w="2550" w:type="dxa"/>
            <w:shd w:val="clear" w:color="auto" w:fill="auto"/>
            <w:vAlign w:val="center"/>
          </w:tcPr>
          <w:p>
            <w:pPr>
              <w:pStyle w:val="72"/>
            </w:pPr>
            <w:r>
              <w:rPr>
                <w:rFonts w:hint="eastAsia"/>
              </w:rPr>
              <w:t>14.81</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570" w:hRule="atLeast"/>
          <w:jc w:val="center"/>
        </w:trPr>
        <w:tc>
          <w:tcPr>
            <w:tcW w:w="1422" w:type="dxa"/>
            <w:shd w:val="clear" w:color="auto" w:fill="auto"/>
            <w:vAlign w:val="center"/>
          </w:tcPr>
          <w:p>
            <w:pPr>
              <w:pStyle w:val="72"/>
            </w:pPr>
            <w:r>
              <w:t>201</w:t>
            </w:r>
            <w:r>
              <w:rPr>
                <w:rFonts w:hint="eastAsia"/>
              </w:rPr>
              <w:t>6</w:t>
            </w:r>
            <w:r>
              <w:t>年</w:t>
            </w:r>
          </w:p>
        </w:tc>
        <w:tc>
          <w:tcPr>
            <w:tcW w:w="2125" w:type="dxa"/>
            <w:shd w:val="clear" w:color="auto" w:fill="auto"/>
            <w:vAlign w:val="center"/>
          </w:tcPr>
          <w:p>
            <w:pPr>
              <w:pStyle w:val="72"/>
            </w:pPr>
            <w:r>
              <w:t>≤1</w:t>
            </w:r>
            <w:r>
              <w:rPr>
                <w:rFonts w:hint="eastAsia"/>
              </w:rPr>
              <w:t>2</w:t>
            </w:r>
            <w:r>
              <w:t>%</w:t>
            </w:r>
          </w:p>
        </w:tc>
        <w:tc>
          <w:tcPr>
            <w:tcW w:w="2076" w:type="dxa"/>
            <w:shd w:val="clear" w:color="auto" w:fill="auto"/>
            <w:vAlign w:val="center"/>
          </w:tcPr>
          <w:p>
            <w:pPr>
              <w:pStyle w:val="72"/>
            </w:pPr>
            <w:r>
              <w:rPr>
                <w:rFonts w:hint="eastAsia"/>
              </w:rPr>
              <w:t>3146</w:t>
            </w:r>
          </w:p>
        </w:tc>
        <w:tc>
          <w:tcPr>
            <w:tcW w:w="1843" w:type="dxa"/>
            <w:shd w:val="clear" w:color="auto" w:fill="auto"/>
            <w:vAlign w:val="center"/>
          </w:tcPr>
          <w:p>
            <w:pPr>
              <w:pStyle w:val="72"/>
            </w:pPr>
            <w:r>
              <w:rPr>
                <w:rFonts w:hint="eastAsia"/>
              </w:rPr>
              <w:t>2728</w:t>
            </w:r>
          </w:p>
        </w:tc>
        <w:tc>
          <w:tcPr>
            <w:tcW w:w="2550" w:type="dxa"/>
            <w:shd w:val="clear" w:color="auto" w:fill="auto"/>
            <w:vAlign w:val="center"/>
          </w:tcPr>
          <w:p>
            <w:pPr>
              <w:pStyle w:val="72"/>
            </w:pPr>
            <w:r>
              <w:rPr>
                <w:rFonts w:hint="eastAsia"/>
              </w:rPr>
              <w:t>13.29</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570" w:hRule="atLeast"/>
          <w:jc w:val="center"/>
        </w:trPr>
        <w:tc>
          <w:tcPr>
            <w:tcW w:w="1422" w:type="dxa"/>
            <w:shd w:val="clear" w:color="auto" w:fill="auto"/>
            <w:vAlign w:val="center"/>
          </w:tcPr>
          <w:p>
            <w:pPr>
              <w:pStyle w:val="72"/>
            </w:pPr>
            <w:r>
              <w:t>201</w:t>
            </w:r>
            <w:r>
              <w:rPr>
                <w:rFonts w:hint="eastAsia"/>
              </w:rPr>
              <w:t>7</w:t>
            </w:r>
            <w:r>
              <w:t>年</w:t>
            </w:r>
          </w:p>
        </w:tc>
        <w:tc>
          <w:tcPr>
            <w:tcW w:w="2125" w:type="dxa"/>
            <w:shd w:val="clear" w:color="auto" w:fill="auto"/>
            <w:vAlign w:val="center"/>
          </w:tcPr>
          <w:p>
            <w:pPr>
              <w:pStyle w:val="72"/>
            </w:pPr>
            <w:r>
              <w:t>≤1</w:t>
            </w:r>
            <w:r>
              <w:rPr>
                <w:rFonts w:hint="eastAsia"/>
              </w:rPr>
              <w:t>2</w:t>
            </w:r>
            <w:r>
              <w:t>%</w:t>
            </w:r>
          </w:p>
        </w:tc>
        <w:tc>
          <w:tcPr>
            <w:tcW w:w="2076" w:type="dxa"/>
            <w:shd w:val="clear" w:color="auto" w:fill="auto"/>
            <w:vAlign w:val="center"/>
          </w:tcPr>
          <w:p>
            <w:pPr>
              <w:pStyle w:val="72"/>
            </w:pPr>
            <w:r>
              <w:rPr>
                <w:rFonts w:hint="eastAsia"/>
              </w:rPr>
              <w:t>3541</w:t>
            </w:r>
          </w:p>
        </w:tc>
        <w:tc>
          <w:tcPr>
            <w:tcW w:w="1843" w:type="dxa"/>
            <w:shd w:val="clear" w:color="auto" w:fill="auto"/>
            <w:vAlign w:val="center"/>
          </w:tcPr>
          <w:p>
            <w:pPr>
              <w:pStyle w:val="72"/>
            </w:pPr>
            <w:r>
              <w:rPr>
                <w:rFonts w:hint="eastAsia"/>
              </w:rPr>
              <w:t>3137</w:t>
            </w:r>
          </w:p>
        </w:tc>
        <w:tc>
          <w:tcPr>
            <w:tcW w:w="2550" w:type="dxa"/>
            <w:shd w:val="clear" w:color="auto" w:fill="auto"/>
            <w:vAlign w:val="center"/>
          </w:tcPr>
          <w:p>
            <w:pPr>
              <w:pStyle w:val="72"/>
            </w:pPr>
            <w:r>
              <w:rPr>
                <w:rFonts w:hint="eastAsia"/>
              </w:rPr>
              <w:t>11.41</w:t>
            </w:r>
          </w:p>
        </w:tc>
      </w:tr>
    </w:tbl>
    <w:p>
      <w:pPr>
        <w:pStyle w:val="16"/>
        <w:spacing w:line="360" w:lineRule="auto"/>
        <w:ind w:firstLine="594"/>
        <w:jc w:val="both"/>
        <w:rPr>
          <w:rFonts w:cs="Times New Roman"/>
          <w:spacing w:val="17"/>
        </w:rPr>
      </w:pPr>
      <w:r>
        <w:rPr>
          <w:rFonts w:hint="eastAsia" w:cs="Times New Roman"/>
          <w:spacing w:val="17"/>
        </w:rPr>
        <w:t>4</w:t>
      </w:r>
      <w:r>
        <w:rPr>
          <w:rFonts w:cs="Times New Roman"/>
          <w:spacing w:val="17"/>
        </w:rPr>
        <w:t>、城市水环境质量达标率</w:t>
      </w:r>
    </w:p>
    <w:p>
      <w:pPr>
        <w:pStyle w:val="16"/>
        <w:spacing w:line="360" w:lineRule="auto"/>
        <w:ind w:firstLine="560"/>
        <w:rPr>
          <w:rFonts w:cs="Times New Roman"/>
        </w:rPr>
      </w:pPr>
      <w:r>
        <w:rPr>
          <w:rFonts w:hint="eastAsia" w:cs="Times New Roman"/>
        </w:rPr>
        <w:t>随着黑臭水体、水环境、海绵城市项目的建设，水环境质量正在逐步改善。</w:t>
      </w:r>
    </w:p>
    <w:p>
      <w:pPr>
        <w:pStyle w:val="5"/>
        <w:spacing w:before="120"/>
      </w:pPr>
      <w:bookmarkStart w:id="161" w:name="_Toc8032554"/>
      <w:bookmarkStart w:id="162" w:name="_Toc478634322"/>
      <w:r>
        <w:rPr>
          <w:rFonts w:hint="eastAsia"/>
        </w:rPr>
        <w:t>2.7.1</w:t>
      </w:r>
      <w:r>
        <w:t>.2. 综合节水潜力分析</w:t>
      </w:r>
      <w:bookmarkEnd w:id="161"/>
      <w:bookmarkEnd w:id="162"/>
    </w:p>
    <w:p>
      <w:pPr>
        <w:pStyle w:val="16"/>
        <w:spacing w:line="360" w:lineRule="auto"/>
        <w:ind w:firstLine="594"/>
        <w:jc w:val="both"/>
        <w:rPr>
          <w:rFonts w:cs="Times New Roman"/>
          <w:spacing w:val="17"/>
        </w:rPr>
      </w:pPr>
      <w:r>
        <w:rPr>
          <w:rFonts w:cs="Times New Roman"/>
          <w:spacing w:val="17"/>
        </w:rPr>
        <w:t xml:space="preserve">1、根据《淮北统计年鉴》的经济数据、淮北市城区的用水量，计算万元地区生产总值用水量远低于全国平均值（约 </w:t>
      </w:r>
      <w:r>
        <w:rPr>
          <w:rFonts w:hint="eastAsia" w:cs="Times New Roman"/>
          <w:spacing w:val="17"/>
        </w:rPr>
        <w:t>81</w:t>
      </w:r>
      <w:r>
        <w:rPr>
          <w:rFonts w:cs="Times New Roman"/>
          <w:spacing w:val="17"/>
        </w:rPr>
        <w:t>立方米/万元）的</w:t>
      </w:r>
      <w:r>
        <w:rPr>
          <w:rFonts w:hint="eastAsia" w:cs="Times New Roman"/>
          <w:spacing w:val="17"/>
        </w:rPr>
        <w:t>4</w:t>
      </w:r>
      <w:r>
        <w:rPr>
          <w:rFonts w:cs="Times New Roman"/>
          <w:spacing w:val="17"/>
        </w:rPr>
        <w:t>0%。同时根据“淮北市城市用水量统计表”可知，淮北市总体上以综合生活用水量为主，工业用水量相对较少。综合生活用水量与用水习惯、气候有较大关系，淮北市气候适宜，仍存在浪费水资源的习惯，有进一步提高的潜力；工业用水量与企业生产工艺有关，淮北市耗水型工业较少，</w:t>
      </w:r>
      <w:r>
        <w:rPr>
          <w:rFonts w:hint="eastAsia" w:cs="Times New Roman"/>
          <w:spacing w:val="17"/>
        </w:rPr>
        <w:t>部分</w:t>
      </w:r>
      <w:r>
        <w:rPr>
          <w:rFonts w:cs="Times New Roman"/>
          <w:spacing w:val="17"/>
        </w:rPr>
        <w:t>企业已采用循环用水工艺，但也存在部分企业未采用循环用水工艺的情况，仍有提升潜力。</w:t>
      </w:r>
    </w:p>
    <w:p>
      <w:pPr>
        <w:pStyle w:val="16"/>
        <w:spacing w:line="360" w:lineRule="auto"/>
        <w:ind w:firstLine="594"/>
        <w:rPr>
          <w:rFonts w:cs="Times New Roman"/>
          <w:spacing w:val="17"/>
        </w:rPr>
      </w:pPr>
      <w:r>
        <w:rPr>
          <w:rFonts w:cs="Times New Roman"/>
          <w:spacing w:val="17"/>
        </w:rPr>
        <w:t>2、</w:t>
      </w:r>
      <w:r>
        <w:rPr>
          <w:rFonts w:hint="eastAsia" w:cs="Times New Roman"/>
          <w:spacing w:val="17"/>
        </w:rPr>
        <w:t>淮北</w:t>
      </w:r>
      <w:r>
        <w:rPr>
          <w:rFonts w:cs="Times New Roman"/>
          <w:spacing w:val="17"/>
        </w:rPr>
        <w:t>市</w:t>
      </w:r>
      <w:r>
        <w:rPr>
          <w:rFonts w:hint="eastAsia" w:cs="Times New Roman"/>
          <w:spacing w:val="17"/>
        </w:rPr>
        <w:t>质量技术监督局、淮北</w:t>
      </w:r>
      <w:r>
        <w:rPr>
          <w:rFonts w:cs="Times New Roman"/>
          <w:spacing w:val="17"/>
        </w:rPr>
        <w:t>市</w:t>
      </w:r>
      <w:r>
        <w:rPr>
          <w:rFonts w:hint="eastAsia" w:cs="Times New Roman"/>
          <w:spacing w:val="17"/>
        </w:rPr>
        <w:t>现代花园北苑小区、淮北工业和</w:t>
      </w:r>
      <w:r>
        <w:rPr>
          <w:rFonts w:cs="Times New Roman"/>
          <w:spacing w:val="17"/>
        </w:rPr>
        <w:t>艺术学校</w:t>
      </w:r>
      <w:r>
        <w:rPr>
          <w:rFonts w:hint="eastAsia" w:cs="Times New Roman"/>
          <w:spacing w:val="17"/>
        </w:rPr>
        <w:t>等部分单位和小区建有</w:t>
      </w:r>
      <w:r>
        <w:rPr>
          <w:rFonts w:cs="Times New Roman"/>
          <w:spacing w:val="17"/>
        </w:rPr>
        <w:t>雨水</w:t>
      </w:r>
      <w:r>
        <w:rPr>
          <w:rFonts w:hint="eastAsia" w:cs="Times New Roman"/>
          <w:spacing w:val="17"/>
        </w:rPr>
        <w:t>收集系统，目前</w:t>
      </w:r>
      <w:r>
        <w:rPr>
          <w:rFonts w:hint="eastAsia" w:cs="Times New Roman"/>
        </w:rPr>
        <w:t>年雨水利用量约50万m³</w:t>
      </w:r>
      <w:r>
        <w:rPr>
          <w:rFonts w:cs="Times New Roman"/>
          <w:spacing w:val="17"/>
        </w:rPr>
        <w:t>；</w:t>
      </w:r>
      <w:r>
        <w:t>淮北目前已经建成</w:t>
      </w:r>
      <w:r>
        <w:rPr>
          <w:spacing w:val="-91"/>
        </w:rPr>
        <w:t xml:space="preserve"> </w:t>
      </w:r>
      <w:r>
        <w:rPr>
          <w:rFonts w:eastAsia="Times New Roman" w:cs="Times New Roman"/>
        </w:rPr>
        <w:t>12</w:t>
      </w:r>
      <w:r>
        <w:rPr>
          <w:rFonts w:eastAsia="Times New Roman" w:cs="Times New Roman"/>
          <w:spacing w:val="-21"/>
        </w:rPr>
        <w:t xml:space="preserve"> </w:t>
      </w:r>
      <w:r>
        <w:t>万吨</w:t>
      </w:r>
      <w:r>
        <w:rPr>
          <w:rFonts w:eastAsia="Times New Roman" w:cs="Times New Roman"/>
        </w:rPr>
        <w:t>/</w:t>
      </w:r>
      <w:r>
        <w:t>天的中水管，</w:t>
      </w:r>
      <w:r>
        <w:rPr>
          <w:rFonts w:hint="eastAsia"/>
        </w:rPr>
        <w:t>总长约23.5km，</w:t>
      </w:r>
      <w:r>
        <w:t>将污水处理厂尾水输送至电厂等企业</w:t>
      </w:r>
      <w:r>
        <w:rPr>
          <w:spacing w:val="-3"/>
        </w:rPr>
        <w:t>做循环冷却水</w:t>
      </w:r>
      <w:r>
        <w:rPr>
          <w:rFonts w:hint="eastAsia"/>
          <w:spacing w:val="-3"/>
        </w:rPr>
        <w:t>或景观河道补水</w:t>
      </w:r>
      <w:r>
        <w:rPr>
          <w:rFonts w:cs="Times New Roman"/>
          <w:spacing w:val="17"/>
        </w:rPr>
        <w:t>。淮北市非常规水资源利用率仍有较大的提高潜力。</w:t>
      </w:r>
    </w:p>
    <w:p>
      <w:pPr>
        <w:pStyle w:val="16"/>
        <w:spacing w:line="360" w:lineRule="auto"/>
        <w:ind w:firstLine="594"/>
        <w:rPr>
          <w:rFonts w:cs="Times New Roman"/>
          <w:spacing w:val="17"/>
        </w:rPr>
      </w:pPr>
      <w:r>
        <w:rPr>
          <w:rFonts w:cs="Times New Roman"/>
          <w:spacing w:val="17"/>
        </w:rPr>
        <w:t>3、近几年已对城区内部分易涝点</w:t>
      </w:r>
      <w:r>
        <w:rPr>
          <w:rFonts w:hint="eastAsia" w:cs="Times New Roman"/>
          <w:spacing w:val="17"/>
        </w:rPr>
        <w:t>进行整治，但排涝标准仍有待进一步提高</w:t>
      </w:r>
      <w:r>
        <w:rPr>
          <w:rFonts w:cs="Times New Roman"/>
          <w:spacing w:val="17"/>
        </w:rPr>
        <w:t>。</w:t>
      </w:r>
    </w:p>
    <w:p>
      <w:pPr>
        <w:pStyle w:val="16"/>
        <w:spacing w:line="360" w:lineRule="auto"/>
        <w:ind w:firstLine="594"/>
        <w:rPr>
          <w:rFonts w:cs="Times New Roman"/>
          <w:spacing w:val="17"/>
        </w:rPr>
      </w:pPr>
      <w:r>
        <w:rPr>
          <w:rFonts w:hint="eastAsia" w:cs="Times New Roman"/>
          <w:spacing w:val="17"/>
        </w:rPr>
        <w:t>4、目前淮北市自来水管网漏失率约为</w:t>
      </w:r>
      <w:r>
        <w:rPr>
          <w:rFonts w:cs="Times New Roman"/>
          <w:spacing w:val="17"/>
        </w:rPr>
        <w:t>11.41</w:t>
      </w:r>
      <w:r>
        <w:rPr>
          <w:rFonts w:hint="eastAsia" w:cs="Times New Roman"/>
          <w:spacing w:val="17"/>
        </w:rPr>
        <w:t>％，总体情况较好，但仍需进一步减少管网漏失率。</w:t>
      </w:r>
    </w:p>
    <w:p>
      <w:pPr>
        <w:pStyle w:val="16"/>
        <w:kinsoku w:val="0"/>
        <w:overflowPunct w:val="0"/>
        <w:spacing w:line="360" w:lineRule="auto"/>
        <w:ind w:right="106" w:firstLine="594"/>
        <w:jc w:val="both"/>
        <w:rPr>
          <w:rFonts w:cs="Times New Roman"/>
          <w:spacing w:val="16"/>
        </w:rPr>
      </w:pPr>
      <w:r>
        <w:rPr>
          <w:rFonts w:cs="Times New Roman"/>
          <w:spacing w:val="17"/>
        </w:rPr>
        <w:t>5</w:t>
      </w:r>
      <w:r>
        <w:rPr>
          <w:rFonts w:hint="eastAsia" w:cs="Times New Roman"/>
          <w:spacing w:val="17"/>
        </w:rPr>
        <w:t>、淮北</w:t>
      </w:r>
      <w:r>
        <w:rPr>
          <w:rFonts w:cs="Times New Roman"/>
          <w:spacing w:val="17"/>
        </w:rPr>
        <w:t>市目前</w:t>
      </w:r>
      <w:r>
        <w:rPr>
          <w:rFonts w:hint="eastAsia" w:cs="Times New Roman"/>
          <w:spacing w:val="16"/>
        </w:rPr>
        <w:t>自备水源过多，造成供水工程建设上投资较多，且不利于水资源的管理和城市节水。随着</w:t>
      </w:r>
      <w:r>
        <w:rPr>
          <w:rFonts w:cs="Times New Roman"/>
          <w:spacing w:val="16"/>
        </w:rPr>
        <w:t>公共供水管网覆盖</w:t>
      </w:r>
      <w:r>
        <w:rPr>
          <w:rFonts w:hint="eastAsia" w:cs="Times New Roman"/>
          <w:spacing w:val="16"/>
        </w:rPr>
        <w:t>范围</w:t>
      </w:r>
      <w:r>
        <w:rPr>
          <w:rFonts w:cs="Times New Roman"/>
          <w:spacing w:val="16"/>
        </w:rPr>
        <w:t>内的自备水</w:t>
      </w:r>
      <w:r>
        <w:rPr>
          <w:rFonts w:hint="eastAsia" w:cs="Times New Roman"/>
          <w:spacing w:val="16"/>
        </w:rPr>
        <w:t>井</w:t>
      </w:r>
      <w:r>
        <w:rPr>
          <w:rFonts w:cs="Times New Roman"/>
          <w:spacing w:val="16"/>
        </w:rPr>
        <w:t>逐步关停，可</w:t>
      </w:r>
      <w:r>
        <w:rPr>
          <w:rFonts w:hint="eastAsia" w:cs="Times New Roman"/>
          <w:spacing w:val="16"/>
        </w:rPr>
        <w:t>有效节约</w:t>
      </w:r>
      <w:r>
        <w:rPr>
          <w:rFonts w:cs="Times New Roman"/>
          <w:spacing w:val="16"/>
        </w:rPr>
        <w:t>水资源。</w:t>
      </w:r>
    </w:p>
    <w:p>
      <w:pPr>
        <w:pStyle w:val="4"/>
        <w:spacing w:line="360" w:lineRule="auto"/>
        <w:rPr>
          <w:rFonts w:cs="Times New Roman"/>
        </w:rPr>
      </w:pPr>
      <w:bookmarkStart w:id="163" w:name="_Toc8032555"/>
      <w:bookmarkStart w:id="164" w:name="_Toc478634323"/>
      <w:r>
        <w:rPr>
          <w:rFonts w:hint="eastAsia" w:cs="Times New Roman"/>
        </w:rPr>
        <w:t>2.7.2</w:t>
      </w:r>
      <w:r>
        <w:rPr>
          <w:rFonts w:cs="Times New Roman"/>
        </w:rPr>
        <w:t>. 居民生活节水现状及潜力分析</w:t>
      </w:r>
      <w:bookmarkEnd w:id="163"/>
      <w:bookmarkEnd w:id="164"/>
    </w:p>
    <w:p>
      <w:pPr>
        <w:pStyle w:val="5"/>
        <w:spacing w:before="120"/>
      </w:pPr>
      <w:bookmarkStart w:id="165" w:name="_Toc478634324"/>
      <w:bookmarkStart w:id="166" w:name="_Toc8032556"/>
      <w:r>
        <w:rPr>
          <w:rFonts w:hint="eastAsia"/>
        </w:rPr>
        <w:t>2.7.2</w:t>
      </w:r>
      <w:r>
        <w:t>.1  居民生活节水现状</w:t>
      </w:r>
      <w:bookmarkEnd w:id="165"/>
      <w:bookmarkEnd w:id="166"/>
    </w:p>
    <w:p>
      <w:pPr>
        <w:pStyle w:val="16"/>
        <w:spacing w:line="360" w:lineRule="auto"/>
        <w:ind w:firstLine="560"/>
        <w:rPr>
          <w:rFonts w:cs="Times New Roman"/>
        </w:rPr>
      </w:pPr>
      <w:r>
        <w:rPr>
          <w:rFonts w:hint="eastAsia" w:cs="Times New Roman" w:asciiTheme="minorEastAsia" w:hAnsiTheme="minorEastAsia" w:eastAsiaTheme="minorEastAsia"/>
        </w:rPr>
        <w:t>一</w:t>
      </w:r>
      <w:r>
        <w:rPr>
          <w:rFonts w:cs="Times New Roman"/>
        </w:rPr>
        <w:t>、城市居民生活用水量</w:t>
      </w:r>
    </w:p>
    <w:p>
      <w:pPr>
        <w:pStyle w:val="16"/>
        <w:spacing w:line="360" w:lineRule="auto"/>
        <w:ind w:firstLine="560"/>
        <w:rPr>
          <w:rFonts w:cs="Times New Roman"/>
        </w:rPr>
      </w:pPr>
      <w:r>
        <w:rPr>
          <w:rFonts w:cs="Times New Roman"/>
        </w:rPr>
        <w:t>根据表</w:t>
      </w:r>
      <w:r>
        <w:rPr>
          <w:rFonts w:hint="eastAsia" w:cs="Times New Roman"/>
        </w:rPr>
        <w:t>5-1</w:t>
      </w:r>
      <w:r>
        <w:rPr>
          <w:rFonts w:cs="Times New Roman"/>
        </w:rPr>
        <w:t>对</w:t>
      </w:r>
      <w:r>
        <w:rPr>
          <w:rFonts w:hint="eastAsia" w:cs="Times New Roman"/>
        </w:rPr>
        <w:t>淮北</w:t>
      </w:r>
      <w:r>
        <w:rPr>
          <w:rFonts w:cs="Times New Roman"/>
        </w:rPr>
        <w:t>市近年来生活用水的统计结果2</w:t>
      </w:r>
      <w:r>
        <w:rPr>
          <w:rFonts w:eastAsia="Times New Roman" w:cs="Times New Roman"/>
          <w:spacing w:val="9"/>
        </w:rPr>
        <w:t>0</w:t>
      </w:r>
      <w:r>
        <w:rPr>
          <w:rFonts w:cs="Times New Roman" w:eastAsiaTheme="minorEastAsia"/>
          <w:spacing w:val="9"/>
        </w:rPr>
        <w:t>1</w:t>
      </w:r>
      <w:r>
        <w:rPr>
          <w:rFonts w:hint="eastAsia" w:cs="Times New Roman" w:eastAsiaTheme="minorEastAsia"/>
          <w:spacing w:val="9"/>
        </w:rPr>
        <w:t>3</w:t>
      </w:r>
      <w:r>
        <w:rPr>
          <w:rFonts w:eastAsia="Times New Roman" w:cs="Times New Roman"/>
          <w:spacing w:val="9"/>
        </w:rPr>
        <w:t>~20</w:t>
      </w:r>
      <w:r>
        <w:rPr>
          <w:rFonts w:cs="Times New Roman" w:eastAsiaTheme="minorEastAsia"/>
          <w:spacing w:val="9"/>
        </w:rPr>
        <w:t>1</w:t>
      </w:r>
      <w:r>
        <w:rPr>
          <w:rFonts w:hint="eastAsia" w:cs="Times New Roman" w:eastAsiaTheme="minorEastAsia"/>
          <w:spacing w:val="9"/>
        </w:rPr>
        <w:t>7</w:t>
      </w:r>
      <w:r>
        <w:rPr>
          <w:rFonts w:eastAsia="Times New Roman" w:cs="Times New Roman"/>
        </w:rPr>
        <w:t xml:space="preserve"> </w:t>
      </w:r>
      <w:r>
        <w:rPr>
          <w:rFonts w:cs="Times New Roman"/>
          <w:spacing w:val="16"/>
        </w:rPr>
        <w:t>年</w:t>
      </w:r>
      <w:r>
        <w:rPr>
          <w:rFonts w:cs="Times New Roman"/>
          <w:spacing w:val="19"/>
        </w:rPr>
        <w:t>城</w:t>
      </w:r>
      <w:r>
        <w:rPr>
          <w:rFonts w:cs="Times New Roman"/>
          <w:spacing w:val="16"/>
        </w:rPr>
        <w:t>市</w:t>
      </w:r>
      <w:r>
        <w:rPr>
          <w:rFonts w:cs="Times New Roman"/>
          <w:spacing w:val="19"/>
        </w:rPr>
        <w:t>用水</w:t>
      </w:r>
      <w:r>
        <w:rPr>
          <w:rFonts w:cs="Times New Roman"/>
          <w:spacing w:val="16"/>
        </w:rPr>
        <w:t>人</w:t>
      </w:r>
      <w:r>
        <w:rPr>
          <w:rFonts w:cs="Times New Roman"/>
        </w:rPr>
        <w:t>口</w:t>
      </w:r>
      <w:r>
        <w:rPr>
          <w:rFonts w:hint="eastAsia" w:cs="Times New Roman" w:eastAsiaTheme="minorEastAsia"/>
          <w:spacing w:val="6"/>
        </w:rPr>
        <w:t>81.88</w:t>
      </w:r>
      <w:r>
        <w:rPr>
          <w:rFonts w:cs="Times New Roman"/>
          <w:spacing w:val="11"/>
        </w:rPr>
        <w:t>万人、</w:t>
      </w:r>
      <w:r>
        <w:rPr>
          <w:rFonts w:hint="eastAsia" w:cs="Times New Roman"/>
          <w:spacing w:val="11"/>
        </w:rPr>
        <w:t>81.75</w:t>
      </w:r>
      <w:r>
        <w:rPr>
          <w:rFonts w:cs="Times New Roman"/>
          <w:spacing w:val="10"/>
        </w:rPr>
        <w:t>万人、</w:t>
      </w:r>
      <w:r>
        <w:rPr>
          <w:rFonts w:hint="eastAsia" w:cs="Times New Roman"/>
          <w:spacing w:val="10"/>
        </w:rPr>
        <w:t>80.82</w:t>
      </w:r>
      <w:r>
        <w:rPr>
          <w:rFonts w:eastAsia="Times New Roman" w:cs="Times New Roman"/>
          <w:spacing w:val="10"/>
        </w:rPr>
        <w:t xml:space="preserve"> </w:t>
      </w:r>
      <w:r>
        <w:rPr>
          <w:rFonts w:cs="Times New Roman"/>
          <w:spacing w:val="11"/>
        </w:rPr>
        <w:t>万人、</w:t>
      </w:r>
      <w:r>
        <w:rPr>
          <w:rFonts w:hint="eastAsia" w:cs="Times New Roman"/>
          <w:spacing w:val="11"/>
        </w:rPr>
        <w:t>73.92</w:t>
      </w:r>
      <w:r>
        <w:rPr>
          <w:rFonts w:eastAsia="Times New Roman" w:cs="Times New Roman"/>
          <w:spacing w:val="11"/>
        </w:rPr>
        <w:t xml:space="preserve"> </w:t>
      </w:r>
      <w:r>
        <w:rPr>
          <w:rFonts w:cs="Times New Roman"/>
          <w:spacing w:val="10"/>
        </w:rPr>
        <w:t>万人</w:t>
      </w:r>
      <w:r>
        <w:rPr>
          <w:rFonts w:hint="eastAsia" w:cs="Times New Roman"/>
          <w:spacing w:val="10"/>
        </w:rPr>
        <w:t>、</w:t>
      </w:r>
      <w:r>
        <w:rPr>
          <w:rFonts w:hint="eastAsia" w:cs="Times New Roman"/>
          <w:spacing w:val="11"/>
        </w:rPr>
        <w:t>74.57</w:t>
      </w:r>
      <w:r>
        <w:rPr>
          <w:rFonts w:eastAsia="Times New Roman" w:cs="Times New Roman"/>
          <w:spacing w:val="11"/>
        </w:rPr>
        <w:t xml:space="preserve"> </w:t>
      </w:r>
      <w:r>
        <w:rPr>
          <w:rFonts w:cs="Times New Roman"/>
          <w:spacing w:val="10"/>
        </w:rPr>
        <w:t>万人。</w:t>
      </w:r>
      <w:r>
        <w:rPr>
          <w:rFonts w:eastAsia="Times New Roman" w:cs="Times New Roman"/>
          <w:spacing w:val="10"/>
        </w:rPr>
        <w:t>20</w:t>
      </w:r>
      <w:r>
        <w:rPr>
          <w:rFonts w:cs="Times New Roman" w:eastAsiaTheme="minorEastAsia"/>
          <w:spacing w:val="10"/>
        </w:rPr>
        <w:t>1</w:t>
      </w:r>
      <w:r>
        <w:rPr>
          <w:rFonts w:hint="eastAsia" w:cs="Times New Roman" w:eastAsiaTheme="minorEastAsia"/>
          <w:spacing w:val="10"/>
        </w:rPr>
        <w:t>3</w:t>
      </w:r>
      <w:r>
        <w:rPr>
          <w:rFonts w:eastAsia="Times New Roman" w:cs="Times New Roman"/>
          <w:spacing w:val="10"/>
        </w:rPr>
        <w:t>~201</w:t>
      </w:r>
      <w:r>
        <w:rPr>
          <w:rFonts w:hint="eastAsia" w:cs="Times New Roman" w:eastAsiaTheme="minorEastAsia"/>
          <w:spacing w:val="10"/>
        </w:rPr>
        <w:t>7</w:t>
      </w:r>
      <w:r>
        <w:rPr>
          <w:rFonts w:eastAsia="Times New Roman" w:cs="Times New Roman"/>
          <w:spacing w:val="10"/>
        </w:rPr>
        <w:t xml:space="preserve">  </w:t>
      </w:r>
      <w:r>
        <w:rPr>
          <w:rFonts w:cs="Times New Roman"/>
          <w:spacing w:val="16"/>
        </w:rPr>
        <w:t>年平均日人均生活用水量为</w:t>
      </w:r>
      <w:r>
        <w:rPr>
          <w:rFonts w:hint="eastAsia" w:cs="Times New Roman" w:eastAsiaTheme="minorEastAsia"/>
        </w:rPr>
        <w:t>95</w:t>
      </w:r>
      <w:r>
        <w:rPr>
          <w:rFonts w:cs="Times New Roman"/>
        </w:rPr>
        <w:t>升</w:t>
      </w:r>
      <w:r>
        <w:rPr>
          <w:rFonts w:eastAsia="Times New Roman" w:cs="Times New Roman"/>
        </w:rPr>
        <w:t>/</w:t>
      </w:r>
      <w:r>
        <w:rPr>
          <w:rFonts w:cs="Times New Roman"/>
        </w:rPr>
        <w:t>人</w:t>
      </w:r>
      <w:r>
        <w:rPr>
          <w:rFonts w:eastAsia="Times New Roman" w:cs="Times New Roman"/>
        </w:rPr>
        <w:t>.</w:t>
      </w:r>
      <w:r>
        <w:rPr>
          <w:rFonts w:cs="Times New Roman"/>
        </w:rPr>
        <w:t>日、</w:t>
      </w:r>
      <w:r>
        <w:rPr>
          <w:rFonts w:hint="eastAsia" w:cs="Times New Roman"/>
        </w:rPr>
        <w:t>86.34</w:t>
      </w:r>
      <w:r>
        <w:rPr>
          <w:rFonts w:cs="Times New Roman"/>
        </w:rPr>
        <w:t>升</w:t>
      </w:r>
      <w:r>
        <w:rPr>
          <w:rFonts w:eastAsia="Times New Roman" w:cs="Times New Roman"/>
        </w:rPr>
        <w:t>/</w:t>
      </w:r>
      <w:r>
        <w:rPr>
          <w:rFonts w:cs="Times New Roman"/>
        </w:rPr>
        <w:t>人</w:t>
      </w:r>
      <w:r>
        <w:rPr>
          <w:rFonts w:eastAsia="Times New Roman" w:cs="Times New Roman"/>
        </w:rPr>
        <w:t>.</w:t>
      </w:r>
      <w:r>
        <w:rPr>
          <w:rFonts w:cs="Times New Roman"/>
        </w:rPr>
        <w:t>日、</w:t>
      </w:r>
      <w:r>
        <w:rPr>
          <w:rFonts w:hint="eastAsia" w:cs="Times New Roman"/>
        </w:rPr>
        <w:t>90.56</w:t>
      </w:r>
      <w:r>
        <w:rPr>
          <w:rFonts w:eastAsia="Times New Roman" w:cs="Times New Roman"/>
        </w:rPr>
        <w:t xml:space="preserve"> </w:t>
      </w:r>
      <w:r>
        <w:rPr>
          <w:rFonts w:cs="Times New Roman"/>
        </w:rPr>
        <w:t>升</w:t>
      </w:r>
      <w:r>
        <w:rPr>
          <w:rFonts w:eastAsia="Times New Roman" w:cs="Times New Roman"/>
        </w:rPr>
        <w:t>/</w:t>
      </w:r>
      <w:r>
        <w:rPr>
          <w:rFonts w:cs="Times New Roman"/>
        </w:rPr>
        <w:t>人</w:t>
      </w:r>
      <w:r>
        <w:rPr>
          <w:rFonts w:eastAsia="Times New Roman" w:cs="Times New Roman"/>
        </w:rPr>
        <w:t>.</w:t>
      </w:r>
      <w:r>
        <w:rPr>
          <w:rFonts w:cs="Times New Roman"/>
        </w:rPr>
        <w:t>日、</w:t>
      </w:r>
      <w:r>
        <w:rPr>
          <w:rFonts w:hint="eastAsia" w:cs="Times New Roman"/>
        </w:rPr>
        <w:t>96.98</w:t>
      </w:r>
      <w:r>
        <w:rPr>
          <w:rFonts w:cs="Times New Roman"/>
        </w:rPr>
        <w:t>升</w:t>
      </w:r>
      <w:r>
        <w:rPr>
          <w:rFonts w:eastAsia="Times New Roman" w:cs="Times New Roman"/>
        </w:rPr>
        <w:t>/</w:t>
      </w:r>
      <w:r>
        <w:rPr>
          <w:rFonts w:cs="Times New Roman"/>
        </w:rPr>
        <w:t>人</w:t>
      </w:r>
      <w:r>
        <w:rPr>
          <w:rFonts w:eastAsia="Times New Roman" w:cs="Times New Roman"/>
        </w:rPr>
        <w:t>.</w:t>
      </w:r>
      <w:r>
        <w:rPr>
          <w:rFonts w:cs="Times New Roman"/>
        </w:rPr>
        <w:t>日</w:t>
      </w:r>
      <w:r>
        <w:rPr>
          <w:rFonts w:hint="eastAsia" w:cs="Times New Roman"/>
        </w:rPr>
        <w:t>、101.11</w:t>
      </w:r>
      <w:r>
        <w:rPr>
          <w:rFonts w:cs="Times New Roman"/>
        </w:rPr>
        <w:t>升</w:t>
      </w:r>
      <w:r>
        <w:rPr>
          <w:rFonts w:eastAsia="Times New Roman" w:cs="Times New Roman"/>
        </w:rPr>
        <w:t>/</w:t>
      </w:r>
      <w:r>
        <w:rPr>
          <w:rFonts w:cs="Times New Roman"/>
        </w:rPr>
        <w:t>人</w:t>
      </w:r>
      <w:r>
        <w:rPr>
          <w:rFonts w:eastAsia="Times New Roman" w:cs="Times New Roman"/>
        </w:rPr>
        <w:t>.</w:t>
      </w:r>
      <w:r>
        <w:rPr>
          <w:rFonts w:cs="Times New Roman"/>
        </w:rPr>
        <w:t>日。由于淮北市城市建设水平的飞速发展、老城区的逐步改造和人民生活水平的大幅度提高</w:t>
      </w:r>
      <w:r>
        <w:rPr>
          <w:rFonts w:hint="eastAsia" w:cs="Times New Roman"/>
        </w:rPr>
        <w:t>，</w:t>
      </w:r>
      <w:r>
        <w:rPr>
          <w:rFonts w:cs="Times New Roman"/>
        </w:rPr>
        <w:t>生活用水总量随之不断扩大，但随着人民群众节水意识的不断提高以及</w:t>
      </w:r>
      <w:r>
        <w:rPr>
          <w:rFonts w:hint="eastAsia" w:cs="Times New Roman"/>
        </w:rPr>
        <w:t>新型</w:t>
      </w:r>
      <w:r>
        <w:rPr>
          <w:rFonts w:cs="Times New Roman"/>
        </w:rPr>
        <w:t>节水器具的不断使用，平均日人均生活用水量将逐渐趋于稳定。根据《中国城市建设统计年鉴》和淮北市自来水公司提供的供水量资料，计算淮北市城市平均日人均居民生活用水量如下表：</w:t>
      </w:r>
    </w:p>
    <w:p>
      <w:pPr>
        <w:pStyle w:val="16"/>
        <w:spacing w:line="360" w:lineRule="auto"/>
        <w:ind w:firstLine="482"/>
        <w:jc w:val="center"/>
        <w:rPr>
          <w:rFonts w:cs="Times New Roman"/>
          <w:b/>
          <w:sz w:val="24"/>
        </w:rPr>
      </w:pPr>
      <w:r>
        <w:rPr>
          <w:rFonts w:cs="Times New Roman"/>
          <w:b/>
          <w:sz w:val="24"/>
        </w:rPr>
        <w:t>表</w:t>
      </w:r>
      <w:r>
        <w:rPr>
          <w:rFonts w:hint="eastAsia" w:cs="Times New Roman"/>
          <w:b/>
          <w:sz w:val="24"/>
        </w:rPr>
        <w:t>2</w:t>
      </w:r>
      <w:r>
        <w:rPr>
          <w:rFonts w:cs="Times New Roman"/>
          <w:b/>
          <w:sz w:val="24"/>
        </w:rPr>
        <w:t>-</w:t>
      </w:r>
      <w:r>
        <w:rPr>
          <w:rFonts w:hint="eastAsia" w:cs="Times New Roman"/>
          <w:b/>
          <w:sz w:val="24"/>
        </w:rPr>
        <w:t>26</w:t>
      </w:r>
      <w:r>
        <w:rPr>
          <w:rFonts w:cs="Times New Roman"/>
          <w:b/>
          <w:sz w:val="24"/>
        </w:rPr>
        <w:t xml:space="preserve">     城市居民生活用水量</w:t>
      </w:r>
    </w:p>
    <w:tbl>
      <w:tblPr>
        <w:tblStyle w:val="39"/>
        <w:tblW w:w="10230"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705"/>
        <w:gridCol w:w="1705"/>
        <w:gridCol w:w="1706"/>
        <w:gridCol w:w="1704"/>
        <w:gridCol w:w="1706"/>
        <w:gridCol w:w="1704"/>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80" w:hRule="atLeast"/>
          <w:jc w:val="center"/>
        </w:trPr>
        <w:tc>
          <w:tcPr>
            <w:tcW w:w="1705" w:type="dxa"/>
            <w:shd w:val="clear" w:color="000000" w:fill="FFFFFF"/>
            <w:vAlign w:val="center"/>
          </w:tcPr>
          <w:p>
            <w:pPr>
              <w:pStyle w:val="72"/>
              <w:spacing w:line="276" w:lineRule="auto"/>
              <w:rPr>
                <w:szCs w:val="21"/>
              </w:rPr>
            </w:pPr>
            <w:r>
              <w:rPr>
                <w:szCs w:val="21"/>
              </w:rPr>
              <w:t>用水量分类</w:t>
            </w:r>
          </w:p>
        </w:tc>
        <w:tc>
          <w:tcPr>
            <w:tcW w:w="1705" w:type="dxa"/>
            <w:shd w:val="clear" w:color="000000" w:fill="FFFFFF"/>
            <w:vAlign w:val="center"/>
          </w:tcPr>
          <w:p>
            <w:pPr>
              <w:pStyle w:val="72"/>
              <w:spacing w:line="276" w:lineRule="auto"/>
              <w:rPr>
                <w:szCs w:val="21"/>
              </w:rPr>
            </w:pPr>
            <w:r>
              <w:rPr>
                <w:szCs w:val="21"/>
              </w:rPr>
              <w:t>201</w:t>
            </w:r>
            <w:r>
              <w:rPr>
                <w:rFonts w:hint="eastAsia"/>
                <w:szCs w:val="21"/>
              </w:rPr>
              <w:t>3</w:t>
            </w:r>
            <w:r>
              <w:rPr>
                <w:szCs w:val="21"/>
              </w:rPr>
              <w:t>年</w:t>
            </w:r>
          </w:p>
        </w:tc>
        <w:tc>
          <w:tcPr>
            <w:tcW w:w="1706" w:type="dxa"/>
            <w:shd w:val="clear" w:color="000000" w:fill="FFFFFF"/>
            <w:vAlign w:val="center"/>
          </w:tcPr>
          <w:p>
            <w:pPr>
              <w:pStyle w:val="72"/>
              <w:spacing w:line="276" w:lineRule="auto"/>
              <w:rPr>
                <w:szCs w:val="21"/>
              </w:rPr>
            </w:pPr>
            <w:r>
              <w:rPr>
                <w:szCs w:val="21"/>
              </w:rPr>
              <w:t>201</w:t>
            </w:r>
            <w:r>
              <w:rPr>
                <w:rFonts w:hint="eastAsia"/>
                <w:szCs w:val="21"/>
              </w:rPr>
              <w:t>4</w:t>
            </w:r>
            <w:r>
              <w:rPr>
                <w:szCs w:val="21"/>
              </w:rPr>
              <w:t>年</w:t>
            </w:r>
          </w:p>
        </w:tc>
        <w:tc>
          <w:tcPr>
            <w:tcW w:w="1704" w:type="dxa"/>
            <w:shd w:val="clear" w:color="000000" w:fill="FFFFFF"/>
            <w:vAlign w:val="center"/>
          </w:tcPr>
          <w:p>
            <w:pPr>
              <w:pStyle w:val="72"/>
              <w:spacing w:line="276" w:lineRule="auto"/>
              <w:rPr>
                <w:szCs w:val="21"/>
              </w:rPr>
            </w:pPr>
            <w:r>
              <w:rPr>
                <w:szCs w:val="21"/>
              </w:rPr>
              <w:t>201</w:t>
            </w:r>
            <w:r>
              <w:rPr>
                <w:rFonts w:hint="eastAsia"/>
                <w:szCs w:val="21"/>
              </w:rPr>
              <w:t>5</w:t>
            </w:r>
            <w:r>
              <w:rPr>
                <w:szCs w:val="21"/>
              </w:rPr>
              <w:t>年</w:t>
            </w:r>
          </w:p>
        </w:tc>
        <w:tc>
          <w:tcPr>
            <w:tcW w:w="1706" w:type="dxa"/>
            <w:shd w:val="clear" w:color="000000" w:fill="FFFFFF"/>
            <w:vAlign w:val="center"/>
          </w:tcPr>
          <w:p>
            <w:pPr>
              <w:pStyle w:val="72"/>
              <w:spacing w:line="276" w:lineRule="auto"/>
              <w:rPr>
                <w:szCs w:val="21"/>
              </w:rPr>
            </w:pPr>
            <w:r>
              <w:rPr>
                <w:szCs w:val="21"/>
              </w:rPr>
              <w:t>201</w:t>
            </w:r>
            <w:r>
              <w:rPr>
                <w:rFonts w:hint="eastAsia"/>
                <w:szCs w:val="21"/>
              </w:rPr>
              <w:t>6</w:t>
            </w:r>
            <w:r>
              <w:rPr>
                <w:szCs w:val="21"/>
              </w:rPr>
              <w:t>年</w:t>
            </w:r>
          </w:p>
        </w:tc>
        <w:tc>
          <w:tcPr>
            <w:tcW w:w="1704" w:type="dxa"/>
            <w:shd w:val="clear" w:color="000000" w:fill="FFFFFF"/>
            <w:vAlign w:val="center"/>
          </w:tcPr>
          <w:p>
            <w:pPr>
              <w:pStyle w:val="72"/>
              <w:spacing w:line="276" w:lineRule="auto"/>
              <w:rPr>
                <w:szCs w:val="21"/>
              </w:rPr>
            </w:pPr>
            <w:r>
              <w:rPr>
                <w:rFonts w:hint="eastAsia"/>
                <w:szCs w:val="21"/>
              </w:rPr>
              <w:t>2017年</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00" w:hRule="atLeast"/>
          <w:jc w:val="center"/>
        </w:trPr>
        <w:tc>
          <w:tcPr>
            <w:tcW w:w="1705" w:type="dxa"/>
            <w:shd w:val="clear" w:color="000000" w:fill="FFFFFF"/>
            <w:vAlign w:val="center"/>
          </w:tcPr>
          <w:p>
            <w:pPr>
              <w:pStyle w:val="72"/>
              <w:spacing w:line="276" w:lineRule="auto"/>
              <w:rPr>
                <w:szCs w:val="21"/>
              </w:rPr>
            </w:pPr>
            <w:r>
              <w:rPr>
                <w:szCs w:val="21"/>
              </w:rPr>
              <w:t>居民生活用水量</w:t>
            </w:r>
          </w:p>
          <w:p>
            <w:pPr>
              <w:pStyle w:val="72"/>
              <w:spacing w:line="276" w:lineRule="auto"/>
              <w:rPr>
                <w:szCs w:val="21"/>
              </w:rPr>
            </w:pPr>
            <w:r>
              <w:rPr>
                <w:szCs w:val="21"/>
              </w:rPr>
              <w:t>（万立方米）</w:t>
            </w:r>
          </w:p>
        </w:tc>
        <w:tc>
          <w:tcPr>
            <w:tcW w:w="1705" w:type="dxa"/>
            <w:shd w:val="clear" w:color="000000" w:fill="FFFFFF"/>
            <w:vAlign w:val="center"/>
          </w:tcPr>
          <w:p>
            <w:pPr>
              <w:pStyle w:val="72"/>
              <w:spacing w:line="276" w:lineRule="auto"/>
              <w:rPr>
                <w:szCs w:val="21"/>
              </w:rPr>
            </w:pPr>
            <w:r>
              <w:rPr>
                <w:rFonts w:hint="eastAsia"/>
                <w:szCs w:val="21"/>
              </w:rPr>
              <w:t>2839.18</w:t>
            </w:r>
          </w:p>
        </w:tc>
        <w:tc>
          <w:tcPr>
            <w:tcW w:w="1706" w:type="dxa"/>
            <w:shd w:val="clear" w:color="000000" w:fill="FFFFFF"/>
            <w:vAlign w:val="center"/>
          </w:tcPr>
          <w:p>
            <w:pPr>
              <w:pStyle w:val="72"/>
              <w:spacing w:line="276" w:lineRule="auto"/>
              <w:rPr>
                <w:szCs w:val="21"/>
              </w:rPr>
            </w:pPr>
            <w:r>
              <w:rPr>
                <w:rFonts w:hint="eastAsia"/>
                <w:szCs w:val="21"/>
              </w:rPr>
              <w:t>2576.25</w:t>
            </w:r>
          </w:p>
        </w:tc>
        <w:tc>
          <w:tcPr>
            <w:tcW w:w="1704" w:type="dxa"/>
            <w:shd w:val="clear" w:color="000000" w:fill="FFFFFF"/>
            <w:vAlign w:val="center"/>
          </w:tcPr>
          <w:p>
            <w:pPr>
              <w:pStyle w:val="72"/>
              <w:spacing w:line="276" w:lineRule="auto"/>
              <w:rPr>
                <w:szCs w:val="21"/>
              </w:rPr>
            </w:pPr>
            <w:r>
              <w:rPr>
                <w:rFonts w:hint="eastAsia"/>
                <w:szCs w:val="21"/>
              </w:rPr>
              <w:t>2671.5</w:t>
            </w:r>
          </w:p>
        </w:tc>
        <w:tc>
          <w:tcPr>
            <w:tcW w:w="1706" w:type="dxa"/>
            <w:shd w:val="clear" w:color="000000" w:fill="FFFFFF"/>
            <w:vAlign w:val="center"/>
          </w:tcPr>
          <w:p>
            <w:pPr>
              <w:pStyle w:val="72"/>
              <w:spacing w:line="276" w:lineRule="auto"/>
              <w:rPr>
                <w:szCs w:val="21"/>
              </w:rPr>
            </w:pPr>
            <w:r>
              <w:rPr>
                <w:rFonts w:hint="eastAsia"/>
                <w:szCs w:val="21"/>
              </w:rPr>
              <w:t>2616.5</w:t>
            </w:r>
          </w:p>
        </w:tc>
        <w:tc>
          <w:tcPr>
            <w:tcW w:w="1704" w:type="dxa"/>
            <w:shd w:val="clear" w:color="000000" w:fill="FFFFFF"/>
            <w:vAlign w:val="center"/>
          </w:tcPr>
          <w:p>
            <w:pPr>
              <w:pStyle w:val="72"/>
              <w:spacing w:line="276" w:lineRule="auto"/>
              <w:rPr>
                <w:szCs w:val="21"/>
              </w:rPr>
            </w:pPr>
            <w:r>
              <w:rPr>
                <w:rFonts w:hint="eastAsia"/>
                <w:szCs w:val="21"/>
              </w:rPr>
              <w:t>2752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70" w:hRule="atLeast"/>
          <w:jc w:val="center"/>
        </w:trPr>
        <w:tc>
          <w:tcPr>
            <w:tcW w:w="1705" w:type="dxa"/>
            <w:shd w:val="clear" w:color="000000" w:fill="FFFFFF"/>
            <w:vAlign w:val="center"/>
          </w:tcPr>
          <w:p>
            <w:pPr>
              <w:pStyle w:val="72"/>
              <w:spacing w:line="276" w:lineRule="auto"/>
              <w:rPr>
                <w:szCs w:val="21"/>
              </w:rPr>
            </w:pPr>
            <w:r>
              <w:rPr>
                <w:szCs w:val="21"/>
              </w:rPr>
              <w:t>城区供水人口</w:t>
            </w:r>
          </w:p>
          <w:p>
            <w:pPr>
              <w:pStyle w:val="72"/>
              <w:spacing w:line="276" w:lineRule="auto"/>
              <w:rPr>
                <w:szCs w:val="21"/>
              </w:rPr>
            </w:pPr>
            <w:r>
              <w:rPr>
                <w:szCs w:val="21"/>
              </w:rPr>
              <w:t>（万人）</w:t>
            </w:r>
          </w:p>
        </w:tc>
        <w:tc>
          <w:tcPr>
            <w:tcW w:w="1705" w:type="dxa"/>
            <w:shd w:val="clear" w:color="000000" w:fill="FFFFFF"/>
            <w:vAlign w:val="center"/>
          </w:tcPr>
          <w:p>
            <w:pPr>
              <w:pStyle w:val="72"/>
              <w:spacing w:line="276" w:lineRule="auto"/>
              <w:rPr>
                <w:szCs w:val="21"/>
              </w:rPr>
            </w:pPr>
            <w:r>
              <w:rPr>
                <w:rFonts w:hint="eastAsia"/>
                <w:szCs w:val="21"/>
              </w:rPr>
              <w:t>81.88</w:t>
            </w:r>
          </w:p>
        </w:tc>
        <w:tc>
          <w:tcPr>
            <w:tcW w:w="1706" w:type="dxa"/>
            <w:shd w:val="clear" w:color="000000" w:fill="FFFFFF"/>
            <w:vAlign w:val="center"/>
          </w:tcPr>
          <w:p>
            <w:pPr>
              <w:pStyle w:val="72"/>
              <w:spacing w:line="276" w:lineRule="auto"/>
              <w:rPr>
                <w:szCs w:val="21"/>
              </w:rPr>
            </w:pPr>
            <w:r>
              <w:rPr>
                <w:rFonts w:hint="eastAsia"/>
                <w:szCs w:val="21"/>
              </w:rPr>
              <w:t>81.75</w:t>
            </w:r>
          </w:p>
        </w:tc>
        <w:tc>
          <w:tcPr>
            <w:tcW w:w="1704" w:type="dxa"/>
            <w:shd w:val="clear" w:color="000000" w:fill="FFFFFF"/>
            <w:vAlign w:val="center"/>
          </w:tcPr>
          <w:p>
            <w:pPr>
              <w:pStyle w:val="72"/>
              <w:spacing w:line="276" w:lineRule="auto"/>
              <w:rPr>
                <w:szCs w:val="21"/>
              </w:rPr>
            </w:pPr>
            <w:r>
              <w:rPr>
                <w:rFonts w:hint="eastAsia"/>
                <w:szCs w:val="21"/>
              </w:rPr>
              <w:t>80.82</w:t>
            </w:r>
          </w:p>
        </w:tc>
        <w:tc>
          <w:tcPr>
            <w:tcW w:w="1706" w:type="dxa"/>
            <w:shd w:val="clear" w:color="000000" w:fill="FFFFFF"/>
            <w:vAlign w:val="center"/>
          </w:tcPr>
          <w:p>
            <w:pPr>
              <w:pStyle w:val="72"/>
              <w:spacing w:line="276" w:lineRule="auto"/>
              <w:rPr>
                <w:szCs w:val="21"/>
              </w:rPr>
            </w:pPr>
            <w:r>
              <w:rPr>
                <w:rFonts w:hint="eastAsia"/>
                <w:szCs w:val="21"/>
              </w:rPr>
              <w:t>73.92</w:t>
            </w:r>
          </w:p>
        </w:tc>
        <w:tc>
          <w:tcPr>
            <w:tcW w:w="1704" w:type="dxa"/>
            <w:shd w:val="clear" w:color="000000" w:fill="FFFFFF"/>
            <w:vAlign w:val="center"/>
          </w:tcPr>
          <w:p>
            <w:pPr>
              <w:pStyle w:val="72"/>
              <w:spacing w:line="276" w:lineRule="auto"/>
              <w:rPr>
                <w:szCs w:val="21"/>
              </w:rPr>
            </w:pPr>
            <w:r>
              <w:rPr>
                <w:rFonts w:hint="eastAsia"/>
                <w:szCs w:val="21"/>
              </w:rPr>
              <w:t>74.57</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85" w:hRule="atLeast"/>
          <w:jc w:val="center"/>
        </w:trPr>
        <w:tc>
          <w:tcPr>
            <w:tcW w:w="1705" w:type="dxa"/>
            <w:shd w:val="clear" w:color="000000" w:fill="FFFFFF"/>
            <w:vAlign w:val="center"/>
          </w:tcPr>
          <w:p>
            <w:pPr>
              <w:pStyle w:val="72"/>
              <w:spacing w:line="276" w:lineRule="auto"/>
              <w:rPr>
                <w:szCs w:val="21"/>
              </w:rPr>
            </w:pPr>
            <w:r>
              <w:rPr>
                <w:szCs w:val="21"/>
              </w:rPr>
              <w:t>日用水量</w:t>
            </w:r>
          </w:p>
          <w:p>
            <w:pPr>
              <w:pStyle w:val="72"/>
              <w:spacing w:line="276" w:lineRule="auto"/>
              <w:rPr>
                <w:szCs w:val="21"/>
              </w:rPr>
            </w:pPr>
            <w:r>
              <w:rPr>
                <w:szCs w:val="21"/>
              </w:rPr>
              <w:t>（升/人.日）</w:t>
            </w:r>
          </w:p>
        </w:tc>
        <w:tc>
          <w:tcPr>
            <w:tcW w:w="1705" w:type="dxa"/>
            <w:shd w:val="clear" w:color="000000" w:fill="FFFFFF"/>
            <w:vAlign w:val="center"/>
          </w:tcPr>
          <w:p>
            <w:pPr>
              <w:pStyle w:val="72"/>
              <w:spacing w:line="276" w:lineRule="auto"/>
              <w:rPr>
                <w:szCs w:val="21"/>
              </w:rPr>
            </w:pPr>
            <w:r>
              <w:rPr>
                <w:rFonts w:hint="eastAsia"/>
                <w:szCs w:val="21"/>
              </w:rPr>
              <w:t>95</w:t>
            </w:r>
          </w:p>
        </w:tc>
        <w:tc>
          <w:tcPr>
            <w:tcW w:w="1706" w:type="dxa"/>
            <w:shd w:val="clear" w:color="000000" w:fill="FFFFFF"/>
            <w:vAlign w:val="center"/>
          </w:tcPr>
          <w:p>
            <w:pPr>
              <w:pStyle w:val="72"/>
              <w:spacing w:line="276" w:lineRule="auto"/>
              <w:rPr>
                <w:szCs w:val="21"/>
              </w:rPr>
            </w:pPr>
            <w:r>
              <w:rPr>
                <w:rFonts w:hint="eastAsia"/>
                <w:szCs w:val="21"/>
              </w:rPr>
              <w:t>86.34</w:t>
            </w:r>
          </w:p>
        </w:tc>
        <w:tc>
          <w:tcPr>
            <w:tcW w:w="1704" w:type="dxa"/>
            <w:shd w:val="clear" w:color="000000" w:fill="FFFFFF"/>
            <w:vAlign w:val="center"/>
          </w:tcPr>
          <w:p>
            <w:pPr>
              <w:pStyle w:val="72"/>
              <w:spacing w:line="276" w:lineRule="auto"/>
              <w:rPr>
                <w:szCs w:val="21"/>
              </w:rPr>
            </w:pPr>
            <w:r>
              <w:rPr>
                <w:rFonts w:hint="eastAsia"/>
                <w:szCs w:val="21"/>
              </w:rPr>
              <w:t>90.56</w:t>
            </w:r>
          </w:p>
        </w:tc>
        <w:tc>
          <w:tcPr>
            <w:tcW w:w="1706" w:type="dxa"/>
            <w:shd w:val="clear" w:color="000000" w:fill="FFFFFF"/>
            <w:vAlign w:val="center"/>
          </w:tcPr>
          <w:p>
            <w:pPr>
              <w:pStyle w:val="72"/>
              <w:spacing w:line="276" w:lineRule="auto"/>
              <w:rPr>
                <w:szCs w:val="21"/>
              </w:rPr>
            </w:pPr>
            <w:r>
              <w:rPr>
                <w:rFonts w:hint="eastAsia"/>
                <w:szCs w:val="21"/>
              </w:rPr>
              <w:t>96.98</w:t>
            </w:r>
          </w:p>
        </w:tc>
        <w:tc>
          <w:tcPr>
            <w:tcW w:w="1704" w:type="dxa"/>
            <w:shd w:val="clear" w:color="000000" w:fill="FFFFFF"/>
            <w:vAlign w:val="center"/>
          </w:tcPr>
          <w:p>
            <w:pPr>
              <w:pStyle w:val="72"/>
              <w:spacing w:line="276" w:lineRule="auto"/>
              <w:rPr>
                <w:szCs w:val="21"/>
              </w:rPr>
            </w:pPr>
            <w:r>
              <w:rPr>
                <w:rFonts w:hint="eastAsia"/>
                <w:szCs w:val="21"/>
              </w:rPr>
              <w:t>101.11</w:t>
            </w:r>
          </w:p>
        </w:tc>
      </w:tr>
    </w:tbl>
    <w:p>
      <w:pPr>
        <w:pStyle w:val="16"/>
        <w:spacing w:line="360" w:lineRule="auto"/>
        <w:ind w:firstLine="560"/>
        <w:rPr>
          <w:rFonts w:cs="Times New Roman"/>
        </w:rPr>
      </w:pPr>
      <w:r>
        <w:rPr>
          <w:rFonts w:cs="Times New Roman"/>
        </w:rPr>
        <w:t>根据中国统计局的国家统计数据，201</w:t>
      </w:r>
      <w:r>
        <w:rPr>
          <w:rFonts w:hint="eastAsia" w:cs="Times New Roman"/>
        </w:rPr>
        <w:t>3</w:t>
      </w:r>
      <w:r>
        <w:rPr>
          <w:rFonts w:cs="Times New Roman"/>
        </w:rPr>
        <w:t>~201</w:t>
      </w:r>
      <w:r>
        <w:rPr>
          <w:rFonts w:hint="eastAsia" w:cs="Times New Roman"/>
        </w:rPr>
        <w:t>6</w:t>
      </w:r>
      <w:r>
        <w:rPr>
          <w:rFonts w:cs="Times New Roman"/>
        </w:rPr>
        <w:t>年中国平均城市居民生活用水量为173.51 升/人.日、173.73 升/人.日、17</w:t>
      </w:r>
      <w:r>
        <w:rPr>
          <w:rFonts w:hint="eastAsia" w:cs="Times New Roman"/>
        </w:rPr>
        <w:t>4.46</w:t>
      </w:r>
      <w:r>
        <w:rPr>
          <w:rFonts w:cs="Times New Roman"/>
        </w:rPr>
        <w:t>升/人.日</w:t>
      </w:r>
      <w:r>
        <w:rPr>
          <w:rFonts w:hint="eastAsia" w:cs="Times New Roman"/>
        </w:rPr>
        <w:t>、176.86</w:t>
      </w:r>
      <w:r>
        <w:rPr>
          <w:rFonts w:cs="Times New Roman"/>
        </w:rPr>
        <w:t xml:space="preserve"> 升/人.日。根据相关资料显 示不同城市规模、地域与用水量关系见下表：</w:t>
      </w:r>
    </w:p>
    <w:p>
      <w:pPr>
        <w:pStyle w:val="16"/>
        <w:tabs>
          <w:tab w:val="left" w:pos="6716"/>
        </w:tabs>
        <w:spacing w:before="55" w:line="360" w:lineRule="auto"/>
        <w:ind w:firstLine="170" w:firstLineChars="71"/>
        <w:jc w:val="center"/>
        <w:rPr>
          <w:rFonts w:cs="Times New Roman"/>
          <w:b/>
          <w:spacing w:val="14"/>
          <w:sz w:val="24"/>
        </w:rPr>
      </w:pPr>
      <w:r>
        <w:rPr>
          <w:rFonts w:cs="Times New Roman"/>
          <w:sz w:val="24"/>
        </w:rPr>
        <w:t xml:space="preserve">       </w:t>
      </w:r>
      <w:r>
        <w:rPr>
          <w:rFonts w:cs="Times New Roman"/>
          <w:b/>
          <w:sz w:val="24"/>
        </w:rPr>
        <w:t xml:space="preserve">  表</w:t>
      </w:r>
      <w:r>
        <w:rPr>
          <w:rFonts w:hint="eastAsia" w:cs="Times New Roman" w:eastAsiaTheme="minorEastAsia"/>
          <w:b/>
          <w:spacing w:val="5"/>
          <w:sz w:val="24"/>
        </w:rPr>
        <w:t>2</w:t>
      </w:r>
      <w:r>
        <w:rPr>
          <w:rFonts w:eastAsia="Times New Roman" w:cs="Times New Roman"/>
          <w:b/>
          <w:spacing w:val="5"/>
          <w:sz w:val="24"/>
        </w:rPr>
        <w:t>-</w:t>
      </w:r>
      <w:r>
        <w:rPr>
          <w:rFonts w:hint="eastAsia" w:cs="Times New Roman" w:eastAsiaTheme="minorEastAsia"/>
          <w:b/>
          <w:spacing w:val="5"/>
          <w:sz w:val="24"/>
        </w:rPr>
        <w:t xml:space="preserve">27    </w:t>
      </w:r>
      <w:r>
        <w:rPr>
          <w:rFonts w:cs="Times New Roman" w:eastAsiaTheme="minorEastAsia"/>
          <w:b/>
          <w:spacing w:val="5"/>
          <w:sz w:val="24"/>
        </w:rPr>
        <w:t xml:space="preserve"> </w:t>
      </w:r>
      <w:r>
        <w:rPr>
          <w:rFonts w:cs="Times New Roman"/>
          <w:b/>
          <w:spacing w:val="16"/>
          <w:sz w:val="24"/>
        </w:rPr>
        <w:t>我国不同城市规模与生活用水量关系表</w:t>
      </w:r>
      <w:r>
        <w:rPr>
          <w:rFonts w:cs="Times New Roman"/>
          <w:b/>
          <w:spacing w:val="16"/>
          <w:sz w:val="24"/>
        </w:rPr>
        <w:tab/>
      </w:r>
      <w:r>
        <w:rPr>
          <w:rFonts w:cs="Times New Roman"/>
          <w:b/>
          <w:sz w:val="24"/>
        </w:rPr>
        <w:t>（</w:t>
      </w:r>
      <w:r>
        <w:rPr>
          <w:rFonts w:cs="Times New Roman"/>
          <w:b/>
          <w:spacing w:val="14"/>
          <w:sz w:val="24"/>
        </w:rPr>
        <w:t>单位：升</w:t>
      </w:r>
      <w:r>
        <w:rPr>
          <w:rFonts w:eastAsia="Times New Roman" w:cs="Times New Roman"/>
          <w:b/>
          <w:spacing w:val="14"/>
          <w:sz w:val="24"/>
        </w:rPr>
        <w:t>/</w:t>
      </w:r>
      <w:r>
        <w:rPr>
          <w:rFonts w:cs="Times New Roman"/>
          <w:b/>
          <w:spacing w:val="14"/>
          <w:sz w:val="24"/>
        </w:rPr>
        <w:t>人</w:t>
      </w:r>
      <w:r>
        <w:rPr>
          <w:rFonts w:eastAsia="Times New Roman" w:cs="Times New Roman"/>
          <w:b/>
          <w:spacing w:val="14"/>
          <w:sz w:val="24"/>
        </w:rPr>
        <w:t>.</w:t>
      </w:r>
      <w:r>
        <w:rPr>
          <w:rFonts w:cs="Times New Roman"/>
          <w:b/>
          <w:spacing w:val="14"/>
          <w:sz w:val="24"/>
        </w:rPr>
        <w:t>日）</w:t>
      </w:r>
    </w:p>
    <w:tbl>
      <w:tblPr>
        <w:tblStyle w:val="39"/>
        <w:tblW w:w="10156" w:type="dxa"/>
        <w:jc w:val="center"/>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1411"/>
        <w:gridCol w:w="1682"/>
        <w:gridCol w:w="1682"/>
        <w:gridCol w:w="1211"/>
        <w:gridCol w:w="1562"/>
        <w:gridCol w:w="1566"/>
        <w:gridCol w:w="1042"/>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75" w:hRule="exact"/>
          <w:jc w:val="center"/>
        </w:trPr>
        <w:tc>
          <w:tcPr>
            <w:tcW w:w="1411" w:type="dxa"/>
            <w:vMerge w:val="restart"/>
            <w:vAlign w:val="center"/>
          </w:tcPr>
          <w:p>
            <w:pPr>
              <w:pStyle w:val="72"/>
              <w:spacing w:line="276" w:lineRule="auto"/>
              <w:rPr>
                <w:szCs w:val="21"/>
              </w:rPr>
            </w:pPr>
          </w:p>
          <w:p>
            <w:pPr>
              <w:pStyle w:val="72"/>
              <w:spacing w:line="276" w:lineRule="auto"/>
              <w:rPr>
                <w:szCs w:val="21"/>
              </w:rPr>
            </w:pPr>
            <w:r>
              <w:rPr>
                <w:szCs w:val="21"/>
              </w:rPr>
              <w:t>城市规模</w:t>
            </w:r>
          </w:p>
        </w:tc>
        <w:tc>
          <w:tcPr>
            <w:tcW w:w="4575" w:type="dxa"/>
            <w:gridSpan w:val="3"/>
            <w:vAlign w:val="center"/>
          </w:tcPr>
          <w:p>
            <w:pPr>
              <w:pStyle w:val="72"/>
              <w:spacing w:line="276" w:lineRule="auto"/>
              <w:rPr>
                <w:szCs w:val="21"/>
              </w:rPr>
            </w:pPr>
            <w:r>
              <w:rPr>
                <w:szCs w:val="21"/>
              </w:rPr>
              <w:t>北</w:t>
            </w:r>
            <w:r>
              <w:rPr>
                <w:szCs w:val="21"/>
              </w:rPr>
              <w:tab/>
            </w:r>
            <w:r>
              <w:rPr>
                <w:szCs w:val="21"/>
              </w:rPr>
              <w:t>方</w:t>
            </w:r>
          </w:p>
        </w:tc>
        <w:tc>
          <w:tcPr>
            <w:tcW w:w="4170" w:type="dxa"/>
            <w:gridSpan w:val="3"/>
            <w:vAlign w:val="center"/>
          </w:tcPr>
          <w:p>
            <w:pPr>
              <w:pStyle w:val="72"/>
              <w:spacing w:line="276" w:lineRule="auto"/>
              <w:rPr>
                <w:szCs w:val="21"/>
              </w:rPr>
            </w:pPr>
            <w:r>
              <w:rPr>
                <w:szCs w:val="21"/>
              </w:rPr>
              <w:t>南</w:t>
            </w:r>
            <w:r>
              <w:rPr>
                <w:szCs w:val="21"/>
              </w:rPr>
              <w:tab/>
            </w:r>
            <w:r>
              <w:rPr>
                <w:szCs w:val="21"/>
              </w:rPr>
              <w:t>方</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jc w:val="center"/>
        </w:trPr>
        <w:tc>
          <w:tcPr>
            <w:tcW w:w="1411" w:type="dxa"/>
            <w:vMerge w:val="continue"/>
            <w:vAlign w:val="center"/>
          </w:tcPr>
          <w:p>
            <w:pPr>
              <w:pStyle w:val="72"/>
              <w:spacing w:line="276" w:lineRule="auto"/>
              <w:rPr>
                <w:szCs w:val="21"/>
              </w:rPr>
            </w:pPr>
          </w:p>
        </w:tc>
        <w:tc>
          <w:tcPr>
            <w:tcW w:w="1682" w:type="dxa"/>
            <w:vAlign w:val="center"/>
          </w:tcPr>
          <w:p>
            <w:pPr>
              <w:pStyle w:val="72"/>
              <w:spacing w:line="276" w:lineRule="auto"/>
              <w:rPr>
                <w:szCs w:val="21"/>
              </w:rPr>
            </w:pPr>
            <w:r>
              <w:rPr>
                <w:szCs w:val="21"/>
              </w:rPr>
              <w:t>综合用水量</w:t>
            </w:r>
          </w:p>
        </w:tc>
        <w:tc>
          <w:tcPr>
            <w:tcW w:w="1682" w:type="dxa"/>
            <w:vAlign w:val="center"/>
          </w:tcPr>
          <w:p>
            <w:pPr>
              <w:pStyle w:val="72"/>
              <w:spacing w:line="276" w:lineRule="auto"/>
              <w:rPr>
                <w:szCs w:val="21"/>
              </w:rPr>
            </w:pPr>
            <w:r>
              <w:rPr>
                <w:szCs w:val="21"/>
              </w:rPr>
              <w:t>居住用水量</w:t>
            </w:r>
          </w:p>
        </w:tc>
        <w:tc>
          <w:tcPr>
            <w:tcW w:w="1211" w:type="dxa"/>
            <w:vAlign w:val="center"/>
          </w:tcPr>
          <w:p>
            <w:pPr>
              <w:pStyle w:val="72"/>
              <w:spacing w:line="276" w:lineRule="auto"/>
              <w:rPr>
                <w:szCs w:val="21"/>
              </w:rPr>
            </w:pPr>
            <w:r>
              <w:rPr>
                <w:szCs w:val="21"/>
              </w:rPr>
              <w:t>公 共</w:t>
            </w:r>
          </w:p>
        </w:tc>
        <w:tc>
          <w:tcPr>
            <w:tcW w:w="1562" w:type="dxa"/>
            <w:vAlign w:val="center"/>
          </w:tcPr>
          <w:p>
            <w:pPr>
              <w:pStyle w:val="72"/>
              <w:spacing w:line="276" w:lineRule="auto"/>
              <w:rPr>
                <w:szCs w:val="21"/>
              </w:rPr>
            </w:pPr>
            <w:r>
              <w:rPr>
                <w:szCs w:val="21"/>
              </w:rPr>
              <w:t>综合用水量</w:t>
            </w:r>
          </w:p>
        </w:tc>
        <w:tc>
          <w:tcPr>
            <w:tcW w:w="1566" w:type="dxa"/>
            <w:vAlign w:val="center"/>
          </w:tcPr>
          <w:p>
            <w:pPr>
              <w:pStyle w:val="72"/>
              <w:spacing w:line="276" w:lineRule="auto"/>
              <w:rPr>
                <w:szCs w:val="21"/>
              </w:rPr>
            </w:pPr>
            <w:r>
              <w:rPr>
                <w:szCs w:val="21"/>
              </w:rPr>
              <w:t>居住用水量</w:t>
            </w:r>
          </w:p>
        </w:tc>
        <w:tc>
          <w:tcPr>
            <w:tcW w:w="1042" w:type="dxa"/>
            <w:vAlign w:val="center"/>
          </w:tcPr>
          <w:p>
            <w:pPr>
              <w:pStyle w:val="72"/>
              <w:spacing w:line="276" w:lineRule="auto"/>
              <w:rPr>
                <w:szCs w:val="21"/>
              </w:rPr>
            </w:pPr>
            <w:r>
              <w:rPr>
                <w:szCs w:val="21"/>
              </w:rPr>
              <w:t>公 共</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jc w:val="center"/>
        </w:trPr>
        <w:tc>
          <w:tcPr>
            <w:tcW w:w="1411" w:type="dxa"/>
            <w:vAlign w:val="center"/>
          </w:tcPr>
          <w:p>
            <w:pPr>
              <w:pStyle w:val="72"/>
              <w:spacing w:line="276" w:lineRule="auto"/>
              <w:rPr>
                <w:szCs w:val="21"/>
              </w:rPr>
            </w:pPr>
            <w:r>
              <w:rPr>
                <w:szCs w:val="21"/>
              </w:rPr>
              <w:t>特大</w:t>
            </w:r>
          </w:p>
        </w:tc>
        <w:tc>
          <w:tcPr>
            <w:tcW w:w="1682" w:type="dxa"/>
            <w:vAlign w:val="center"/>
          </w:tcPr>
          <w:p>
            <w:pPr>
              <w:pStyle w:val="72"/>
              <w:spacing w:line="276" w:lineRule="auto"/>
              <w:rPr>
                <w:szCs w:val="21"/>
              </w:rPr>
            </w:pPr>
            <w:r>
              <w:rPr>
                <w:szCs w:val="21"/>
              </w:rPr>
              <w:t>177.0</w:t>
            </w:r>
          </w:p>
        </w:tc>
        <w:tc>
          <w:tcPr>
            <w:tcW w:w="1682" w:type="dxa"/>
            <w:vAlign w:val="center"/>
          </w:tcPr>
          <w:p>
            <w:pPr>
              <w:pStyle w:val="72"/>
              <w:spacing w:line="276" w:lineRule="auto"/>
              <w:rPr>
                <w:szCs w:val="21"/>
              </w:rPr>
            </w:pPr>
            <w:r>
              <w:rPr>
                <w:szCs w:val="21"/>
              </w:rPr>
              <w:t>102.9</w:t>
            </w:r>
          </w:p>
        </w:tc>
        <w:tc>
          <w:tcPr>
            <w:tcW w:w="1211" w:type="dxa"/>
            <w:vAlign w:val="center"/>
          </w:tcPr>
          <w:p>
            <w:pPr>
              <w:pStyle w:val="72"/>
              <w:spacing w:line="276" w:lineRule="auto"/>
              <w:rPr>
                <w:szCs w:val="21"/>
              </w:rPr>
            </w:pPr>
            <w:r>
              <w:rPr>
                <w:szCs w:val="21"/>
              </w:rPr>
              <w:t>74.2</w:t>
            </w:r>
          </w:p>
        </w:tc>
        <w:tc>
          <w:tcPr>
            <w:tcW w:w="1562" w:type="dxa"/>
            <w:vAlign w:val="center"/>
          </w:tcPr>
          <w:p>
            <w:pPr>
              <w:pStyle w:val="72"/>
              <w:spacing w:line="276" w:lineRule="auto"/>
              <w:rPr>
                <w:szCs w:val="21"/>
              </w:rPr>
            </w:pPr>
            <w:r>
              <w:rPr>
                <w:szCs w:val="21"/>
              </w:rPr>
              <w:t>260.8</w:t>
            </w:r>
          </w:p>
        </w:tc>
        <w:tc>
          <w:tcPr>
            <w:tcW w:w="1566" w:type="dxa"/>
            <w:vAlign w:val="center"/>
          </w:tcPr>
          <w:p>
            <w:pPr>
              <w:pStyle w:val="72"/>
              <w:spacing w:line="276" w:lineRule="auto"/>
              <w:rPr>
                <w:szCs w:val="21"/>
              </w:rPr>
            </w:pPr>
            <w:r>
              <w:rPr>
                <w:szCs w:val="21"/>
              </w:rPr>
              <w:t>166.8</w:t>
            </w:r>
          </w:p>
        </w:tc>
        <w:tc>
          <w:tcPr>
            <w:tcW w:w="1042" w:type="dxa"/>
            <w:vAlign w:val="center"/>
          </w:tcPr>
          <w:p>
            <w:pPr>
              <w:pStyle w:val="72"/>
              <w:spacing w:line="276" w:lineRule="auto"/>
              <w:rPr>
                <w:szCs w:val="21"/>
              </w:rPr>
            </w:pPr>
            <w:r>
              <w:rPr>
                <w:szCs w:val="21"/>
              </w:rPr>
              <w:t>94.0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jc w:val="center"/>
        </w:trPr>
        <w:tc>
          <w:tcPr>
            <w:tcW w:w="1411" w:type="dxa"/>
            <w:vAlign w:val="center"/>
          </w:tcPr>
          <w:p>
            <w:pPr>
              <w:pStyle w:val="72"/>
              <w:spacing w:line="276" w:lineRule="auto"/>
              <w:rPr>
                <w:szCs w:val="21"/>
              </w:rPr>
            </w:pPr>
            <w:r>
              <w:rPr>
                <w:szCs w:val="21"/>
              </w:rPr>
              <w:t>大</w:t>
            </w:r>
          </w:p>
        </w:tc>
        <w:tc>
          <w:tcPr>
            <w:tcW w:w="1682" w:type="dxa"/>
            <w:vAlign w:val="center"/>
          </w:tcPr>
          <w:p>
            <w:pPr>
              <w:pStyle w:val="72"/>
              <w:spacing w:line="276" w:lineRule="auto"/>
              <w:rPr>
                <w:szCs w:val="21"/>
              </w:rPr>
            </w:pPr>
            <w:r>
              <w:rPr>
                <w:szCs w:val="21"/>
              </w:rPr>
              <w:t>179.0</w:t>
            </w:r>
          </w:p>
        </w:tc>
        <w:tc>
          <w:tcPr>
            <w:tcW w:w="1682" w:type="dxa"/>
            <w:vAlign w:val="center"/>
          </w:tcPr>
          <w:p>
            <w:pPr>
              <w:pStyle w:val="72"/>
              <w:spacing w:line="276" w:lineRule="auto"/>
              <w:rPr>
                <w:szCs w:val="21"/>
              </w:rPr>
            </w:pPr>
            <w:r>
              <w:rPr>
                <w:szCs w:val="21"/>
              </w:rPr>
              <w:t>98.8</w:t>
            </w:r>
          </w:p>
        </w:tc>
        <w:tc>
          <w:tcPr>
            <w:tcW w:w="1211" w:type="dxa"/>
            <w:vAlign w:val="center"/>
          </w:tcPr>
          <w:p>
            <w:pPr>
              <w:pStyle w:val="72"/>
              <w:spacing w:line="276" w:lineRule="auto"/>
              <w:rPr>
                <w:szCs w:val="21"/>
              </w:rPr>
            </w:pPr>
            <w:r>
              <w:rPr>
                <w:szCs w:val="21"/>
              </w:rPr>
              <w:t>80.4</w:t>
            </w:r>
          </w:p>
        </w:tc>
        <w:tc>
          <w:tcPr>
            <w:tcW w:w="1562" w:type="dxa"/>
            <w:vAlign w:val="center"/>
          </w:tcPr>
          <w:p>
            <w:pPr>
              <w:pStyle w:val="72"/>
              <w:spacing w:line="276" w:lineRule="auto"/>
              <w:rPr>
                <w:szCs w:val="21"/>
              </w:rPr>
            </w:pPr>
            <w:r>
              <w:rPr>
                <w:szCs w:val="21"/>
              </w:rPr>
              <w:t>204.0</w:t>
            </w:r>
          </w:p>
        </w:tc>
        <w:tc>
          <w:tcPr>
            <w:tcW w:w="1566" w:type="dxa"/>
            <w:vAlign w:val="center"/>
          </w:tcPr>
          <w:p>
            <w:pPr>
              <w:pStyle w:val="72"/>
              <w:spacing w:line="276" w:lineRule="auto"/>
              <w:rPr>
                <w:szCs w:val="21"/>
              </w:rPr>
            </w:pPr>
            <w:r>
              <w:rPr>
                <w:szCs w:val="21"/>
              </w:rPr>
              <w:t>103.0</w:t>
            </w:r>
          </w:p>
        </w:tc>
        <w:tc>
          <w:tcPr>
            <w:tcW w:w="1042" w:type="dxa"/>
            <w:vAlign w:val="center"/>
          </w:tcPr>
          <w:p>
            <w:pPr>
              <w:pStyle w:val="72"/>
              <w:spacing w:line="276" w:lineRule="auto"/>
              <w:rPr>
                <w:szCs w:val="21"/>
              </w:rPr>
            </w:pPr>
            <w:r>
              <w:rPr>
                <w:szCs w:val="21"/>
              </w:rPr>
              <w:t>101.0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0" w:hRule="exact"/>
          <w:jc w:val="center"/>
        </w:trPr>
        <w:tc>
          <w:tcPr>
            <w:tcW w:w="1411" w:type="dxa"/>
            <w:vAlign w:val="center"/>
          </w:tcPr>
          <w:p>
            <w:pPr>
              <w:pStyle w:val="72"/>
              <w:spacing w:line="276" w:lineRule="auto"/>
              <w:rPr>
                <w:szCs w:val="21"/>
              </w:rPr>
            </w:pPr>
            <w:r>
              <w:rPr>
                <w:szCs w:val="21"/>
              </w:rPr>
              <w:t>中</w:t>
            </w:r>
          </w:p>
        </w:tc>
        <w:tc>
          <w:tcPr>
            <w:tcW w:w="1682" w:type="dxa"/>
            <w:vAlign w:val="center"/>
          </w:tcPr>
          <w:p>
            <w:pPr>
              <w:pStyle w:val="72"/>
              <w:spacing w:line="276" w:lineRule="auto"/>
              <w:rPr>
                <w:szCs w:val="21"/>
              </w:rPr>
            </w:pPr>
            <w:r>
              <w:rPr>
                <w:szCs w:val="21"/>
              </w:rPr>
              <w:t>136.0</w:t>
            </w:r>
          </w:p>
        </w:tc>
        <w:tc>
          <w:tcPr>
            <w:tcW w:w="1682" w:type="dxa"/>
            <w:vAlign w:val="center"/>
          </w:tcPr>
          <w:p>
            <w:pPr>
              <w:pStyle w:val="72"/>
              <w:spacing w:line="276" w:lineRule="auto"/>
              <w:rPr>
                <w:szCs w:val="21"/>
              </w:rPr>
            </w:pPr>
            <w:r>
              <w:rPr>
                <w:szCs w:val="21"/>
              </w:rPr>
              <w:t>96.8</w:t>
            </w:r>
          </w:p>
        </w:tc>
        <w:tc>
          <w:tcPr>
            <w:tcW w:w="1211" w:type="dxa"/>
            <w:vAlign w:val="center"/>
          </w:tcPr>
          <w:p>
            <w:pPr>
              <w:pStyle w:val="72"/>
              <w:spacing w:line="276" w:lineRule="auto"/>
              <w:rPr>
                <w:szCs w:val="21"/>
              </w:rPr>
            </w:pPr>
            <w:r>
              <w:rPr>
                <w:szCs w:val="21"/>
              </w:rPr>
              <w:t>39.9</w:t>
            </w:r>
          </w:p>
        </w:tc>
        <w:tc>
          <w:tcPr>
            <w:tcW w:w="1562" w:type="dxa"/>
            <w:vAlign w:val="center"/>
          </w:tcPr>
          <w:p>
            <w:pPr>
              <w:pStyle w:val="72"/>
              <w:spacing w:line="276" w:lineRule="auto"/>
              <w:rPr>
                <w:szCs w:val="21"/>
              </w:rPr>
            </w:pPr>
            <w:r>
              <w:rPr>
                <w:szCs w:val="21"/>
              </w:rPr>
              <w:t>208.0</w:t>
            </w:r>
          </w:p>
        </w:tc>
        <w:tc>
          <w:tcPr>
            <w:tcW w:w="1566" w:type="dxa"/>
            <w:vAlign w:val="center"/>
          </w:tcPr>
          <w:p>
            <w:pPr>
              <w:pStyle w:val="72"/>
              <w:spacing w:line="276" w:lineRule="auto"/>
              <w:rPr>
                <w:szCs w:val="21"/>
              </w:rPr>
            </w:pPr>
            <w:r>
              <w:rPr>
                <w:szCs w:val="21"/>
              </w:rPr>
              <w:t>148.9</w:t>
            </w:r>
          </w:p>
        </w:tc>
        <w:tc>
          <w:tcPr>
            <w:tcW w:w="1042" w:type="dxa"/>
            <w:vAlign w:val="center"/>
          </w:tcPr>
          <w:p>
            <w:pPr>
              <w:pStyle w:val="72"/>
              <w:spacing w:line="276" w:lineRule="auto"/>
              <w:rPr>
                <w:szCs w:val="21"/>
              </w:rPr>
            </w:pPr>
            <w:r>
              <w:rPr>
                <w:szCs w:val="21"/>
              </w:rPr>
              <w:t>59.1</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92" w:hRule="exact"/>
          <w:jc w:val="center"/>
        </w:trPr>
        <w:tc>
          <w:tcPr>
            <w:tcW w:w="1411" w:type="dxa"/>
            <w:vAlign w:val="center"/>
          </w:tcPr>
          <w:p>
            <w:pPr>
              <w:pStyle w:val="72"/>
              <w:spacing w:line="276" w:lineRule="auto"/>
              <w:rPr>
                <w:szCs w:val="21"/>
              </w:rPr>
            </w:pPr>
            <w:r>
              <w:rPr>
                <w:szCs w:val="21"/>
              </w:rPr>
              <w:t>小</w:t>
            </w:r>
          </w:p>
        </w:tc>
        <w:tc>
          <w:tcPr>
            <w:tcW w:w="1682" w:type="dxa"/>
            <w:vAlign w:val="center"/>
          </w:tcPr>
          <w:p>
            <w:pPr>
              <w:pStyle w:val="72"/>
              <w:spacing w:line="276" w:lineRule="auto"/>
              <w:rPr>
                <w:szCs w:val="21"/>
              </w:rPr>
            </w:pPr>
            <w:r>
              <w:rPr>
                <w:szCs w:val="21"/>
              </w:rPr>
              <w:t>138.0</w:t>
            </w:r>
          </w:p>
        </w:tc>
        <w:tc>
          <w:tcPr>
            <w:tcW w:w="1682" w:type="dxa"/>
            <w:vAlign w:val="center"/>
          </w:tcPr>
          <w:p>
            <w:pPr>
              <w:pStyle w:val="72"/>
              <w:spacing w:line="276" w:lineRule="auto"/>
              <w:rPr>
                <w:szCs w:val="21"/>
              </w:rPr>
            </w:pPr>
            <w:r>
              <w:rPr>
                <w:szCs w:val="21"/>
              </w:rPr>
              <w:t>79.3</w:t>
            </w:r>
          </w:p>
        </w:tc>
        <w:tc>
          <w:tcPr>
            <w:tcW w:w="1211" w:type="dxa"/>
            <w:vAlign w:val="center"/>
          </w:tcPr>
          <w:p>
            <w:pPr>
              <w:pStyle w:val="72"/>
              <w:spacing w:line="276" w:lineRule="auto"/>
              <w:rPr>
                <w:szCs w:val="21"/>
              </w:rPr>
            </w:pPr>
            <w:r>
              <w:rPr>
                <w:szCs w:val="21"/>
              </w:rPr>
              <w:t>58.7</w:t>
            </w:r>
          </w:p>
        </w:tc>
        <w:tc>
          <w:tcPr>
            <w:tcW w:w="1562" w:type="dxa"/>
            <w:vAlign w:val="center"/>
          </w:tcPr>
          <w:p>
            <w:pPr>
              <w:pStyle w:val="72"/>
              <w:spacing w:line="276" w:lineRule="auto"/>
              <w:rPr>
                <w:szCs w:val="21"/>
              </w:rPr>
            </w:pPr>
            <w:r>
              <w:rPr>
                <w:szCs w:val="21"/>
              </w:rPr>
              <w:t>187.6</w:t>
            </w:r>
          </w:p>
        </w:tc>
        <w:tc>
          <w:tcPr>
            <w:tcW w:w="1566" w:type="dxa"/>
            <w:vAlign w:val="center"/>
          </w:tcPr>
          <w:p>
            <w:pPr>
              <w:pStyle w:val="72"/>
              <w:spacing w:line="276" w:lineRule="auto"/>
              <w:rPr>
                <w:szCs w:val="21"/>
              </w:rPr>
            </w:pPr>
            <w:r>
              <w:rPr>
                <w:szCs w:val="21"/>
              </w:rPr>
              <w:t>148.5</w:t>
            </w:r>
          </w:p>
        </w:tc>
        <w:tc>
          <w:tcPr>
            <w:tcW w:w="1042" w:type="dxa"/>
            <w:vAlign w:val="center"/>
          </w:tcPr>
          <w:p>
            <w:pPr>
              <w:pStyle w:val="72"/>
              <w:spacing w:line="276" w:lineRule="auto"/>
              <w:rPr>
                <w:szCs w:val="21"/>
              </w:rPr>
            </w:pPr>
            <w:r>
              <w:rPr>
                <w:szCs w:val="21"/>
              </w:rPr>
              <w:t>39.1</w:t>
            </w:r>
          </w:p>
        </w:tc>
      </w:tr>
    </w:tbl>
    <w:p>
      <w:pPr>
        <w:pStyle w:val="16"/>
        <w:spacing w:line="360" w:lineRule="auto"/>
        <w:ind w:firstLine="560"/>
        <w:rPr>
          <w:rFonts w:cs="Times New Roman"/>
        </w:rPr>
      </w:pPr>
      <w:r>
        <w:rPr>
          <w:rFonts w:cs="Times New Roman"/>
        </w:rPr>
        <w:t>根据《中国城市节水技术进步发展规划》的数据，国外部分城市人均生活用水量资料汇总见下表：</w:t>
      </w:r>
    </w:p>
    <w:p>
      <w:pPr>
        <w:pStyle w:val="16"/>
        <w:tabs>
          <w:tab w:val="left" w:pos="7103"/>
        </w:tabs>
        <w:spacing w:line="360" w:lineRule="auto"/>
        <w:ind w:firstLine="482"/>
        <w:jc w:val="center"/>
        <w:rPr>
          <w:rFonts w:cs="Times New Roman"/>
          <w:b/>
          <w:sz w:val="24"/>
        </w:rPr>
      </w:pPr>
      <w:r>
        <w:rPr>
          <w:rFonts w:cs="Times New Roman"/>
          <w:b/>
          <w:sz w:val="24"/>
        </w:rPr>
        <w:t>表</w:t>
      </w:r>
      <w:r>
        <w:rPr>
          <w:rFonts w:hint="eastAsia" w:cs="Times New Roman" w:eastAsiaTheme="minorEastAsia"/>
          <w:b/>
          <w:spacing w:val="6"/>
          <w:sz w:val="24"/>
        </w:rPr>
        <w:t>2</w:t>
      </w:r>
      <w:r>
        <w:rPr>
          <w:rFonts w:eastAsia="Times New Roman" w:cs="Times New Roman"/>
          <w:b/>
          <w:spacing w:val="6"/>
          <w:sz w:val="24"/>
        </w:rPr>
        <w:t>-</w:t>
      </w:r>
      <w:r>
        <w:rPr>
          <w:rFonts w:hint="eastAsia" w:cs="Times New Roman" w:eastAsiaTheme="minorEastAsia"/>
          <w:b/>
          <w:spacing w:val="6"/>
          <w:sz w:val="24"/>
        </w:rPr>
        <w:t>28</w:t>
      </w:r>
      <w:r>
        <w:rPr>
          <w:rFonts w:cs="Times New Roman" w:eastAsiaTheme="minorEastAsia"/>
          <w:b/>
          <w:spacing w:val="6"/>
          <w:sz w:val="24"/>
        </w:rPr>
        <w:t xml:space="preserve">     </w:t>
      </w:r>
      <w:r>
        <w:rPr>
          <w:rFonts w:cs="Times New Roman"/>
          <w:b/>
          <w:spacing w:val="16"/>
          <w:sz w:val="24"/>
        </w:rPr>
        <w:t xml:space="preserve">部分国家和城市人均居民生活用水量统计表   </w:t>
      </w:r>
      <w:r>
        <w:rPr>
          <w:rFonts w:cs="Times New Roman"/>
          <w:b/>
          <w:spacing w:val="14"/>
          <w:sz w:val="24"/>
        </w:rPr>
        <w:t>（单位：升</w:t>
      </w:r>
      <w:r>
        <w:rPr>
          <w:rFonts w:eastAsia="Times New Roman" w:cs="Times New Roman"/>
          <w:b/>
          <w:spacing w:val="14"/>
          <w:sz w:val="24"/>
        </w:rPr>
        <w:t>/</w:t>
      </w:r>
      <w:r>
        <w:rPr>
          <w:rFonts w:cs="Times New Roman"/>
          <w:b/>
          <w:spacing w:val="14"/>
          <w:sz w:val="24"/>
        </w:rPr>
        <w:t>人</w:t>
      </w:r>
      <w:r>
        <w:rPr>
          <w:rFonts w:eastAsia="Times New Roman" w:cs="Times New Roman"/>
          <w:b/>
          <w:spacing w:val="14"/>
          <w:sz w:val="24"/>
        </w:rPr>
        <w:t>.</w:t>
      </w:r>
      <w:r>
        <w:rPr>
          <w:rFonts w:cs="Times New Roman"/>
          <w:b/>
          <w:spacing w:val="14"/>
          <w:sz w:val="24"/>
        </w:rPr>
        <w:t>日）</w:t>
      </w:r>
    </w:p>
    <w:tbl>
      <w:tblPr>
        <w:tblStyle w:val="39"/>
        <w:tblW w:w="10326" w:type="dxa"/>
        <w:jc w:val="center"/>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108" w:type="dxa"/>
          <w:bottom w:w="0" w:type="dxa"/>
          <w:right w:w="108" w:type="dxa"/>
        </w:tblCellMar>
      </w:tblPr>
      <w:tblGrid>
        <w:gridCol w:w="2315"/>
        <w:gridCol w:w="2747"/>
        <w:gridCol w:w="2608"/>
        <w:gridCol w:w="2656"/>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2315" w:type="dxa"/>
            <w:vMerge w:val="restart"/>
            <w:shd w:val="clear" w:color="auto" w:fill="auto"/>
            <w:vAlign w:val="center"/>
          </w:tcPr>
          <w:p>
            <w:pPr>
              <w:pStyle w:val="72"/>
            </w:pPr>
            <w:r>
              <w:t>城市名称</w:t>
            </w:r>
          </w:p>
        </w:tc>
        <w:tc>
          <w:tcPr>
            <w:tcW w:w="2747" w:type="dxa"/>
            <w:shd w:val="clear" w:color="auto" w:fill="auto"/>
            <w:vAlign w:val="center"/>
          </w:tcPr>
          <w:p>
            <w:pPr>
              <w:pStyle w:val="72"/>
            </w:pPr>
            <w:r>
              <w:t>人均居民</w:t>
            </w:r>
          </w:p>
        </w:tc>
        <w:tc>
          <w:tcPr>
            <w:tcW w:w="2608" w:type="dxa"/>
            <w:vMerge w:val="restart"/>
            <w:shd w:val="clear" w:color="auto" w:fill="auto"/>
            <w:vAlign w:val="center"/>
          </w:tcPr>
          <w:p>
            <w:pPr>
              <w:pStyle w:val="72"/>
            </w:pPr>
            <w:r>
              <w:t>城市名称</w:t>
            </w:r>
          </w:p>
        </w:tc>
        <w:tc>
          <w:tcPr>
            <w:tcW w:w="2656" w:type="dxa"/>
            <w:shd w:val="clear" w:color="auto" w:fill="auto"/>
            <w:vAlign w:val="center"/>
          </w:tcPr>
          <w:p>
            <w:pPr>
              <w:pStyle w:val="72"/>
            </w:pPr>
            <w:r>
              <w:t>人均居民</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414" w:hRule="atLeast"/>
          <w:jc w:val="center"/>
        </w:trPr>
        <w:tc>
          <w:tcPr>
            <w:tcW w:w="2315" w:type="dxa"/>
            <w:vMerge w:val="continue"/>
            <w:vAlign w:val="center"/>
          </w:tcPr>
          <w:p>
            <w:pPr>
              <w:pStyle w:val="72"/>
            </w:pPr>
          </w:p>
        </w:tc>
        <w:tc>
          <w:tcPr>
            <w:tcW w:w="2747" w:type="dxa"/>
            <w:shd w:val="clear" w:color="auto" w:fill="auto"/>
            <w:vAlign w:val="center"/>
          </w:tcPr>
          <w:p>
            <w:pPr>
              <w:pStyle w:val="72"/>
            </w:pPr>
            <w:r>
              <w:t>生活新水量(升/人.日)</w:t>
            </w:r>
          </w:p>
        </w:tc>
        <w:tc>
          <w:tcPr>
            <w:tcW w:w="2608" w:type="dxa"/>
            <w:vMerge w:val="continue"/>
            <w:vAlign w:val="center"/>
          </w:tcPr>
          <w:p>
            <w:pPr>
              <w:pStyle w:val="72"/>
            </w:pPr>
          </w:p>
        </w:tc>
        <w:tc>
          <w:tcPr>
            <w:tcW w:w="2656" w:type="dxa"/>
            <w:shd w:val="clear" w:color="auto" w:fill="auto"/>
            <w:vAlign w:val="center"/>
          </w:tcPr>
          <w:p>
            <w:pPr>
              <w:pStyle w:val="72"/>
            </w:pPr>
            <w:r>
              <w:t>生活新水量(升/人.日)</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2315" w:type="dxa"/>
            <w:shd w:val="clear" w:color="auto" w:fill="auto"/>
            <w:vAlign w:val="center"/>
          </w:tcPr>
          <w:p>
            <w:pPr>
              <w:pStyle w:val="72"/>
            </w:pPr>
            <w:r>
              <w:t>曼谷</w:t>
            </w:r>
          </w:p>
        </w:tc>
        <w:tc>
          <w:tcPr>
            <w:tcW w:w="2747" w:type="dxa"/>
            <w:shd w:val="clear" w:color="auto" w:fill="auto"/>
            <w:vAlign w:val="center"/>
          </w:tcPr>
          <w:p>
            <w:pPr>
              <w:pStyle w:val="72"/>
            </w:pPr>
            <w:r>
              <w:t>172.6</w:t>
            </w:r>
          </w:p>
        </w:tc>
        <w:tc>
          <w:tcPr>
            <w:tcW w:w="2608" w:type="dxa"/>
            <w:shd w:val="clear" w:color="auto" w:fill="auto"/>
            <w:vAlign w:val="center"/>
          </w:tcPr>
          <w:p>
            <w:pPr>
              <w:pStyle w:val="72"/>
            </w:pPr>
            <w:r>
              <w:t>布达佩斯</w:t>
            </w:r>
          </w:p>
        </w:tc>
        <w:tc>
          <w:tcPr>
            <w:tcW w:w="2656" w:type="dxa"/>
            <w:shd w:val="clear" w:color="auto" w:fill="auto"/>
            <w:vAlign w:val="center"/>
          </w:tcPr>
          <w:p>
            <w:pPr>
              <w:pStyle w:val="72"/>
            </w:pPr>
            <w:r>
              <w:t>237.7</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2315" w:type="dxa"/>
            <w:shd w:val="clear" w:color="auto" w:fill="auto"/>
            <w:vAlign w:val="center"/>
          </w:tcPr>
          <w:p>
            <w:pPr>
              <w:pStyle w:val="72"/>
            </w:pPr>
            <w:r>
              <w:t>汉城</w:t>
            </w:r>
          </w:p>
        </w:tc>
        <w:tc>
          <w:tcPr>
            <w:tcW w:w="2747" w:type="dxa"/>
            <w:shd w:val="clear" w:color="auto" w:fill="auto"/>
            <w:vAlign w:val="center"/>
          </w:tcPr>
          <w:p>
            <w:pPr>
              <w:pStyle w:val="72"/>
            </w:pPr>
            <w:r>
              <w:t>181</w:t>
            </w:r>
          </w:p>
        </w:tc>
        <w:tc>
          <w:tcPr>
            <w:tcW w:w="2608" w:type="dxa"/>
            <w:shd w:val="clear" w:color="auto" w:fill="auto"/>
            <w:vAlign w:val="center"/>
          </w:tcPr>
          <w:p>
            <w:pPr>
              <w:pStyle w:val="72"/>
            </w:pPr>
            <w:r>
              <w:t>华沙</w:t>
            </w:r>
          </w:p>
        </w:tc>
        <w:tc>
          <w:tcPr>
            <w:tcW w:w="2656" w:type="dxa"/>
            <w:shd w:val="clear" w:color="auto" w:fill="auto"/>
            <w:vAlign w:val="center"/>
          </w:tcPr>
          <w:p>
            <w:pPr>
              <w:pStyle w:val="72"/>
            </w:pPr>
            <w:r>
              <w:t>263.5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2315" w:type="dxa"/>
            <w:shd w:val="clear" w:color="auto" w:fill="auto"/>
            <w:vAlign w:val="center"/>
          </w:tcPr>
          <w:p>
            <w:pPr>
              <w:pStyle w:val="72"/>
            </w:pPr>
            <w:r>
              <w:t>索非亚</w:t>
            </w:r>
          </w:p>
        </w:tc>
        <w:tc>
          <w:tcPr>
            <w:tcW w:w="2747" w:type="dxa"/>
            <w:shd w:val="clear" w:color="auto" w:fill="auto"/>
            <w:vAlign w:val="center"/>
          </w:tcPr>
          <w:p>
            <w:pPr>
              <w:pStyle w:val="72"/>
            </w:pPr>
            <w:r>
              <w:t>186.4</w:t>
            </w:r>
          </w:p>
        </w:tc>
        <w:tc>
          <w:tcPr>
            <w:tcW w:w="2608" w:type="dxa"/>
            <w:shd w:val="clear" w:color="auto" w:fill="auto"/>
            <w:vAlign w:val="center"/>
          </w:tcPr>
          <w:p>
            <w:pPr>
              <w:pStyle w:val="72"/>
            </w:pPr>
            <w:r>
              <w:t>哈瓦那</w:t>
            </w:r>
          </w:p>
        </w:tc>
        <w:tc>
          <w:tcPr>
            <w:tcW w:w="2656" w:type="dxa"/>
            <w:shd w:val="clear" w:color="auto" w:fill="auto"/>
            <w:vAlign w:val="center"/>
          </w:tcPr>
          <w:p>
            <w:pPr>
              <w:pStyle w:val="72"/>
            </w:pPr>
            <w:r>
              <w:t>299.9</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2315" w:type="dxa"/>
            <w:shd w:val="clear" w:color="auto" w:fill="auto"/>
            <w:vAlign w:val="center"/>
          </w:tcPr>
          <w:p>
            <w:pPr>
              <w:pStyle w:val="72"/>
            </w:pPr>
            <w:r>
              <w:t>奥地利</w:t>
            </w:r>
          </w:p>
        </w:tc>
        <w:tc>
          <w:tcPr>
            <w:tcW w:w="2747" w:type="dxa"/>
            <w:shd w:val="clear" w:color="auto" w:fill="auto"/>
            <w:vAlign w:val="center"/>
          </w:tcPr>
          <w:p>
            <w:pPr>
              <w:pStyle w:val="72"/>
            </w:pPr>
            <w:r>
              <w:t>215</w:t>
            </w:r>
          </w:p>
        </w:tc>
        <w:tc>
          <w:tcPr>
            <w:tcW w:w="2608" w:type="dxa"/>
            <w:shd w:val="clear" w:color="auto" w:fill="auto"/>
            <w:vAlign w:val="center"/>
          </w:tcPr>
          <w:p>
            <w:pPr>
              <w:pStyle w:val="72"/>
            </w:pPr>
            <w:r>
              <w:t>法国</w:t>
            </w:r>
          </w:p>
        </w:tc>
        <w:tc>
          <w:tcPr>
            <w:tcW w:w="2656" w:type="dxa"/>
            <w:shd w:val="clear" w:color="auto" w:fill="auto"/>
            <w:vAlign w:val="center"/>
          </w:tcPr>
          <w:p>
            <w:pPr>
              <w:pStyle w:val="72"/>
            </w:pPr>
            <w:r>
              <w:t>161</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2315" w:type="dxa"/>
            <w:shd w:val="clear" w:color="auto" w:fill="auto"/>
            <w:vAlign w:val="center"/>
          </w:tcPr>
          <w:p>
            <w:pPr>
              <w:pStyle w:val="72"/>
            </w:pPr>
            <w:r>
              <w:t>意大利</w:t>
            </w:r>
          </w:p>
        </w:tc>
        <w:tc>
          <w:tcPr>
            <w:tcW w:w="2747" w:type="dxa"/>
            <w:shd w:val="clear" w:color="auto" w:fill="auto"/>
            <w:vAlign w:val="center"/>
          </w:tcPr>
          <w:p>
            <w:pPr>
              <w:pStyle w:val="72"/>
            </w:pPr>
            <w:r>
              <w:t>214</w:t>
            </w:r>
          </w:p>
        </w:tc>
        <w:tc>
          <w:tcPr>
            <w:tcW w:w="2608" w:type="dxa"/>
            <w:shd w:val="clear" w:color="auto" w:fill="auto"/>
            <w:vAlign w:val="center"/>
          </w:tcPr>
          <w:p>
            <w:pPr>
              <w:pStyle w:val="72"/>
            </w:pPr>
            <w:r>
              <w:t>英国</w:t>
            </w:r>
          </w:p>
        </w:tc>
        <w:tc>
          <w:tcPr>
            <w:tcW w:w="2656" w:type="dxa"/>
            <w:shd w:val="clear" w:color="auto" w:fill="auto"/>
            <w:vAlign w:val="center"/>
          </w:tcPr>
          <w:p>
            <w:pPr>
              <w:pStyle w:val="72"/>
            </w:pPr>
            <w:r>
              <w:t>161</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2315" w:type="dxa"/>
            <w:shd w:val="clear" w:color="auto" w:fill="auto"/>
            <w:vAlign w:val="center"/>
          </w:tcPr>
          <w:p>
            <w:pPr>
              <w:pStyle w:val="72"/>
            </w:pPr>
            <w:r>
              <w:t>瑞典</w:t>
            </w:r>
          </w:p>
        </w:tc>
        <w:tc>
          <w:tcPr>
            <w:tcW w:w="2747" w:type="dxa"/>
            <w:shd w:val="clear" w:color="auto" w:fill="auto"/>
            <w:vAlign w:val="center"/>
          </w:tcPr>
          <w:p>
            <w:pPr>
              <w:pStyle w:val="72"/>
            </w:pPr>
            <w:r>
              <w:t>195</w:t>
            </w:r>
          </w:p>
        </w:tc>
        <w:tc>
          <w:tcPr>
            <w:tcW w:w="2608" w:type="dxa"/>
            <w:shd w:val="clear" w:color="auto" w:fill="auto"/>
            <w:vAlign w:val="center"/>
          </w:tcPr>
          <w:p>
            <w:pPr>
              <w:pStyle w:val="72"/>
            </w:pPr>
            <w:r>
              <w:t>比利时</w:t>
            </w:r>
          </w:p>
        </w:tc>
        <w:tc>
          <w:tcPr>
            <w:tcW w:w="2656" w:type="dxa"/>
            <w:shd w:val="clear" w:color="auto" w:fill="auto"/>
            <w:vAlign w:val="center"/>
          </w:tcPr>
          <w:p>
            <w:pPr>
              <w:pStyle w:val="72"/>
            </w:pPr>
            <w:r>
              <w:t>116</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108" w:type="dxa"/>
            <w:bottom w:w="0" w:type="dxa"/>
            <w:right w:w="108" w:type="dxa"/>
          </w:tblCellMar>
        </w:tblPrEx>
        <w:trPr>
          <w:trHeight w:val="285" w:hRule="atLeast"/>
          <w:jc w:val="center"/>
        </w:trPr>
        <w:tc>
          <w:tcPr>
            <w:tcW w:w="2315" w:type="dxa"/>
            <w:shd w:val="clear" w:color="auto" w:fill="auto"/>
            <w:vAlign w:val="center"/>
          </w:tcPr>
          <w:p>
            <w:pPr>
              <w:pStyle w:val="72"/>
            </w:pPr>
            <w:r>
              <w:t>丹麦</w:t>
            </w:r>
          </w:p>
        </w:tc>
        <w:tc>
          <w:tcPr>
            <w:tcW w:w="2747" w:type="dxa"/>
            <w:shd w:val="clear" w:color="auto" w:fill="auto"/>
            <w:vAlign w:val="center"/>
          </w:tcPr>
          <w:p>
            <w:pPr>
              <w:pStyle w:val="72"/>
            </w:pPr>
            <w:r>
              <w:t>176</w:t>
            </w:r>
          </w:p>
        </w:tc>
        <w:tc>
          <w:tcPr>
            <w:tcW w:w="2608" w:type="dxa"/>
            <w:shd w:val="clear" w:color="auto" w:fill="auto"/>
            <w:vAlign w:val="center"/>
          </w:tcPr>
          <w:p>
            <w:pPr>
              <w:pStyle w:val="72"/>
            </w:pPr>
            <w:r>
              <w:t>德国</w:t>
            </w:r>
          </w:p>
        </w:tc>
        <w:tc>
          <w:tcPr>
            <w:tcW w:w="2656" w:type="dxa"/>
            <w:shd w:val="clear" w:color="auto" w:fill="auto"/>
            <w:vAlign w:val="center"/>
          </w:tcPr>
          <w:p>
            <w:pPr>
              <w:pStyle w:val="72"/>
            </w:pPr>
            <w:r>
              <w:t>135</w:t>
            </w:r>
          </w:p>
        </w:tc>
      </w:tr>
    </w:tbl>
    <w:p>
      <w:pPr>
        <w:pStyle w:val="16"/>
        <w:spacing w:line="360" w:lineRule="auto"/>
        <w:ind w:firstLine="560"/>
        <w:rPr>
          <w:rFonts w:cs="Times New Roman"/>
        </w:rPr>
      </w:pPr>
      <w:r>
        <w:rPr>
          <w:rFonts w:cs="Times New Roman"/>
        </w:rPr>
        <w:t>城市居民生活用水量是指使用公共供水设施或自建供水设施供水的城市居民家庭日常生活使用的自来水。其具体含义为用水人是城市居民；用水地是家庭；用水性质是维持日常生活使用的自来水。《城市居民生活用水量标准（GB/T50331-2002）》规定城市居民 生活用水量标准如下：</w:t>
      </w:r>
    </w:p>
    <w:p>
      <w:pPr>
        <w:pStyle w:val="16"/>
        <w:tabs>
          <w:tab w:val="left" w:pos="4141"/>
        </w:tabs>
        <w:spacing w:line="360" w:lineRule="auto"/>
        <w:ind w:firstLine="482"/>
        <w:jc w:val="center"/>
        <w:rPr>
          <w:rFonts w:cs="Times New Roman"/>
          <w:b/>
          <w:sz w:val="24"/>
        </w:rPr>
      </w:pPr>
      <w:r>
        <w:rPr>
          <w:rFonts w:cs="Times New Roman"/>
          <w:b/>
          <w:sz w:val="24"/>
        </w:rPr>
        <w:t>表</w:t>
      </w:r>
      <w:r>
        <w:rPr>
          <w:rFonts w:hint="eastAsia" w:cs="Times New Roman" w:eastAsiaTheme="minorEastAsia"/>
          <w:b/>
          <w:spacing w:val="6"/>
          <w:sz w:val="24"/>
        </w:rPr>
        <w:t>2</w:t>
      </w:r>
      <w:r>
        <w:rPr>
          <w:rFonts w:eastAsia="Times New Roman" w:cs="Times New Roman"/>
          <w:b/>
          <w:spacing w:val="6"/>
          <w:sz w:val="24"/>
        </w:rPr>
        <w:t>-</w:t>
      </w:r>
      <w:r>
        <w:rPr>
          <w:rFonts w:hint="eastAsia" w:cs="Times New Roman" w:eastAsiaTheme="minorEastAsia"/>
          <w:b/>
          <w:spacing w:val="6"/>
          <w:sz w:val="24"/>
        </w:rPr>
        <w:t>29</w:t>
      </w:r>
      <w:r>
        <w:rPr>
          <w:rFonts w:cs="Times New Roman" w:eastAsiaTheme="minorEastAsia"/>
          <w:b/>
          <w:spacing w:val="6"/>
          <w:sz w:val="24"/>
        </w:rPr>
        <w:t xml:space="preserve">         </w:t>
      </w:r>
      <w:r>
        <w:rPr>
          <w:rFonts w:cs="Times New Roman"/>
          <w:b/>
          <w:spacing w:val="16"/>
          <w:sz w:val="24"/>
        </w:rPr>
        <w:t>城市居民生活用水量标准表</w:t>
      </w:r>
    </w:p>
    <w:tbl>
      <w:tblPr>
        <w:tblStyle w:val="39"/>
        <w:tblW w:w="10284" w:type="dxa"/>
        <w:tblInd w:w="0" w:type="dxa"/>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1516"/>
        <w:gridCol w:w="2252"/>
        <w:gridCol w:w="6516"/>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46" w:hRule="exact"/>
        </w:trPr>
        <w:tc>
          <w:tcPr>
            <w:tcW w:w="1516" w:type="dxa"/>
            <w:vAlign w:val="center"/>
          </w:tcPr>
          <w:p>
            <w:pPr>
              <w:pStyle w:val="72"/>
              <w:spacing w:line="276" w:lineRule="auto"/>
              <w:rPr>
                <w:szCs w:val="21"/>
              </w:rPr>
            </w:pPr>
            <w:r>
              <w:rPr>
                <w:szCs w:val="21"/>
              </w:rPr>
              <w:t>地域分区</w:t>
            </w:r>
          </w:p>
        </w:tc>
        <w:tc>
          <w:tcPr>
            <w:tcW w:w="2252" w:type="dxa"/>
            <w:vAlign w:val="center"/>
          </w:tcPr>
          <w:p>
            <w:pPr>
              <w:pStyle w:val="72"/>
              <w:spacing w:line="276" w:lineRule="auto"/>
              <w:rPr>
                <w:rFonts w:eastAsia="Times New Roman"/>
                <w:szCs w:val="21"/>
              </w:rPr>
            </w:pPr>
            <w:r>
              <w:rPr>
                <w:szCs w:val="21"/>
              </w:rPr>
              <w:t>日用水量</w:t>
            </w:r>
            <w:r>
              <w:rPr>
                <w:rFonts w:eastAsia="Times New Roman"/>
                <w:szCs w:val="21"/>
              </w:rPr>
              <w:t>(</w:t>
            </w:r>
            <w:r>
              <w:rPr>
                <w:szCs w:val="21"/>
              </w:rPr>
              <w:t>升</w:t>
            </w:r>
            <w:r>
              <w:rPr>
                <w:rFonts w:eastAsia="Times New Roman"/>
                <w:szCs w:val="21"/>
              </w:rPr>
              <w:t>/</w:t>
            </w:r>
            <w:r>
              <w:rPr>
                <w:szCs w:val="21"/>
              </w:rPr>
              <w:t>人</w:t>
            </w:r>
            <w:r>
              <w:rPr>
                <w:rFonts w:eastAsia="Times New Roman"/>
                <w:szCs w:val="21"/>
              </w:rPr>
              <w:t>.</w:t>
            </w:r>
            <w:r>
              <w:rPr>
                <w:szCs w:val="21"/>
              </w:rPr>
              <w:t>日</w:t>
            </w:r>
            <w:r>
              <w:rPr>
                <w:rFonts w:eastAsia="Times New Roman"/>
                <w:szCs w:val="21"/>
              </w:rPr>
              <w:t>)</w:t>
            </w:r>
          </w:p>
        </w:tc>
        <w:tc>
          <w:tcPr>
            <w:tcW w:w="6516" w:type="dxa"/>
            <w:vAlign w:val="center"/>
          </w:tcPr>
          <w:p>
            <w:pPr>
              <w:pStyle w:val="72"/>
              <w:spacing w:line="276" w:lineRule="auto"/>
              <w:rPr>
                <w:szCs w:val="21"/>
              </w:rPr>
            </w:pPr>
            <w:r>
              <w:rPr>
                <w:szCs w:val="21"/>
              </w:rPr>
              <w:t>适用范围</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54" w:hRule="exact"/>
        </w:trPr>
        <w:tc>
          <w:tcPr>
            <w:tcW w:w="1516" w:type="dxa"/>
            <w:vAlign w:val="center"/>
          </w:tcPr>
          <w:p>
            <w:pPr>
              <w:pStyle w:val="72"/>
              <w:spacing w:line="276" w:lineRule="auto"/>
              <w:rPr>
                <w:szCs w:val="21"/>
              </w:rPr>
            </w:pPr>
            <w:r>
              <w:rPr>
                <w:szCs w:val="21"/>
              </w:rPr>
              <w:t>一</w:t>
            </w:r>
          </w:p>
        </w:tc>
        <w:tc>
          <w:tcPr>
            <w:tcW w:w="2252" w:type="dxa"/>
            <w:vAlign w:val="center"/>
          </w:tcPr>
          <w:p>
            <w:pPr>
              <w:pStyle w:val="72"/>
              <w:spacing w:line="276" w:lineRule="auto"/>
              <w:rPr>
                <w:rFonts w:eastAsia="Times New Roman"/>
                <w:szCs w:val="21"/>
              </w:rPr>
            </w:pPr>
            <w:r>
              <w:rPr>
                <w:rFonts w:eastAsia="Times New Roman"/>
                <w:szCs w:val="21"/>
              </w:rPr>
              <w:t>80</w:t>
            </w:r>
            <w:r>
              <w:rPr>
                <w:szCs w:val="21"/>
              </w:rPr>
              <w:t>～</w:t>
            </w:r>
            <w:r>
              <w:rPr>
                <w:rFonts w:eastAsia="Times New Roman"/>
                <w:szCs w:val="21"/>
              </w:rPr>
              <w:t>135</w:t>
            </w:r>
          </w:p>
        </w:tc>
        <w:tc>
          <w:tcPr>
            <w:tcW w:w="6516" w:type="dxa"/>
            <w:vAlign w:val="center"/>
          </w:tcPr>
          <w:p>
            <w:pPr>
              <w:pStyle w:val="72"/>
              <w:spacing w:line="276" w:lineRule="auto"/>
              <w:rPr>
                <w:szCs w:val="21"/>
              </w:rPr>
            </w:pPr>
            <w:r>
              <w:rPr>
                <w:spacing w:val="14"/>
                <w:szCs w:val="21"/>
              </w:rPr>
              <w:t>黑龙江、吉林、辽宁、</w:t>
            </w:r>
            <w:r>
              <w:rPr>
                <w:spacing w:val="10"/>
                <w:szCs w:val="21"/>
              </w:rPr>
              <w:t>内蒙古</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54" w:hRule="exact"/>
        </w:trPr>
        <w:tc>
          <w:tcPr>
            <w:tcW w:w="1516" w:type="dxa"/>
            <w:vAlign w:val="center"/>
          </w:tcPr>
          <w:p>
            <w:pPr>
              <w:pStyle w:val="72"/>
              <w:spacing w:line="276" w:lineRule="auto"/>
              <w:rPr>
                <w:szCs w:val="21"/>
              </w:rPr>
            </w:pPr>
            <w:r>
              <w:rPr>
                <w:szCs w:val="21"/>
              </w:rPr>
              <w:t>二</w:t>
            </w:r>
          </w:p>
        </w:tc>
        <w:tc>
          <w:tcPr>
            <w:tcW w:w="2252" w:type="dxa"/>
            <w:vAlign w:val="center"/>
          </w:tcPr>
          <w:p>
            <w:pPr>
              <w:pStyle w:val="72"/>
              <w:spacing w:line="276" w:lineRule="auto"/>
              <w:rPr>
                <w:rFonts w:eastAsia="Times New Roman"/>
                <w:szCs w:val="21"/>
              </w:rPr>
            </w:pPr>
            <w:r>
              <w:rPr>
                <w:rFonts w:eastAsia="Times New Roman"/>
                <w:szCs w:val="21"/>
              </w:rPr>
              <w:t>85</w:t>
            </w:r>
            <w:r>
              <w:rPr>
                <w:szCs w:val="21"/>
              </w:rPr>
              <w:t>～</w:t>
            </w:r>
            <w:r>
              <w:rPr>
                <w:rFonts w:eastAsia="Times New Roman"/>
                <w:szCs w:val="21"/>
              </w:rPr>
              <w:t>140</w:t>
            </w:r>
          </w:p>
        </w:tc>
        <w:tc>
          <w:tcPr>
            <w:tcW w:w="6516" w:type="dxa"/>
            <w:vAlign w:val="center"/>
          </w:tcPr>
          <w:p>
            <w:pPr>
              <w:pStyle w:val="72"/>
              <w:spacing w:line="276" w:lineRule="auto"/>
              <w:rPr>
                <w:szCs w:val="21"/>
              </w:rPr>
            </w:pPr>
            <w:r>
              <w:rPr>
                <w:szCs w:val="21"/>
              </w:rPr>
              <w:t>北京、天津、河北、广东、河南、广西、陕西、宁夏、甘肃</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56" w:hRule="exact"/>
        </w:trPr>
        <w:tc>
          <w:tcPr>
            <w:tcW w:w="1516" w:type="dxa"/>
            <w:vAlign w:val="center"/>
          </w:tcPr>
          <w:p>
            <w:pPr>
              <w:pStyle w:val="72"/>
              <w:spacing w:line="276" w:lineRule="auto"/>
              <w:rPr>
                <w:szCs w:val="21"/>
              </w:rPr>
            </w:pPr>
            <w:r>
              <w:rPr>
                <w:szCs w:val="21"/>
              </w:rPr>
              <w:t>三</w:t>
            </w:r>
          </w:p>
        </w:tc>
        <w:tc>
          <w:tcPr>
            <w:tcW w:w="2252" w:type="dxa"/>
            <w:vAlign w:val="center"/>
          </w:tcPr>
          <w:p>
            <w:pPr>
              <w:pStyle w:val="72"/>
              <w:spacing w:line="276" w:lineRule="auto"/>
              <w:rPr>
                <w:rFonts w:eastAsia="Times New Roman"/>
                <w:szCs w:val="21"/>
              </w:rPr>
            </w:pPr>
            <w:r>
              <w:rPr>
                <w:rFonts w:eastAsia="Times New Roman"/>
                <w:szCs w:val="21"/>
              </w:rPr>
              <w:t>120</w:t>
            </w:r>
            <w:r>
              <w:rPr>
                <w:szCs w:val="21"/>
              </w:rPr>
              <w:t>～</w:t>
            </w:r>
            <w:r>
              <w:rPr>
                <w:rFonts w:eastAsia="Times New Roman"/>
                <w:szCs w:val="21"/>
              </w:rPr>
              <w:t>180</w:t>
            </w:r>
          </w:p>
        </w:tc>
        <w:tc>
          <w:tcPr>
            <w:tcW w:w="6516" w:type="dxa"/>
            <w:vAlign w:val="center"/>
          </w:tcPr>
          <w:p>
            <w:pPr>
              <w:pStyle w:val="72"/>
              <w:spacing w:line="276" w:lineRule="auto"/>
              <w:rPr>
                <w:szCs w:val="21"/>
              </w:rPr>
            </w:pPr>
            <w:r>
              <w:rPr>
                <w:szCs w:val="21"/>
              </w:rPr>
              <w:t>上海、江苏、浙江、福建、江西、湖北、湖南、安徽</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54" w:hRule="exact"/>
        </w:trPr>
        <w:tc>
          <w:tcPr>
            <w:tcW w:w="1516" w:type="dxa"/>
            <w:vAlign w:val="center"/>
          </w:tcPr>
          <w:p>
            <w:pPr>
              <w:pStyle w:val="72"/>
              <w:spacing w:line="276" w:lineRule="auto"/>
              <w:rPr>
                <w:szCs w:val="21"/>
              </w:rPr>
            </w:pPr>
            <w:r>
              <w:rPr>
                <w:szCs w:val="21"/>
              </w:rPr>
              <w:t>四</w:t>
            </w:r>
          </w:p>
        </w:tc>
        <w:tc>
          <w:tcPr>
            <w:tcW w:w="2252" w:type="dxa"/>
            <w:vAlign w:val="center"/>
          </w:tcPr>
          <w:p>
            <w:pPr>
              <w:pStyle w:val="72"/>
              <w:spacing w:line="276" w:lineRule="auto"/>
              <w:rPr>
                <w:rFonts w:eastAsia="Times New Roman"/>
                <w:szCs w:val="21"/>
              </w:rPr>
            </w:pPr>
            <w:r>
              <w:rPr>
                <w:rFonts w:eastAsia="Times New Roman"/>
                <w:szCs w:val="21"/>
              </w:rPr>
              <w:t>150</w:t>
            </w:r>
            <w:r>
              <w:rPr>
                <w:szCs w:val="21"/>
              </w:rPr>
              <w:t>～</w:t>
            </w:r>
            <w:r>
              <w:rPr>
                <w:rFonts w:eastAsia="Times New Roman"/>
                <w:szCs w:val="21"/>
              </w:rPr>
              <w:t>220</w:t>
            </w:r>
          </w:p>
        </w:tc>
        <w:tc>
          <w:tcPr>
            <w:tcW w:w="6516" w:type="dxa"/>
            <w:vAlign w:val="center"/>
          </w:tcPr>
          <w:p>
            <w:pPr>
              <w:pStyle w:val="72"/>
              <w:spacing w:line="276" w:lineRule="auto"/>
              <w:rPr>
                <w:szCs w:val="21"/>
              </w:rPr>
            </w:pPr>
            <w:r>
              <w:rPr>
                <w:szCs w:val="21"/>
              </w:rPr>
              <w:t>广西、广东、海南</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54" w:hRule="exact"/>
        </w:trPr>
        <w:tc>
          <w:tcPr>
            <w:tcW w:w="1516" w:type="dxa"/>
            <w:vAlign w:val="center"/>
          </w:tcPr>
          <w:p>
            <w:pPr>
              <w:pStyle w:val="72"/>
              <w:spacing w:line="276" w:lineRule="auto"/>
              <w:rPr>
                <w:szCs w:val="21"/>
              </w:rPr>
            </w:pPr>
            <w:r>
              <w:rPr>
                <w:szCs w:val="21"/>
              </w:rPr>
              <w:t>五</w:t>
            </w:r>
          </w:p>
        </w:tc>
        <w:tc>
          <w:tcPr>
            <w:tcW w:w="2252" w:type="dxa"/>
            <w:vAlign w:val="center"/>
          </w:tcPr>
          <w:p>
            <w:pPr>
              <w:pStyle w:val="72"/>
              <w:spacing w:line="276" w:lineRule="auto"/>
              <w:rPr>
                <w:rFonts w:eastAsia="Times New Roman"/>
                <w:szCs w:val="21"/>
              </w:rPr>
            </w:pPr>
            <w:r>
              <w:rPr>
                <w:rFonts w:eastAsia="Times New Roman"/>
                <w:szCs w:val="21"/>
              </w:rPr>
              <w:t>100</w:t>
            </w:r>
            <w:r>
              <w:rPr>
                <w:szCs w:val="21"/>
              </w:rPr>
              <w:t>～</w:t>
            </w:r>
            <w:r>
              <w:rPr>
                <w:rFonts w:eastAsia="Times New Roman"/>
                <w:szCs w:val="21"/>
              </w:rPr>
              <w:t>140</w:t>
            </w:r>
          </w:p>
        </w:tc>
        <w:tc>
          <w:tcPr>
            <w:tcW w:w="6516" w:type="dxa"/>
            <w:vAlign w:val="center"/>
          </w:tcPr>
          <w:p>
            <w:pPr>
              <w:pStyle w:val="72"/>
              <w:spacing w:line="276" w:lineRule="auto"/>
              <w:rPr>
                <w:szCs w:val="21"/>
              </w:rPr>
            </w:pPr>
            <w:r>
              <w:rPr>
                <w:szCs w:val="21"/>
              </w:rPr>
              <w:t>重庆、四川、贵州、云南</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54" w:hRule="exact"/>
        </w:trPr>
        <w:tc>
          <w:tcPr>
            <w:tcW w:w="1516" w:type="dxa"/>
            <w:vAlign w:val="center"/>
          </w:tcPr>
          <w:p>
            <w:pPr>
              <w:pStyle w:val="72"/>
              <w:spacing w:line="276" w:lineRule="auto"/>
              <w:rPr>
                <w:szCs w:val="21"/>
              </w:rPr>
            </w:pPr>
            <w:r>
              <w:rPr>
                <w:szCs w:val="21"/>
              </w:rPr>
              <w:t>六</w:t>
            </w:r>
          </w:p>
        </w:tc>
        <w:tc>
          <w:tcPr>
            <w:tcW w:w="2252" w:type="dxa"/>
            <w:vAlign w:val="center"/>
          </w:tcPr>
          <w:p>
            <w:pPr>
              <w:pStyle w:val="72"/>
              <w:spacing w:line="276" w:lineRule="auto"/>
              <w:rPr>
                <w:rFonts w:eastAsia="Times New Roman"/>
                <w:szCs w:val="21"/>
              </w:rPr>
            </w:pPr>
            <w:r>
              <w:rPr>
                <w:rFonts w:eastAsia="Times New Roman"/>
                <w:szCs w:val="21"/>
              </w:rPr>
              <w:t>75</w:t>
            </w:r>
            <w:r>
              <w:rPr>
                <w:szCs w:val="21"/>
              </w:rPr>
              <w:t>～</w:t>
            </w:r>
            <w:r>
              <w:rPr>
                <w:rFonts w:eastAsia="Times New Roman"/>
                <w:szCs w:val="21"/>
              </w:rPr>
              <w:t>125</w:t>
            </w:r>
          </w:p>
        </w:tc>
        <w:tc>
          <w:tcPr>
            <w:tcW w:w="6516" w:type="dxa"/>
            <w:vAlign w:val="center"/>
          </w:tcPr>
          <w:p>
            <w:pPr>
              <w:pStyle w:val="72"/>
              <w:spacing w:line="276" w:lineRule="auto"/>
              <w:rPr>
                <w:szCs w:val="21"/>
              </w:rPr>
            </w:pPr>
            <w:r>
              <w:rPr>
                <w:szCs w:val="21"/>
              </w:rPr>
              <w:t>新疆、西藏、青海</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550" w:hRule="exact"/>
        </w:trPr>
        <w:tc>
          <w:tcPr>
            <w:tcW w:w="10284" w:type="dxa"/>
            <w:gridSpan w:val="3"/>
            <w:vAlign w:val="center"/>
          </w:tcPr>
          <w:p>
            <w:pPr>
              <w:pStyle w:val="72"/>
              <w:spacing w:line="276" w:lineRule="auto"/>
              <w:jc w:val="left"/>
              <w:rPr>
                <w:szCs w:val="21"/>
              </w:rPr>
            </w:pPr>
            <w:r>
              <w:rPr>
                <w:szCs w:val="21"/>
              </w:rPr>
              <w:t>注：</w:t>
            </w:r>
            <w:r>
              <w:rPr>
                <w:rFonts w:eastAsia="Times New Roman"/>
                <w:szCs w:val="21"/>
              </w:rPr>
              <w:t>1</w:t>
            </w:r>
            <w:r>
              <w:rPr>
                <w:rFonts w:eastAsiaTheme="minorEastAsia"/>
                <w:szCs w:val="21"/>
              </w:rPr>
              <w:t>、</w:t>
            </w:r>
            <w:r>
              <w:rPr>
                <w:szCs w:val="21"/>
              </w:rPr>
              <w:t>表中所列日用水量是满足人们日常生活基本需要的标准值。在核定城市居民用水量时，各</w:t>
            </w:r>
          </w:p>
          <w:p>
            <w:pPr>
              <w:pStyle w:val="72"/>
              <w:spacing w:line="276" w:lineRule="auto"/>
              <w:jc w:val="left"/>
              <w:rPr>
                <w:szCs w:val="21"/>
              </w:rPr>
            </w:pPr>
            <w:r>
              <w:rPr>
                <w:szCs w:val="21"/>
              </w:rPr>
              <w:t>地应在标准值区间内直接选定。</w:t>
            </w:r>
          </w:p>
          <w:p>
            <w:pPr>
              <w:pStyle w:val="72"/>
              <w:spacing w:line="276" w:lineRule="auto"/>
              <w:jc w:val="left"/>
              <w:rPr>
                <w:szCs w:val="21"/>
              </w:rPr>
            </w:pPr>
            <w:r>
              <w:rPr>
                <w:rFonts w:eastAsia="Times New Roman"/>
                <w:szCs w:val="21"/>
              </w:rPr>
              <w:t>2</w:t>
            </w:r>
            <w:r>
              <w:rPr>
                <w:rFonts w:eastAsiaTheme="minorEastAsia"/>
                <w:szCs w:val="21"/>
              </w:rPr>
              <w:t>、</w:t>
            </w:r>
            <w:r>
              <w:rPr>
                <w:spacing w:val="16"/>
                <w:szCs w:val="21"/>
              </w:rPr>
              <w:t>城市居民生活用</w:t>
            </w:r>
            <w:r>
              <w:rPr>
                <w:spacing w:val="19"/>
                <w:szCs w:val="21"/>
              </w:rPr>
              <w:t>水</w:t>
            </w:r>
            <w:r>
              <w:rPr>
                <w:spacing w:val="16"/>
                <w:szCs w:val="21"/>
              </w:rPr>
              <w:t>考核不应以日作为考</w:t>
            </w:r>
            <w:r>
              <w:rPr>
                <w:spacing w:val="19"/>
                <w:szCs w:val="21"/>
              </w:rPr>
              <w:t>核</w:t>
            </w:r>
            <w:r>
              <w:rPr>
                <w:spacing w:val="16"/>
                <w:szCs w:val="21"/>
              </w:rPr>
              <w:t>周期</w:t>
            </w:r>
            <w:r>
              <w:rPr>
                <w:spacing w:val="-94"/>
                <w:szCs w:val="21"/>
              </w:rPr>
              <w:t>，</w:t>
            </w:r>
            <w:r>
              <w:rPr>
                <w:spacing w:val="16"/>
                <w:szCs w:val="21"/>
              </w:rPr>
              <w:t>日用水量</w:t>
            </w:r>
            <w:r>
              <w:rPr>
                <w:spacing w:val="19"/>
                <w:szCs w:val="21"/>
              </w:rPr>
              <w:t>指</w:t>
            </w:r>
            <w:r>
              <w:rPr>
                <w:spacing w:val="16"/>
                <w:szCs w:val="21"/>
              </w:rPr>
              <w:t>标应</w:t>
            </w:r>
            <w:r>
              <w:rPr>
                <w:szCs w:val="21"/>
              </w:rPr>
              <w:t>作</w:t>
            </w:r>
            <w:r>
              <w:rPr>
                <w:spacing w:val="16"/>
                <w:szCs w:val="21"/>
              </w:rPr>
              <w:t>为月度考核周期计算</w:t>
            </w:r>
            <w:r>
              <w:rPr>
                <w:szCs w:val="21"/>
              </w:rPr>
              <w:t>水量指标的基础值。</w:t>
            </w:r>
          </w:p>
          <w:p>
            <w:pPr>
              <w:pStyle w:val="72"/>
              <w:spacing w:line="276" w:lineRule="auto"/>
              <w:jc w:val="left"/>
              <w:rPr>
                <w:szCs w:val="21"/>
              </w:rPr>
            </w:pPr>
            <w:r>
              <w:rPr>
                <w:rFonts w:eastAsia="Times New Roman"/>
                <w:szCs w:val="21"/>
              </w:rPr>
              <w:t>3</w:t>
            </w:r>
            <w:r>
              <w:rPr>
                <w:rFonts w:eastAsiaTheme="minorEastAsia"/>
                <w:szCs w:val="21"/>
              </w:rPr>
              <w:t>、</w:t>
            </w:r>
            <w:r>
              <w:rPr>
                <w:spacing w:val="16"/>
                <w:szCs w:val="21"/>
              </w:rPr>
              <w:t>指标值中的上限</w:t>
            </w:r>
            <w:r>
              <w:rPr>
                <w:spacing w:val="19"/>
                <w:szCs w:val="21"/>
              </w:rPr>
              <w:t>值</w:t>
            </w:r>
            <w:r>
              <w:rPr>
                <w:spacing w:val="16"/>
                <w:szCs w:val="21"/>
              </w:rPr>
              <w:t>是根据气温变化和用</w:t>
            </w:r>
            <w:r>
              <w:rPr>
                <w:spacing w:val="19"/>
                <w:szCs w:val="21"/>
              </w:rPr>
              <w:t>水</w:t>
            </w:r>
            <w:r>
              <w:rPr>
                <w:spacing w:val="16"/>
                <w:szCs w:val="21"/>
              </w:rPr>
              <w:t>高峰月变化参数确定</w:t>
            </w:r>
            <w:r>
              <w:rPr>
                <w:szCs w:val="21"/>
              </w:rPr>
              <w:t>的</w:t>
            </w:r>
            <w:r>
              <w:rPr>
                <w:spacing w:val="-92"/>
                <w:szCs w:val="21"/>
              </w:rPr>
              <w:t>，</w:t>
            </w:r>
            <w:r>
              <w:rPr>
                <w:spacing w:val="16"/>
                <w:szCs w:val="21"/>
              </w:rPr>
              <w:t>一个年度当中对居民</w:t>
            </w:r>
            <w:r>
              <w:rPr>
                <w:szCs w:val="21"/>
              </w:rPr>
              <w:t xml:space="preserve">用 </w:t>
            </w:r>
            <w:r>
              <w:rPr>
                <w:spacing w:val="15"/>
                <w:szCs w:val="21"/>
              </w:rPr>
              <w:t>水可分段考核，利用区间值进行调整使用。上限值可作为一个年度当中最高月的指标值。</w:t>
            </w:r>
          </w:p>
          <w:p>
            <w:pPr>
              <w:pStyle w:val="72"/>
              <w:spacing w:line="276" w:lineRule="auto"/>
              <w:jc w:val="left"/>
              <w:rPr>
                <w:szCs w:val="21"/>
              </w:rPr>
            </w:pPr>
            <w:r>
              <w:rPr>
                <w:rFonts w:eastAsia="Times New Roman"/>
                <w:szCs w:val="21"/>
              </w:rPr>
              <w:t>4</w:t>
            </w:r>
            <w:r>
              <w:rPr>
                <w:rFonts w:eastAsiaTheme="minorEastAsia"/>
                <w:szCs w:val="21"/>
              </w:rPr>
              <w:t>、</w:t>
            </w:r>
            <w:r>
              <w:rPr>
                <w:szCs w:val="21"/>
              </w:rPr>
              <w:t>家庭用水人口的计算，由各地根据本地实际情况自行制定的管理规则或办法。</w:t>
            </w:r>
          </w:p>
          <w:p>
            <w:pPr>
              <w:pStyle w:val="72"/>
              <w:spacing w:line="276" w:lineRule="auto"/>
              <w:jc w:val="left"/>
              <w:rPr>
                <w:szCs w:val="21"/>
              </w:rPr>
            </w:pPr>
            <w:r>
              <w:rPr>
                <w:rFonts w:eastAsia="Times New Roman"/>
                <w:szCs w:val="21"/>
              </w:rPr>
              <w:t>5</w:t>
            </w:r>
            <w:r>
              <w:rPr>
                <w:rFonts w:eastAsiaTheme="minorEastAsia"/>
                <w:szCs w:val="21"/>
              </w:rPr>
              <w:t>、</w:t>
            </w:r>
            <w:r>
              <w:rPr>
                <w:szCs w:val="21"/>
              </w:rPr>
              <w:t>以本标准为指导，各地视本地情况可制定地方标准或管理办法组织实施。</w:t>
            </w:r>
          </w:p>
        </w:tc>
      </w:tr>
    </w:tbl>
    <w:p>
      <w:pPr>
        <w:pStyle w:val="16"/>
        <w:spacing w:line="360" w:lineRule="auto"/>
        <w:ind w:firstLine="560"/>
        <w:rPr>
          <w:rFonts w:cs="Times New Roman"/>
        </w:rPr>
      </w:pPr>
      <w:r>
        <w:rPr>
          <w:rFonts w:hint="eastAsia" w:cs="Times New Roman"/>
        </w:rPr>
        <w:t>安徽</w:t>
      </w:r>
      <w:r>
        <w:rPr>
          <w:rFonts w:cs="Times New Roman"/>
        </w:rPr>
        <w:t>省设市城市人均居民生活用水量</w:t>
      </w:r>
      <w:r>
        <w:rPr>
          <w:rFonts w:hint="eastAsia" w:cs="Times New Roman"/>
        </w:rPr>
        <w:t>约</w:t>
      </w:r>
      <w:r>
        <w:rPr>
          <w:rFonts w:cs="Times New Roman"/>
        </w:rPr>
        <w:t>为</w:t>
      </w:r>
      <w:r>
        <w:rPr>
          <w:rFonts w:hint="eastAsia" w:cs="Times New Roman"/>
        </w:rPr>
        <w:t>129.20</w:t>
      </w:r>
      <w:r>
        <w:rPr>
          <w:rFonts w:cs="Times New Roman"/>
        </w:rPr>
        <w:t xml:space="preserve"> 升/人.日，淮北市略</w:t>
      </w:r>
      <w:r>
        <w:rPr>
          <w:rFonts w:hint="eastAsia" w:cs="Times New Roman"/>
        </w:rPr>
        <w:t>低</w:t>
      </w:r>
      <w:r>
        <w:rPr>
          <w:rFonts w:cs="Times New Roman"/>
        </w:rPr>
        <w:t>于安徽省平均水平为</w:t>
      </w:r>
      <w:r>
        <w:rPr>
          <w:rFonts w:hint="eastAsia" w:cs="Times New Roman"/>
        </w:rPr>
        <w:t>101.11</w:t>
      </w:r>
      <w:r>
        <w:rPr>
          <w:rFonts w:cs="Times New Roman"/>
        </w:rPr>
        <w:t>升/人.日。</w:t>
      </w:r>
    </w:p>
    <w:p>
      <w:pPr>
        <w:pStyle w:val="16"/>
        <w:spacing w:line="360" w:lineRule="auto"/>
        <w:ind w:firstLine="560"/>
        <w:rPr>
          <w:rFonts w:cs="Times New Roman"/>
        </w:rPr>
      </w:pPr>
      <w:r>
        <w:rPr>
          <w:rFonts w:cs="Times New Roman"/>
        </w:rPr>
        <w:t>根据我国不同城市规模与生活用水量关系表、部分国家和城市人均居民生活用水量统计表及《城市居民生活用水量标准（GB/T50331-2002）》城市居民生活用水量指标表，安徽省城市人均居民生活用水量指标为120~180升/人日， 现状淮北市城区居民生活用水量</w:t>
      </w:r>
      <w:r>
        <w:rPr>
          <w:rFonts w:hint="eastAsia" w:cs="Times New Roman"/>
        </w:rPr>
        <w:t>86.34</w:t>
      </w:r>
      <w:r>
        <w:rPr>
          <w:rFonts w:cs="Times New Roman"/>
        </w:rPr>
        <w:t>~</w:t>
      </w:r>
      <w:r>
        <w:rPr>
          <w:rFonts w:hint="eastAsia" w:cs="Times New Roman"/>
        </w:rPr>
        <w:t>101.11</w:t>
      </w:r>
      <w:r>
        <w:rPr>
          <w:rFonts w:cs="Times New Roman"/>
        </w:rPr>
        <w:t>升/人·日，处于</w:t>
      </w:r>
      <w:r>
        <w:rPr>
          <w:rFonts w:hint="eastAsia" w:cs="Times New Roman"/>
        </w:rPr>
        <w:t>规范</w:t>
      </w:r>
      <w:r>
        <w:rPr>
          <w:rFonts w:cs="Times New Roman"/>
        </w:rPr>
        <w:t>指标</w:t>
      </w:r>
      <w:r>
        <w:rPr>
          <w:rFonts w:hint="eastAsia" w:cs="Times New Roman"/>
        </w:rPr>
        <w:t>以下</w:t>
      </w:r>
      <w:r>
        <w:rPr>
          <w:rFonts w:cs="Times New Roman"/>
        </w:rPr>
        <w:t>。</w:t>
      </w:r>
    </w:p>
    <w:p>
      <w:pPr>
        <w:pStyle w:val="16"/>
        <w:spacing w:line="360" w:lineRule="auto"/>
        <w:ind w:firstLine="560"/>
        <w:rPr>
          <w:rFonts w:cs="Times New Roman"/>
        </w:rPr>
      </w:pPr>
      <w:bookmarkStart w:id="167" w:name="_Toc477942044"/>
      <w:bookmarkStart w:id="168" w:name="_Toc480311585"/>
      <w:bookmarkStart w:id="169" w:name="_Toc478634619"/>
      <w:bookmarkStart w:id="170" w:name="_Toc478634325"/>
      <w:r>
        <w:rPr>
          <w:rFonts w:hint="eastAsia" w:cs="Times New Roman"/>
        </w:rPr>
        <w:t>二</w:t>
      </w:r>
      <w:r>
        <w:rPr>
          <w:rFonts w:cs="Times New Roman"/>
        </w:rPr>
        <w:t>、特种行业用水计量收费率</w:t>
      </w:r>
      <w:bookmarkEnd w:id="167"/>
      <w:bookmarkEnd w:id="168"/>
      <w:bookmarkEnd w:id="169"/>
      <w:bookmarkEnd w:id="170"/>
    </w:p>
    <w:p>
      <w:pPr>
        <w:pStyle w:val="16"/>
        <w:spacing w:line="360" w:lineRule="auto"/>
        <w:ind w:firstLine="560"/>
        <w:rPr>
          <w:rFonts w:cs="Times New Roman"/>
        </w:rPr>
      </w:pPr>
      <w:r>
        <w:rPr>
          <w:rFonts w:cs="Times New Roman"/>
        </w:rPr>
        <w:t xml:space="preserve"> 根据相关单位提供的自备供水和公共供水资料显示，自备供水无特种行业用水，特种行业用水均使用公共供水水源，城区内公共供水的特种用水均采用水表计量，按照收费标准征收水费，收费率为100%。</w:t>
      </w:r>
    </w:p>
    <w:p>
      <w:pPr>
        <w:pStyle w:val="16"/>
        <w:spacing w:line="360" w:lineRule="auto"/>
        <w:ind w:firstLine="560"/>
        <w:rPr>
          <w:rFonts w:cs="Times New Roman"/>
        </w:rPr>
      </w:pPr>
      <w:bookmarkStart w:id="171" w:name="_Toc477942045"/>
      <w:bookmarkStart w:id="172" w:name="_Toc478634620"/>
      <w:bookmarkStart w:id="173" w:name="_Toc480311586"/>
      <w:bookmarkStart w:id="174" w:name="_Toc478634326"/>
      <w:r>
        <w:rPr>
          <w:rFonts w:hint="eastAsia" w:cs="Times New Roman"/>
        </w:rPr>
        <w:t>三</w:t>
      </w:r>
      <w:r>
        <w:rPr>
          <w:rFonts w:cs="Times New Roman"/>
        </w:rPr>
        <w:t>、节水器具普及率</w:t>
      </w:r>
      <w:bookmarkEnd w:id="171"/>
      <w:bookmarkEnd w:id="172"/>
      <w:bookmarkEnd w:id="173"/>
      <w:bookmarkEnd w:id="174"/>
    </w:p>
    <w:p>
      <w:pPr>
        <w:pStyle w:val="16"/>
        <w:spacing w:line="360" w:lineRule="auto"/>
        <w:ind w:firstLine="560"/>
        <w:rPr>
          <w:rFonts w:cs="Times New Roman"/>
        </w:rPr>
      </w:pPr>
      <w:r>
        <w:rPr>
          <w:rFonts w:cs="Times New Roman"/>
        </w:rPr>
        <w:t>淮北市自开展争创节水型城市工作以来，相关部门开展了多次大规模节水器具调查活动，现场走访、调查了机关、学校、医院、企业、酒店、宾馆以及居住小区。主要调查各单位取水用水情况、用水器具和设施、水表计量情况、节水措施和工艺等内容，根据收集的统计资料显示，节水器具普及率基本达到100%。</w:t>
      </w:r>
    </w:p>
    <w:p>
      <w:pPr>
        <w:pStyle w:val="16"/>
        <w:spacing w:line="360" w:lineRule="auto"/>
        <w:ind w:firstLine="560"/>
        <w:rPr>
          <w:rFonts w:cs="Times New Roman"/>
        </w:rPr>
      </w:pPr>
      <w:r>
        <w:rPr>
          <w:rFonts w:cs="Times New Roman"/>
        </w:rPr>
        <w:t>根据前期走访调查可知，现状对淮北市城区范围</w:t>
      </w:r>
      <w:r>
        <w:rPr>
          <w:rFonts w:hint="eastAsia" w:cs="Times New Roman"/>
        </w:rPr>
        <w:t>内部分节水型小区</w:t>
      </w:r>
      <w:r>
        <w:rPr>
          <w:rFonts w:cs="Times New Roman"/>
        </w:rPr>
        <w:t>的节水情况简介如下：</w:t>
      </w:r>
    </w:p>
    <w:p>
      <w:pPr>
        <w:pStyle w:val="16"/>
        <w:numPr>
          <w:ilvl w:val="0"/>
          <w:numId w:val="2"/>
        </w:numPr>
        <w:spacing w:line="360" w:lineRule="auto"/>
        <w:ind w:firstLineChars="0"/>
        <w:rPr>
          <w:rFonts w:cs="Times New Roman"/>
        </w:rPr>
      </w:pPr>
      <w:r>
        <w:rPr>
          <w:rFonts w:hint="eastAsia" w:cs="Times New Roman"/>
        </w:rPr>
        <w:t>淮北市温哥华城 锦河湾小区</w:t>
      </w:r>
    </w:p>
    <w:p>
      <w:pPr>
        <w:pStyle w:val="16"/>
        <w:spacing w:line="360" w:lineRule="auto"/>
        <w:ind w:firstLine="560"/>
        <w:rPr>
          <w:rFonts w:cs="Times New Roman"/>
        </w:rPr>
      </w:pPr>
      <w:r>
        <w:rPr>
          <w:rFonts w:hint="eastAsia" w:cs="Times New Roman"/>
        </w:rPr>
        <w:t>温哥华城 锦河湾北区总建筑面积69903平方，绿化面积32045平方，总占地面积84329平方，总户数460户（其中多层450户，别墅10户）共计42个单元。景观池（雨水坑）一个，锦河湾南区总建筑面积97000平方，绿化面积50425平方，总占地面积112725平方，总户数520户，其中多层445户，联排75户，小区总人数约为4200人 景观池（雨水坑）一个，小区入住率百分之九十六。</w:t>
      </w:r>
    </w:p>
    <w:p>
      <w:pPr>
        <w:pStyle w:val="16"/>
        <w:spacing w:line="360" w:lineRule="auto"/>
        <w:ind w:firstLine="560"/>
        <w:rPr>
          <w:rFonts w:cs="Times New Roman"/>
        </w:rPr>
      </w:pPr>
      <w:r>
        <w:rPr>
          <w:rFonts w:hint="eastAsia" w:cs="Times New Roman"/>
        </w:rPr>
        <w:t>小区物业用水规章制度健全，管理规范；小区用水器具均为节水型器具。</w:t>
      </w:r>
    </w:p>
    <w:p>
      <w:pPr>
        <w:pStyle w:val="16"/>
        <w:numPr>
          <w:ilvl w:val="0"/>
          <w:numId w:val="2"/>
        </w:numPr>
        <w:spacing w:line="360" w:lineRule="auto"/>
        <w:ind w:firstLineChars="0"/>
        <w:rPr>
          <w:rFonts w:cs="Times New Roman"/>
        </w:rPr>
      </w:pPr>
      <w:r>
        <w:rPr>
          <w:rFonts w:hint="eastAsia" w:cs="Times New Roman"/>
        </w:rPr>
        <w:t>淮北市山水文园小区</w:t>
      </w:r>
    </w:p>
    <w:p>
      <w:pPr>
        <w:pStyle w:val="16"/>
        <w:spacing w:line="360" w:lineRule="auto"/>
        <w:ind w:firstLine="560"/>
        <w:rPr>
          <w:rFonts w:cs="Times New Roman"/>
        </w:rPr>
      </w:pPr>
      <w:r>
        <w:rPr>
          <w:rFonts w:hint="eastAsia" w:cs="Times New Roman"/>
        </w:rPr>
        <w:t>山水文园住宅小区，用地面积88496.55㎡，总建筑面积26万㎡（一期714套住宅77738㎡，商业中心10787.52㎡）；一期地下室建筑面积3万㎡；绿地率38%；小区总计住宅17栋，一期高层8栋（二期在建），住宅收楼户达到320户，入住率达到45%，住宅人口数1120人左右，生活用水全部使用自来水。</w:t>
      </w:r>
    </w:p>
    <w:p>
      <w:pPr>
        <w:pStyle w:val="16"/>
        <w:spacing w:line="360" w:lineRule="auto"/>
        <w:ind w:firstLine="560"/>
        <w:rPr>
          <w:rFonts w:cs="Times New Roman"/>
        </w:rPr>
      </w:pPr>
      <w:r>
        <w:rPr>
          <w:rFonts w:hint="eastAsia" w:cs="Times New Roman"/>
        </w:rPr>
        <w:t xml:space="preserve">  节水管理制度齐全；小区内用水器具均为节水型器具；建立饮水机浓水收集池。</w:t>
      </w:r>
    </w:p>
    <w:p>
      <w:pPr>
        <w:pStyle w:val="16"/>
        <w:numPr>
          <w:ilvl w:val="0"/>
          <w:numId w:val="2"/>
        </w:numPr>
        <w:spacing w:line="360" w:lineRule="auto"/>
        <w:ind w:firstLineChars="0"/>
        <w:rPr>
          <w:rFonts w:cs="Times New Roman"/>
        </w:rPr>
      </w:pPr>
      <w:r>
        <w:rPr>
          <w:rFonts w:hint="eastAsia" w:cs="Times New Roman"/>
        </w:rPr>
        <w:t>淮北市现代花园 北苑小区</w:t>
      </w:r>
    </w:p>
    <w:p>
      <w:pPr>
        <w:pStyle w:val="16"/>
        <w:spacing w:line="360" w:lineRule="auto"/>
        <w:ind w:firstLine="560"/>
        <w:rPr>
          <w:rFonts w:cs="Times New Roman"/>
        </w:rPr>
      </w:pPr>
      <w:r>
        <w:rPr>
          <w:rFonts w:hint="eastAsia" w:cs="Times New Roman"/>
        </w:rPr>
        <w:t>现代花园（北苑）小区占地面积约250000平方米，绿化面积85000平方米，小区总计37栋住宅，其中高层2栋，多层35栋，总户数1188户，入住户数950户，入住率80%。住宅人口数3800人左右，生活用水全部使用自来水。</w:t>
      </w:r>
    </w:p>
    <w:p>
      <w:pPr>
        <w:pStyle w:val="16"/>
        <w:spacing w:line="360" w:lineRule="auto"/>
        <w:ind w:firstLine="560"/>
        <w:rPr>
          <w:rFonts w:cs="Times New Roman"/>
        </w:rPr>
      </w:pPr>
      <w:r>
        <w:rPr>
          <w:rFonts w:hint="eastAsia" w:cs="Times New Roman"/>
        </w:rPr>
        <w:t>小区物业管理规章制度健全，管理规范；小区建有雨水收集池。</w:t>
      </w:r>
    </w:p>
    <w:p>
      <w:pPr>
        <w:pStyle w:val="16"/>
        <w:numPr>
          <w:ilvl w:val="0"/>
          <w:numId w:val="2"/>
        </w:numPr>
        <w:spacing w:line="360" w:lineRule="auto"/>
        <w:ind w:firstLineChars="0"/>
        <w:rPr>
          <w:rFonts w:cs="Times New Roman"/>
        </w:rPr>
      </w:pPr>
      <w:r>
        <w:rPr>
          <w:rFonts w:hint="eastAsia" w:cs="Times New Roman"/>
        </w:rPr>
        <w:t>淮北市家天下小区</w:t>
      </w:r>
    </w:p>
    <w:p>
      <w:pPr>
        <w:pStyle w:val="16"/>
        <w:spacing w:line="360" w:lineRule="auto"/>
        <w:ind w:firstLine="560"/>
        <w:rPr>
          <w:rFonts w:cs="Times New Roman"/>
        </w:rPr>
      </w:pPr>
      <w:r>
        <w:rPr>
          <w:rFonts w:hint="eastAsia" w:cs="Times New Roman"/>
        </w:rPr>
        <w:t>家天下住宅小区，用地面积290亩，；绿化面积80亩，绿地率30%；小区总计住宅62栋，多层50，高层12栋，共计2000户，住宅收楼户达到1800户，入住率达到90％，住宅人口数4500人左右，生活用水全部使用自来水。</w:t>
      </w:r>
    </w:p>
    <w:p>
      <w:pPr>
        <w:pStyle w:val="16"/>
        <w:spacing w:line="360" w:lineRule="auto"/>
        <w:ind w:firstLine="560"/>
        <w:rPr>
          <w:rFonts w:cs="Times New Roman"/>
        </w:rPr>
      </w:pPr>
      <w:r>
        <w:rPr>
          <w:rFonts w:hint="eastAsia" w:cs="Times New Roman"/>
        </w:rPr>
        <w:t xml:space="preserve">  小区内用水器具均为节水型器具；小区定期对用水设备、设施巡查和维护； 小区定期对公共区域用水设备、设施巡检。</w:t>
      </w:r>
    </w:p>
    <w:p>
      <w:pPr>
        <w:pStyle w:val="16"/>
        <w:numPr>
          <w:ilvl w:val="0"/>
          <w:numId w:val="2"/>
        </w:numPr>
        <w:spacing w:line="360" w:lineRule="auto"/>
        <w:ind w:firstLineChars="0"/>
        <w:rPr>
          <w:rFonts w:cs="Times New Roman"/>
        </w:rPr>
      </w:pPr>
      <w:r>
        <w:rPr>
          <w:rFonts w:hint="eastAsia" w:cs="Times New Roman"/>
        </w:rPr>
        <w:t>淮北市港利上城国际小区</w:t>
      </w:r>
    </w:p>
    <w:p>
      <w:pPr>
        <w:pStyle w:val="16"/>
        <w:spacing w:line="360" w:lineRule="auto"/>
        <w:ind w:firstLine="560"/>
        <w:rPr>
          <w:rFonts w:cs="Times New Roman"/>
        </w:rPr>
      </w:pPr>
      <w:r>
        <w:rPr>
          <w:rFonts w:hint="eastAsia" w:cs="Times New Roman"/>
        </w:rPr>
        <w:t>淮北港利上城国际小区位于南黎路与泉山路交叉口，隋唐运河影视文化基地对面（南黎路158号）,占地171718m²，总建筑面积约60万m²，项目定位为高起点、高标准、高品位的一流小区，共建有30幢商住楼，总户数4082户，物业用房及中心会所1429m²，社区用房920m²，绿化占有率35.2％。其中小区入住住宅总共5栋，入住人口户数达800户，入住率达20%，住宅人数达2400人左右，生活用水全部使用自来水。</w:t>
      </w:r>
    </w:p>
    <w:p>
      <w:pPr>
        <w:pStyle w:val="16"/>
        <w:spacing w:line="360" w:lineRule="auto"/>
        <w:ind w:firstLine="560"/>
        <w:rPr>
          <w:rFonts w:cs="Times New Roman"/>
        </w:rPr>
      </w:pPr>
      <w:r>
        <w:rPr>
          <w:rFonts w:hint="eastAsia" w:cs="Times New Roman"/>
        </w:rPr>
        <w:t>小区节水措施建设情况；领导重视节水工作，节水管理制度规范；小区建有雨水收集池。</w:t>
      </w:r>
    </w:p>
    <w:p>
      <w:pPr>
        <w:pStyle w:val="16"/>
        <w:numPr>
          <w:ilvl w:val="0"/>
          <w:numId w:val="2"/>
        </w:numPr>
        <w:spacing w:line="360" w:lineRule="auto"/>
        <w:ind w:firstLineChars="0"/>
        <w:rPr>
          <w:rFonts w:cs="Times New Roman"/>
        </w:rPr>
      </w:pPr>
      <w:r>
        <w:rPr>
          <w:rFonts w:hint="eastAsia" w:cs="Times New Roman"/>
        </w:rPr>
        <w:t>淮北市翡翠岛小区</w:t>
      </w:r>
    </w:p>
    <w:p>
      <w:pPr>
        <w:pStyle w:val="16"/>
        <w:spacing w:line="360" w:lineRule="auto"/>
        <w:ind w:firstLine="560"/>
        <w:rPr>
          <w:rFonts w:cs="Times New Roman"/>
        </w:rPr>
      </w:pPr>
      <w:r>
        <w:rPr>
          <w:rFonts w:hint="eastAsia" w:cs="Times New Roman"/>
        </w:rPr>
        <w:t>翡翠岛住宅小区，用地面积196375.72㎡，总建筑面积137014.29万㎡（962套住宅134287.86㎡，商业中心1526.43㎡）；一期地下室建筑面积1200㎡；绿地率41%；小区总计住宅962户，（高层2栋，多层27栋，别墅31栋，三期在建），住宅收楼户达到954户，入住率达到75%，住宅人口数2880人左右，生活用水全部使用自来水。</w:t>
      </w:r>
    </w:p>
    <w:p>
      <w:pPr>
        <w:pStyle w:val="16"/>
        <w:spacing w:line="360" w:lineRule="auto"/>
        <w:ind w:firstLine="560"/>
        <w:rPr>
          <w:rFonts w:cs="Times New Roman"/>
        </w:rPr>
      </w:pPr>
      <w:r>
        <w:rPr>
          <w:rFonts w:hint="eastAsia" w:cs="Times New Roman"/>
        </w:rPr>
        <w:t>小区物业用水管理规章制度健全，管理规范；小区定期对用水设备、设施巡检和维护；小区内所有用水器具均为节水型器具。</w:t>
      </w:r>
    </w:p>
    <w:p>
      <w:pPr>
        <w:pStyle w:val="16"/>
        <w:numPr>
          <w:ilvl w:val="0"/>
          <w:numId w:val="2"/>
        </w:numPr>
        <w:spacing w:line="360" w:lineRule="auto"/>
        <w:ind w:firstLineChars="0"/>
        <w:rPr>
          <w:rFonts w:cs="Times New Roman"/>
        </w:rPr>
      </w:pPr>
      <w:r>
        <w:rPr>
          <w:rFonts w:hint="eastAsia" w:cs="Times New Roman"/>
        </w:rPr>
        <w:t>淮北市首府小区</w:t>
      </w:r>
    </w:p>
    <w:p>
      <w:pPr>
        <w:pStyle w:val="16"/>
        <w:spacing w:line="360" w:lineRule="auto"/>
        <w:ind w:firstLine="560"/>
        <w:rPr>
          <w:rFonts w:cs="Times New Roman"/>
        </w:rPr>
      </w:pPr>
      <w:r>
        <w:rPr>
          <w:rFonts w:hint="eastAsia" w:cs="Times New Roman"/>
        </w:rPr>
        <w:t>首府住宅小区，用地面积145188㎡，总建筑面积348147㎡含2164套住宅270509.26㎡ ；地下建筑面积77637.94㎡；绿化面积50815㎡，绿地率35%；小区总计住宅56栋，高层19栋，别墅37栋，住宅收楼户达到1320户，入住率达到61%，目前住宅人口数4224人左右，生活用水全部使用自来水。</w:t>
      </w:r>
    </w:p>
    <w:p>
      <w:pPr>
        <w:pStyle w:val="16"/>
        <w:spacing w:line="360" w:lineRule="auto"/>
        <w:ind w:firstLine="560"/>
        <w:rPr>
          <w:rFonts w:cs="Times New Roman"/>
        </w:rPr>
      </w:pPr>
      <w:r>
        <w:rPr>
          <w:rFonts w:hint="eastAsia" w:cs="Times New Roman"/>
        </w:rPr>
        <w:t>小区领导重视节水工作，节水管理制度齐全；小区注重节水宣传工作；小区2014年投入63万元建立雨水收集系统。</w:t>
      </w:r>
    </w:p>
    <w:p>
      <w:pPr>
        <w:pStyle w:val="16"/>
        <w:numPr>
          <w:ilvl w:val="0"/>
          <w:numId w:val="2"/>
        </w:numPr>
        <w:spacing w:line="360" w:lineRule="auto"/>
        <w:ind w:firstLineChars="0"/>
        <w:rPr>
          <w:rFonts w:cs="Times New Roman"/>
        </w:rPr>
      </w:pPr>
      <w:r>
        <w:rPr>
          <w:rFonts w:hint="eastAsia" w:cs="Times New Roman"/>
        </w:rPr>
        <w:t>淮北市锦绣和庄</w:t>
      </w:r>
    </w:p>
    <w:p>
      <w:pPr>
        <w:pStyle w:val="16"/>
        <w:spacing w:line="360" w:lineRule="auto"/>
        <w:ind w:firstLine="560"/>
        <w:rPr>
          <w:rFonts w:cs="Times New Roman"/>
        </w:rPr>
      </w:pPr>
      <w:r>
        <w:rPr>
          <w:rFonts w:hint="eastAsia" w:cs="Times New Roman"/>
        </w:rPr>
        <w:t>锦绣和庄住宅小区，用地面积1113500㎡，总建筑面积255372㎡，含住宅1977套221191.86㎡ ；地下车库面积24042㎡；景观水池面积1070㎡；绿化面积40632㎡，绿地率35.8%；小区总计住宅23栋，高层23栋，住宅收楼户约达到1380户，入住率约达到70%，目前住宅人口数约4140人左右，生活用水全部使用自来水。</w:t>
      </w:r>
    </w:p>
    <w:p>
      <w:pPr>
        <w:pStyle w:val="16"/>
        <w:spacing w:line="360" w:lineRule="auto"/>
        <w:ind w:firstLine="560"/>
        <w:rPr>
          <w:rFonts w:cs="Times New Roman"/>
        </w:rPr>
      </w:pPr>
      <w:r>
        <w:rPr>
          <w:rFonts w:hint="eastAsia" w:cs="Times New Roman"/>
        </w:rPr>
        <w:t>小区用水器具均为节水型器具；小区定期对公共场所用水设备、设施巡检和维护。</w:t>
      </w:r>
    </w:p>
    <w:p>
      <w:pPr>
        <w:pStyle w:val="16"/>
        <w:numPr>
          <w:ilvl w:val="0"/>
          <w:numId w:val="2"/>
        </w:numPr>
        <w:spacing w:line="360" w:lineRule="auto"/>
        <w:ind w:firstLineChars="0"/>
        <w:rPr>
          <w:rFonts w:cs="Times New Roman"/>
        </w:rPr>
      </w:pPr>
      <w:r>
        <w:rPr>
          <w:rFonts w:hint="eastAsia" w:cs="Times New Roman"/>
        </w:rPr>
        <w:t>淮北市万马相山庭院小区</w:t>
      </w:r>
    </w:p>
    <w:p>
      <w:pPr>
        <w:pStyle w:val="16"/>
        <w:spacing w:line="360" w:lineRule="auto"/>
        <w:ind w:firstLine="560"/>
        <w:rPr>
          <w:rFonts w:cs="Times New Roman"/>
        </w:rPr>
      </w:pPr>
      <w:r>
        <w:rPr>
          <w:rFonts w:hint="eastAsia" w:cs="Times New Roman"/>
        </w:rPr>
        <w:t>万马相山庭院占地面积198467.4平方米（约298亩）总建筑面积255017平方米，计82栋（其中高层4栋，别墅8栋，多层70栋）220个单元，绿化率达40%以上，园区内停车位504个（其中地面停车位396个，地下停车位108个商铺80户，单元门162个）总户数1872户，人口7488人左右。入住率在80%左右。居民生活用水全部使用自来水。</w:t>
      </w:r>
    </w:p>
    <w:p>
      <w:pPr>
        <w:pStyle w:val="16"/>
        <w:spacing w:line="360" w:lineRule="auto"/>
        <w:ind w:firstLine="560"/>
        <w:rPr>
          <w:rFonts w:cs="Times New Roman"/>
        </w:rPr>
      </w:pPr>
      <w:r>
        <w:rPr>
          <w:rFonts w:hint="eastAsia" w:cs="Times New Roman"/>
        </w:rPr>
        <w:t>小区采取主要节水措施；小区内所有用水器具均为节水型；小区注重节水宣传，在宣传栏上张贴节水海报和标语。</w:t>
      </w:r>
    </w:p>
    <w:p>
      <w:pPr>
        <w:pStyle w:val="16"/>
        <w:numPr>
          <w:ilvl w:val="0"/>
          <w:numId w:val="2"/>
        </w:numPr>
        <w:spacing w:line="360" w:lineRule="auto"/>
        <w:ind w:firstLineChars="0"/>
        <w:rPr>
          <w:rFonts w:cs="Times New Roman"/>
        </w:rPr>
      </w:pPr>
      <w:r>
        <w:rPr>
          <w:rFonts w:hint="eastAsia" w:cs="Times New Roman"/>
        </w:rPr>
        <w:t>淮北市华佳梅苑小区</w:t>
      </w:r>
    </w:p>
    <w:p>
      <w:pPr>
        <w:pStyle w:val="16"/>
        <w:spacing w:line="360" w:lineRule="auto"/>
        <w:ind w:firstLine="560"/>
        <w:rPr>
          <w:rFonts w:cs="Times New Roman"/>
        </w:rPr>
      </w:pPr>
      <w:r>
        <w:rPr>
          <w:rFonts w:hint="eastAsia" w:cs="Times New Roman"/>
        </w:rPr>
        <w:t>华佳梅苑小区总占地151800平方，绿化42240平方。共计64栋楼，其中多层61栋,高层3栋,入住总住户1750户。入住率达到93％，住宅人口数5000人左右，生活用水全部使用自来水。</w:t>
      </w:r>
    </w:p>
    <w:p>
      <w:pPr>
        <w:pStyle w:val="16"/>
        <w:spacing w:line="360" w:lineRule="auto"/>
        <w:ind w:firstLine="560"/>
        <w:rPr>
          <w:rFonts w:cs="Times New Roman"/>
        </w:rPr>
      </w:pPr>
      <w:r>
        <w:rPr>
          <w:rFonts w:hint="eastAsia" w:cs="Times New Roman"/>
        </w:rPr>
        <w:t>小区领导重视节水工作，节水管理制度齐全；小区内所有用水器具均为节水型器具；小区注重节水宣传工作。</w:t>
      </w:r>
    </w:p>
    <w:p>
      <w:pPr>
        <w:pStyle w:val="16"/>
        <w:numPr>
          <w:ilvl w:val="0"/>
          <w:numId w:val="2"/>
        </w:numPr>
        <w:spacing w:line="360" w:lineRule="auto"/>
        <w:ind w:firstLineChars="0"/>
        <w:rPr>
          <w:rFonts w:cs="Times New Roman"/>
        </w:rPr>
      </w:pPr>
      <w:r>
        <w:rPr>
          <w:rFonts w:hint="eastAsia" w:cs="Times New Roman"/>
        </w:rPr>
        <w:t>淮北市中央花城小区</w:t>
      </w:r>
    </w:p>
    <w:p>
      <w:pPr>
        <w:pStyle w:val="16"/>
        <w:spacing w:line="360" w:lineRule="auto"/>
        <w:ind w:firstLine="560"/>
        <w:rPr>
          <w:rFonts w:cs="Times New Roman"/>
        </w:rPr>
      </w:pPr>
      <w:r>
        <w:rPr>
          <w:rFonts w:hint="eastAsia" w:cs="Times New Roman"/>
        </w:rPr>
        <w:t>中央花城住宅小区，用地面积65566 ㎡，总建筑面积25.6万㎡；绿化面积约1200㎡，绿地率20%；小区总计高层住宅22栋，写字楼1栋，住宅总户数为1757 户，入住率达到80%以上，住宅人口数约4521人左右，生活用水全部使用自来水。</w:t>
      </w:r>
    </w:p>
    <w:p>
      <w:pPr>
        <w:pStyle w:val="16"/>
        <w:spacing w:line="360" w:lineRule="auto"/>
        <w:ind w:firstLine="560"/>
        <w:rPr>
          <w:rFonts w:cs="Times New Roman"/>
        </w:rPr>
      </w:pPr>
      <w:r>
        <w:rPr>
          <w:rFonts w:hint="eastAsia" w:cs="Times New Roman"/>
        </w:rPr>
        <w:t>节水管理制度齐全，定期对小区公共用水设备巡检和维护；小区注重节水宣传工作；小区用水器具均为节水型器具。</w:t>
      </w:r>
    </w:p>
    <w:p>
      <w:pPr>
        <w:pStyle w:val="16"/>
        <w:numPr>
          <w:ilvl w:val="0"/>
          <w:numId w:val="2"/>
        </w:numPr>
        <w:spacing w:line="360" w:lineRule="auto"/>
        <w:ind w:firstLineChars="0"/>
        <w:rPr>
          <w:rFonts w:cs="Times New Roman"/>
        </w:rPr>
      </w:pPr>
      <w:r>
        <w:rPr>
          <w:rFonts w:hint="eastAsia" w:cs="Times New Roman"/>
        </w:rPr>
        <w:t>淮北市濉河花园小区</w:t>
      </w:r>
    </w:p>
    <w:p>
      <w:pPr>
        <w:pStyle w:val="16"/>
        <w:spacing w:line="360" w:lineRule="auto"/>
        <w:ind w:firstLine="560"/>
        <w:rPr>
          <w:rFonts w:cs="Times New Roman"/>
        </w:rPr>
      </w:pPr>
      <w:r>
        <w:rPr>
          <w:rFonts w:hint="eastAsia" w:cs="Times New Roman"/>
        </w:rPr>
        <w:t>濉河花园住宅小区，占地面积142000㎡，建筑面积343856m²，含3315套住宅面积 ，绿化面积40000㎡，绿地率30%，小区总计住宅楼96栋，（高层17栋，多层79栋），总户数3315户，住宅收楼户达到2200户，入住率达到66%，目前住宅人口数7128人，生活用水全部使用自来水。</w:t>
      </w:r>
    </w:p>
    <w:p>
      <w:pPr>
        <w:pStyle w:val="16"/>
        <w:spacing w:line="360" w:lineRule="auto"/>
        <w:ind w:firstLine="560"/>
        <w:rPr>
          <w:rFonts w:cs="Times New Roman"/>
        </w:rPr>
      </w:pPr>
      <w:r>
        <w:rPr>
          <w:rFonts w:hint="eastAsia" w:cs="Times New Roman"/>
        </w:rPr>
        <w:t>小区领导重视节水工作，节水管理制度齐全；小区用水器具均为节水型器具；小区注重节水宣传工作。</w:t>
      </w:r>
    </w:p>
    <w:p>
      <w:pPr>
        <w:pStyle w:val="16"/>
        <w:numPr>
          <w:ilvl w:val="0"/>
          <w:numId w:val="2"/>
        </w:numPr>
        <w:spacing w:line="360" w:lineRule="auto"/>
        <w:ind w:firstLineChars="0"/>
        <w:rPr>
          <w:rFonts w:cs="Times New Roman"/>
        </w:rPr>
      </w:pPr>
      <w:r>
        <w:rPr>
          <w:rFonts w:hint="eastAsia" w:cs="Times New Roman"/>
        </w:rPr>
        <w:t>淮北市龙溪水岸小区</w:t>
      </w:r>
    </w:p>
    <w:p>
      <w:pPr>
        <w:pStyle w:val="16"/>
        <w:spacing w:line="360" w:lineRule="auto"/>
        <w:ind w:firstLine="560"/>
        <w:rPr>
          <w:rFonts w:cs="Times New Roman"/>
        </w:rPr>
      </w:pPr>
      <w:r>
        <w:rPr>
          <w:rFonts w:hint="eastAsia" w:cs="Times New Roman"/>
        </w:rPr>
        <w:t>龙溪水岸住宅小区，用地面积约290000㎡，商业建筑面积：53352㎡；景观水池占地面积：1200㎡；绿化面积177817㎡，绿地率53%；小区总计住宅77栋，小高层19栋，多层58栋，住宅总楼户达到2404户，入住率达到78%，住宅人口数约6000人左右，生活用水全部使用自来水。</w:t>
      </w:r>
    </w:p>
    <w:p>
      <w:pPr>
        <w:pStyle w:val="16"/>
        <w:spacing w:line="360" w:lineRule="auto"/>
        <w:ind w:firstLine="560"/>
        <w:rPr>
          <w:rFonts w:cs="Times New Roman"/>
        </w:rPr>
      </w:pPr>
      <w:r>
        <w:rPr>
          <w:rFonts w:hint="eastAsia" w:cs="Times New Roman"/>
        </w:rPr>
        <w:t>小区物业用水管理规章制度健全，管理规范；小区用水器具均为节水型器具。</w:t>
      </w:r>
    </w:p>
    <w:p>
      <w:pPr>
        <w:pStyle w:val="16"/>
        <w:numPr>
          <w:ilvl w:val="0"/>
          <w:numId w:val="2"/>
        </w:numPr>
        <w:spacing w:line="360" w:lineRule="auto"/>
        <w:ind w:firstLineChars="0"/>
        <w:rPr>
          <w:rFonts w:cs="Times New Roman"/>
        </w:rPr>
      </w:pPr>
      <w:r>
        <w:rPr>
          <w:rFonts w:hint="eastAsia" w:cs="Times New Roman"/>
        </w:rPr>
        <w:t>淮北滨湖新城小区</w:t>
      </w:r>
    </w:p>
    <w:p>
      <w:pPr>
        <w:pStyle w:val="16"/>
        <w:spacing w:line="360" w:lineRule="auto"/>
        <w:ind w:firstLine="560"/>
        <w:rPr>
          <w:rFonts w:cs="Times New Roman"/>
        </w:rPr>
      </w:pPr>
      <w:r>
        <w:rPr>
          <w:rFonts w:hint="eastAsia" w:cs="Times New Roman"/>
        </w:rPr>
        <w:t>滨湖新城小区，总建筑面积15万㎡，小区总计住宅41栋，小高层3栋，高层38栋，住户1137户，入住率达到75%，绿化面积45000㎡，公厕面积75㎡，住宅人口数达到3500人左右，生活用水全部使用自来水。</w:t>
      </w:r>
    </w:p>
    <w:p>
      <w:pPr>
        <w:pStyle w:val="16"/>
        <w:spacing w:line="360" w:lineRule="auto"/>
        <w:ind w:firstLine="560"/>
        <w:rPr>
          <w:rFonts w:cs="Times New Roman"/>
        </w:rPr>
      </w:pPr>
      <w:r>
        <w:rPr>
          <w:rFonts w:hint="eastAsia" w:cs="Times New Roman"/>
        </w:rPr>
        <w:t>小区领导重视节水工作，节水管理制度齐全；小区内用水器具均为节水型器具；小区建有雨水收集池。</w:t>
      </w:r>
    </w:p>
    <w:p>
      <w:pPr>
        <w:pStyle w:val="16"/>
        <w:numPr>
          <w:ilvl w:val="0"/>
          <w:numId w:val="2"/>
        </w:numPr>
        <w:spacing w:line="360" w:lineRule="auto"/>
        <w:ind w:firstLineChars="0"/>
        <w:rPr>
          <w:rFonts w:cs="Times New Roman"/>
        </w:rPr>
      </w:pPr>
      <w:r>
        <w:rPr>
          <w:rFonts w:hint="eastAsia" w:cs="Times New Roman"/>
        </w:rPr>
        <w:t>淮北市静安  观澜郡小区</w:t>
      </w:r>
    </w:p>
    <w:p>
      <w:pPr>
        <w:pStyle w:val="16"/>
        <w:spacing w:line="360" w:lineRule="auto"/>
        <w:ind w:firstLine="560"/>
        <w:rPr>
          <w:rFonts w:cs="Times New Roman"/>
        </w:rPr>
      </w:pPr>
      <w:r>
        <w:rPr>
          <w:rFonts w:hint="eastAsia" w:cs="Times New Roman"/>
        </w:rPr>
        <w:t>静安观澜郡小区，用地面积91512㎡；绿化面积54907㎡，绿地率30%；小区总计住宅31栋，高层2栋，住宅收楼户达到821户，已经入住的430户左右，入住率达到43%。住宅人口数1560人左右，生活用水全部使用自来水。</w:t>
      </w:r>
    </w:p>
    <w:p>
      <w:pPr>
        <w:pStyle w:val="16"/>
        <w:spacing w:line="360" w:lineRule="auto"/>
        <w:ind w:firstLine="560"/>
        <w:rPr>
          <w:rFonts w:cs="Times New Roman"/>
        </w:rPr>
      </w:pPr>
      <w:r>
        <w:rPr>
          <w:rFonts w:hint="eastAsia" w:cs="Times New Roman"/>
        </w:rPr>
        <w:t>小区采取主要节水措施；小区用水器具均为节水型器具；小区建有雨水收集池。</w:t>
      </w:r>
    </w:p>
    <w:p>
      <w:pPr>
        <w:pStyle w:val="16"/>
        <w:spacing w:line="360" w:lineRule="auto"/>
        <w:ind w:firstLine="560"/>
        <w:rPr>
          <w:rFonts w:cs="Times New Roman"/>
        </w:rPr>
      </w:pPr>
    </w:p>
    <w:p>
      <w:pPr>
        <w:pStyle w:val="16"/>
        <w:spacing w:line="360" w:lineRule="auto"/>
        <w:ind w:firstLine="560"/>
        <w:rPr>
          <w:rFonts w:cs="Times New Roman"/>
        </w:rPr>
      </w:pPr>
    </w:p>
    <w:p>
      <w:pPr>
        <w:pStyle w:val="16"/>
        <w:spacing w:line="360" w:lineRule="auto"/>
        <w:ind w:left="920" w:firstLine="0" w:firstLineChars="0"/>
        <w:rPr>
          <w:rFonts w:cs="Times New Roman"/>
        </w:rPr>
      </w:pPr>
    </w:p>
    <w:p>
      <w:pPr>
        <w:pStyle w:val="16"/>
        <w:spacing w:line="360" w:lineRule="auto"/>
        <w:ind w:firstLine="560"/>
        <w:rPr>
          <w:rFonts w:cs="Times New Roman"/>
        </w:rPr>
      </w:pPr>
    </w:p>
    <w:p>
      <w:pPr>
        <w:pStyle w:val="5"/>
        <w:spacing w:before="120"/>
      </w:pPr>
      <w:bookmarkStart w:id="175" w:name="_Toc478634327"/>
      <w:bookmarkStart w:id="176" w:name="_Toc8032557"/>
      <w:r>
        <w:rPr>
          <w:rFonts w:hint="eastAsia"/>
        </w:rPr>
        <w:t>2.7.2.2</w:t>
      </w:r>
      <w:r>
        <w:t xml:space="preserve"> 居民生活节水潜力分析</w:t>
      </w:r>
      <w:bookmarkEnd w:id="175"/>
      <w:bookmarkEnd w:id="176"/>
    </w:p>
    <w:p>
      <w:pPr>
        <w:pStyle w:val="16"/>
        <w:spacing w:line="360" w:lineRule="auto"/>
        <w:ind w:firstLine="560"/>
        <w:rPr>
          <w:rFonts w:cs="Times New Roman"/>
        </w:rPr>
      </w:pPr>
      <w:r>
        <w:rPr>
          <w:rFonts w:cs="Times New Roman"/>
        </w:rPr>
        <w:t>1、现状居民生活用水量指标为</w:t>
      </w:r>
      <w:r>
        <w:rPr>
          <w:rFonts w:hint="eastAsia" w:cs="Times New Roman"/>
        </w:rPr>
        <w:t>86.34</w:t>
      </w:r>
      <w:r>
        <w:rPr>
          <w:rFonts w:cs="Times New Roman"/>
        </w:rPr>
        <w:t>~</w:t>
      </w:r>
      <w:r>
        <w:rPr>
          <w:rFonts w:hint="eastAsia" w:cs="Times New Roman"/>
        </w:rPr>
        <w:t>101.11</w:t>
      </w:r>
      <w:r>
        <w:rPr>
          <w:rFonts w:cs="Times New Roman"/>
        </w:rPr>
        <w:t xml:space="preserve"> 升/人·日，处于城市居 民生活用水量标准表要求的 120~180 升/人.日</w:t>
      </w:r>
      <w:r>
        <w:rPr>
          <w:rFonts w:hint="eastAsia" w:cs="Times New Roman"/>
        </w:rPr>
        <w:t>以下</w:t>
      </w:r>
      <w:r>
        <w:rPr>
          <w:rFonts w:cs="Times New Roman"/>
        </w:rPr>
        <w:t>，</w:t>
      </w:r>
      <w:r>
        <w:rPr>
          <w:rFonts w:hint="eastAsia" w:cs="Times New Roman"/>
        </w:rPr>
        <w:t>已</w:t>
      </w:r>
      <w:r>
        <w:rPr>
          <w:rFonts w:cs="Times New Roman"/>
        </w:rPr>
        <w:t>达到居民生活节水的目标。生活小区节水型器具的普及率100%，居民生活用水较为节省。</w:t>
      </w:r>
      <w:r>
        <w:rPr>
          <w:rFonts w:hint="eastAsia" w:cs="Times New Roman"/>
        </w:rPr>
        <w:t>节水型小区创建工作刚刚起步，</w:t>
      </w:r>
      <w:r>
        <w:rPr>
          <w:rFonts w:cs="Times New Roman"/>
        </w:rPr>
        <w:t>省级节水型居住小区的数量有提升的潜力。</w:t>
      </w:r>
    </w:p>
    <w:p>
      <w:pPr>
        <w:pStyle w:val="16"/>
        <w:spacing w:line="360" w:lineRule="auto"/>
        <w:ind w:firstLine="560"/>
        <w:rPr>
          <w:rFonts w:cs="Times New Roman"/>
        </w:rPr>
      </w:pPr>
      <w:r>
        <w:rPr>
          <w:rFonts w:cs="Times New Roman"/>
        </w:rPr>
        <w:t>2、现状统计的特种用水行业均为公共供水范围内，自备供水主要集中在工业企业。 根据统计资料显示特种行业用水现均在</w:t>
      </w:r>
      <w:r>
        <w:rPr>
          <w:rFonts w:hint="eastAsia" w:cs="Times New Roman"/>
        </w:rPr>
        <w:t>自来水公</w:t>
      </w:r>
      <w:r>
        <w:rPr>
          <w:rFonts w:cs="Times New Roman"/>
        </w:rPr>
        <w:t>司的管理范围内，收费率达到 100%。</w:t>
      </w:r>
    </w:p>
    <w:p>
      <w:pPr>
        <w:pStyle w:val="16"/>
        <w:spacing w:line="360" w:lineRule="auto"/>
        <w:ind w:firstLine="560"/>
        <w:rPr>
          <w:rFonts w:cs="Times New Roman"/>
        </w:rPr>
      </w:pPr>
      <w:r>
        <w:rPr>
          <w:rFonts w:cs="Times New Roman"/>
        </w:rPr>
        <w:t>3、根据相关单位提供的淮北市城区的节水器具调查资料，节水器具使用率可达 100%，需进一步加大对节水器具使用的监控力度，确保长期保持。但新兴节水器具的推广使用仍有提升的潜力。</w:t>
      </w:r>
    </w:p>
    <w:p>
      <w:pPr>
        <w:pStyle w:val="4"/>
        <w:spacing w:line="360" w:lineRule="auto"/>
        <w:rPr>
          <w:rFonts w:cs="Times New Roman"/>
        </w:rPr>
      </w:pPr>
      <w:bookmarkStart w:id="177" w:name="_Toc8032558"/>
      <w:bookmarkStart w:id="178" w:name="_Toc478634328"/>
      <w:r>
        <w:rPr>
          <w:rFonts w:hint="eastAsia" w:cs="Times New Roman"/>
        </w:rPr>
        <w:t>2.7.3</w:t>
      </w:r>
      <w:r>
        <w:rPr>
          <w:rFonts w:cs="Times New Roman"/>
        </w:rPr>
        <w:t xml:space="preserve"> 公共用水节水现状及潜力分析</w:t>
      </w:r>
      <w:bookmarkEnd w:id="177"/>
      <w:bookmarkEnd w:id="178"/>
    </w:p>
    <w:p>
      <w:pPr>
        <w:pStyle w:val="5"/>
        <w:spacing w:before="120"/>
      </w:pPr>
      <w:bookmarkStart w:id="179" w:name="_Toc8032559"/>
      <w:bookmarkStart w:id="180" w:name="_Toc478634329"/>
      <w:r>
        <w:rPr>
          <w:rFonts w:hint="eastAsia"/>
        </w:rPr>
        <w:t>2.7.3.1</w:t>
      </w:r>
      <w:r>
        <w:t xml:space="preserve"> 公共用水节水现状</w:t>
      </w:r>
      <w:bookmarkEnd w:id="179"/>
      <w:bookmarkEnd w:id="180"/>
    </w:p>
    <w:p>
      <w:pPr>
        <w:pStyle w:val="16"/>
        <w:spacing w:line="360" w:lineRule="auto"/>
        <w:ind w:firstLine="560"/>
        <w:rPr>
          <w:rFonts w:cs="Times New Roman"/>
        </w:rPr>
      </w:pPr>
      <w:r>
        <w:drawing>
          <wp:inline distT="0" distB="0" distL="0" distR="0">
            <wp:extent cx="6070600" cy="2129790"/>
            <wp:effectExtent l="19050" t="0" r="5751" b="0"/>
            <wp:docPr id="205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图片 13"/>
                    <pic:cNvPicPr>
                      <a:picLocks noChangeAspect="1" noChangeArrowheads="1"/>
                    </pic:cNvPicPr>
                  </pic:nvPicPr>
                  <pic:blipFill>
                    <a:blip r:embed="rId46"/>
                    <a:srcRect/>
                    <a:stretch>
                      <a:fillRect/>
                    </a:stretch>
                  </pic:blipFill>
                  <pic:spPr>
                    <a:xfrm>
                      <a:off x="0" y="0"/>
                      <a:ext cx="6078003" cy="2132694"/>
                    </a:xfrm>
                    <a:prstGeom prst="rect">
                      <a:avLst/>
                    </a:prstGeom>
                    <a:noFill/>
                    <a:ln w="9525">
                      <a:noFill/>
                      <a:miter lim="800000"/>
                      <a:headEnd/>
                      <a:tailEnd/>
                    </a:ln>
                  </pic:spPr>
                </pic:pic>
              </a:graphicData>
            </a:graphic>
          </wp:inline>
        </w:drawing>
      </w:r>
    </w:p>
    <w:p>
      <w:pPr>
        <w:pStyle w:val="16"/>
        <w:spacing w:line="360" w:lineRule="auto"/>
        <w:ind w:firstLine="560"/>
        <w:rPr>
          <w:rFonts w:cs="Times New Roman"/>
        </w:rPr>
      </w:pPr>
      <w:r>
        <w:rPr>
          <w:rFonts w:cs="Times New Roman"/>
        </w:rPr>
        <w:t>城市公共用水是指各类公共建筑、中小幼等用水。根据统计资料可以看出：淮北市201</w:t>
      </w:r>
      <w:r>
        <w:rPr>
          <w:rFonts w:hint="eastAsia" w:cs="Times New Roman"/>
        </w:rPr>
        <w:t>3</w:t>
      </w:r>
      <w:r>
        <w:rPr>
          <w:rFonts w:cs="Times New Roman"/>
        </w:rPr>
        <w:t>~201</w:t>
      </w:r>
      <w:r>
        <w:rPr>
          <w:rFonts w:hint="eastAsia" w:cs="Times New Roman"/>
        </w:rPr>
        <w:t>7</w:t>
      </w:r>
      <w:r>
        <w:rPr>
          <w:rFonts w:cs="Times New Roman"/>
        </w:rPr>
        <w:t xml:space="preserve">年公共生活用水占总供水总量的 </w:t>
      </w:r>
      <w:r>
        <w:rPr>
          <w:rFonts w:hint="eastAsia" w:cs="Times New Roman"/>
        </w:rPr>
        <w:t>5.1</w:t>
      </w:r>
      <w:r>
        <w:rPr>
          <w:rFonts w:cs="Times New Roman"/>
        </w:rPr>
        <w:t>%~</w:t>
      </w:r>
      <w:r>
        <w:rPr>
          <w:rFonts w:hint="eastAsia" w:cs="Times New Roman"/>
        </w:rPr>
        <w:t>6.32</w:t>
      </w:r>
      <w:r>
        <w:rPr>
          <w:rFonts w:cs="Times New Roman"/>
        </w:rPr>
        <w:t>%， 比例从201</w:t>
      </w:r>
      <w:r>
        <w:rPr>
          <w:rFonts w:hint="eastAsia" w:cs="Times New Roman"/>
        </w:rPr>
        <w:t>3</w:t>
      </w:r>
      <w:r>
        <w:rPr>
          <w:rFonts w:cs="Times New Roman"/>
        </w:rPr>
        <w:t>年的</w:t>
      </w:r>
      <w:r>
        <w:rPr>
          <w:rFonts w:hint="eastAsia" w:cs="Times New Roman"/>
        </w:rPr>
        <w:t>5.1</w:t>
      </w:r>
      <w:r>
        <w:rPr>
          <w:rFonts w:cs="Times New Roman"/>
        </w:rPr>
        <w:t>%</w:t>
      </w:r>
      <w:r>
        <w:rPr>
          <w:rFonts w:hint="eastAsia" w:cs="Times New Roman"/>
        </w:rPr>
        <w:t>增长到2017年的6.32</w:t>
      </w:r>
      <w:r>
        <w:rPr>
          <w:rFonts w:cs="Times New Roman"/>
        </w:rPr>
        <w:t>%</w:t>
      </w:r>
      <w:r>
        <w:rPr>
          <w:rFonts w:hint="eastAsia" w:cs="Times New Roman"/>
        </w:rPr>
        <w:t>，并有逐步增长的趋势</w:t>
      </w:r>
      <w:r>
        <w:rPr>
          <w:rFonts w:cs="Times New Roman"/>
        </w:rPr>
        <w:t>。</w:t>
      </w:r>
    </w:p>
    <w:p>
      <w:pPr>
        <w:pStyle w:val="16"/>
        <w:spacing w:line="360" w:lineRule="auto"/>
        <w:ind w:firstLine="560"/>
        <w:rPr>
          <w:rFonts w:cs="Times New Roman"/>
        </w:rPr>
      </w:pPr>
      <w:r>
        <w:rPr>
          <w:rFonts w:cs="Times New Roman"/>
        </w:rPr>
        <w:t>公共服务用水量中公共供水量基本保持在2</w:t>
      </w:r>
      <w:r>
        <w:rPr>
          <w:rFonts w:hint="eastAsia" w:cs="Times New Roman"/>
        </w:rPr>
        <w:t>12</w:t>
      </w:r>
      <w:r>
        <w:rPr>
          <w:rFonts w:cs="Times New Roman"/>
        </w:rPr>
        <w:t>~</w:t>
      </w:r>
      <w:r>
        <w:rPr>
          <w:rFonts w:hint="eastAsia" w:cs="Times New Roman"/>
        </w:rPr>
        <w:t>301</w:t>
      </w:r>
      <w:r>
        <w:rPr>
          <w:rFonts w:cs="Times New Roman"/>
        </w:rPr>
        <w:t>万立方米/年之间，而自建设施供水量由201</w:t>
      </w:r>
      <w:r>
        <w:rPr>
          <w:rFonts w:hint="eastAsia" w:cs="Times New Roman"/>
        </w:rPr>
        <w:t>3</w:t>
      </w:r>
      <w:r>
        <w:rPr>
          <w:rFonts w:cs="Times New Roman"/>
        </w:rPr>
        <w:t>年的</w:t>
      </w:r>
      <w:r>
        <w:rPr>
          <w:rFonts w:hint="eastAsia" w:cs="Times New Roman"/>
        </w:rPr>
        <w:t>68.02</w:t>
      </w:r>
      <w:r>
        <w:rPr>
          <w:rFonts w:cs="Times New Roman"/>
        </w:rPr>
        <w:t>万立方米/年</w:t>
      </w:r>
      <w:r>
        <w:rPr>
          <w:rFonts w:hint="eastAsia" w:cs="Times New Roman"/>
        </w:rPr>
        <w:t>减少</w:t>
      </w:r>
      <w:r>
        <w:rPr>
          <w:rFonts w:cs="Times New Roman"/>
        </w:rPr>
        <w:t>至</w:t>
      </w:r>
      <w:r>
        <w:rPr>
          <w:rFonts w:hint="eastAsia" w:cs="Times New Roman"/>
        </w:rPr>
        <w:t>50</w:t>
      </w:r>
      <w:r>
        <w:rPr>
          <w:rFonts w:cs="Times New Roman"/>
        </w:rPr>
        <w:t>万立方米/年</w:t>
      </w:r>
      <w:r>
        <w:rPr>
          <w:rFonts w:hint="eastAsia" w:cs="Times New Roman"/>
        </w:rPr>
        <w:t>，且逐步稳定</w:t>
      </w:r>
      <w:r>
        <w:rPr>
          <w:rFonts w:cs="Times New Roman"/>
        </w:rPr>
        <w:t>。因此，公共服务用水量的</w:t>
      </w:r>
      <w:r>
        <w:rPr>
          <w:rFonts w:hint="eastAsia" w:cs="Times New Roman"/>
        </w:rPr>
        <w:t>增加</w:t>
      </w:r>
      <w:r>
        <w:rPr>
          <w:rFonts w:cs="Times New Roman"/>
        </w:rPr>
        <w:t>主要是由公共供水量部分的</w:t>
      </w:r>
      <w:r>
        <w:rPr>
          <w:rFonts w:hint="eastAsia" w:cs="Times New Roman"/>
        </w:rPr>
        <w:t>增加</w:t>
      </w:r>
      <w:r>
        <w:rPr>
          <w:rFonts w:cs="Times New Roman"/>
        </w:rPr>
        <w:t>造成的。这说明自备水源井</w:t>
      </w:r>
      <w:r>
        <w:rPr>
          <w:rFonts w:hint="eastAsia" w:cs="Times New Roman"/>
        </w:rPr>
        <w:t>供水逐步稳定</w:t>
      </w:r>
      <w:r>
        <w:rPr>
          <w:rFonts w:cs="Times New Roman"/>
        </w:rPr>
        <w:t>，自建设施的供水量不断缩减。在未来的规划期内，随着</w:t>
      </w:r>
      <w:r>
        <w:rPr>
          <w:rFonts w:hint="eastAsia" w:cs="Times New Roman"/>
        </w:rPr>
        <w:t>淮北</w:t>
      </w:r>
      <w:r>
        <w:rPr>
          <w:rFonts w:cs="Times New Roman"/>
        </w:rPr>
        <w:t>市经济社会的发展，公共服务设施等三产发展加快，公共生活用水量会</w:t>
      </w:r>
      <w:r>
        <w:rPr>
          <w:rFonts w:hint="eastAsia" w:cs="Times New Roman"/>
        </w:rPr>
        <w:t>不断</w:t>
      </w:r>
      <w:r>
        <w:rPr>
          <w:rFonts w:cs="Times New Roman"/>
        </w:rPr>
        <w:t>增加。公共供水量在公共服务供水量中占比的不断增长有利于对地下水资源的统筹利用和管理。增大公共供水在公共服务用水量的比重仍然有巨大潜力。</w:t>
      </w:r>
    </w:p>
    <w:p>
      <w:pPr>
        <w:pStyle w:val="16"/>
        <w:spacing w:line="360" w:lineRule="auto"/>
        <w:ind w:firstLine="560"/>
        <w:rPr>
          <w:rFonts w:cs="Times New Roman"/>
        </w:rPr>
      </w:pPr>
      <w:r>
        <w:rPr>
          <w:rFonts w:cs="Times New Roman"/>
        </w:rPr>
        <w:t>根据前期走访调查可知，现状对淮北市城区范围公共建筑、中小幼等部分</w:t>
      </w:r>
      <w:r>
        <w:rPr>
          <w:rFonts w:hint="eastAsia" w:cs="Times New Roman"/>
        </w:rPr>
        <w:t>节水型</w:t>
      </w:r>
      <w:r>
        <w:rPr>
          <w:rFonts w:cs="Times New Roman"/>
        </w:rPr>
        <w:t>单位的节水情况简介如下：</w:t>
      </w:r>
    </w:p>
    <w:p>
      <w:pPr>
        <w:pStyle w:val="16"/>
        <w:spacing w:line="360" w:lineRule="auto"/>
        <w:ind w:firstLine="560"/>
        <w:rPr>
          <w:rFonts w:cs="Times New Roman"/>
        </w:rPr>
      </w:pPr>
      <w:r>
        <w:rPr>
          <w:rFonts w:hint="eastAsia" w:cs="Times New Roman"/>
        </w:rPr>
        <w:t>1</w:t>
      </w:r>
      <w:r>
        <w:rPr>
          <w:rFonts w:cs="Times New Roman"/>
        </w:rPr>
        <w:t>、 淮北市人民医院</w:t>
      </w:r>
      <w:r>
        <w:rPr>
          <w:rFonts w:hint="eastAsia" w:cs="Times New Roman"/>
        </w:rPr>
        <w:t>:</w:t>
      </w:r>
      <w:r>
        <w:rPr>
          <w:rFonts w:cs="Times New Roman"/>
        </w:rPr>
        <w:t xml:space="preserve">  </w:t>
      </w:r>
      <w:r>
        <w:rPr>
          <w:rFonts w:hint="eastAsia" w:cs="Times New Roman"/>
        </w:rPr>
        <w:t>医院用水管理制度完善，经常进行节水宣传，加强全体职工的节水意识;  医院定期对用水设备维修维护，严禁“跑、冒、滴、漏”;  医院2018年已投入资金对医院老旧管网进行改造，并对全院用水器具进行改造。</w:t>
      </w:r>
    </w:p>
    <w:p>
      <w:pPr>
        <w:pStyle w:val="16"/>
        <w:spacing w:line="360" w:lineRule="auto"/>
        <w:ind w:firstLine="560"/>
        <w:rPr>
          <w:rFonts w:cs="Times New Roman"/>
        </w:rPr>
      </w:pPr>
      <w:r>
        <w:rPr>
          <w:rFonts w:hint="eastAsia" w:cs="Times New Roman"/>
        </w:rPr>
        <w:t>2</w:t>
      </w:r>
      <w:r>
        <w:rPr>
          <w:rFonts w:cs="Times New Roman"/>
        </w:rPr>
        <w:t>、</w:t>
      </w:r>
      <w:r>
        <w:rPr>
          <w:rFonts w:hint="eastAsia" w:cs="Times New Roman"/>
        </w:rPr>
        <w:t>淮北市金鹰国际购物中心</w:t>
      </w:r>
      <w:r>
        <w:rPr>
          <w:rFonts w:cs="Times New Roman"/>
        </w:rPr>
        <w:t>：</w:t>
      </w:r>
      <w:r>
        <w:rPr>
          <w:rFonts w:hint="eastAsia" w:cs="Times New Roman"/>
        </w:rPr>
        <w:t>商场用水管理制度完善;全部采用节水型用水器具，水表计量体系健全;中央空调间接冷却循环水采用闭式冷却塔。</w:t>
      </w:r>
    </w:p>
    <w:p>
      <w:pPr>
        <w:pStyle w:val="16"/>
        <w:spacing w:line="360" w:lineRule="auto"/>
        <w:ind w:firstLine="560"/>
        <w:rPr>
          <w:rFonts w:cs="Times New Roman"/>
        </w:rPr>
      </w:pPr>
      <w:r>
        <w:rPr>
          <w:rFonts w:cs="Times New Roman"/>
        </w:rPr>
        <w:t xml:space="preserve"> </w:t>
      </w:r>
      <w:r>
        <w:rPr>
          <w:rFonts w:hint="eastAsia" w:cs="Times New Roman"/>
        </w:rPr>
        <w:t>3</w:t>
      </w:r>
      <w:r>
        <w:rPr>
          <w:rFonts w:cs="Times New Roman"/>
        </w:rPr>
        <w:t>、</w:t>
      </w:r>
      <w:r>
        <w:rPr>
          <w:rFonts w:hint="eastAsia" w:cs="Times New Roman"/>
        </w:rPr>
        <w:t>淮北市国源奥莱店</w:t>
      </w:r>
      <w:r>
        <w:rPr>
          <w:rFonts w:cs="Times New Roman"/>
        </w:rPr>
        <w:t>：</w:t>
      </w:r>
      <w:r>
        <w:rPr>
          <w:rFonts w:hint="eastAsia" w:cs="Times New Roman"/>
        </w:rPr>
        <w:t>商场用水器具均为节水型器具，水表计量体系健全;用水节水管理制度完善。</w:t>
      </w:r>
    </w:p>
    <w:p>
      <w:pPr>
        <w:pStyle w:val="16"/>
        <w:spacing w:line="360" w:lineRule="auto"/>
        <w:ind w:firstLine="560"/>
        <w:rPr>
          <w:rFonts w:cs="Times New Roman"/>
        </w:rPr>
      </w:pPr>
      <w:r>
        <w:rPr>
          <w:rFonts w:hint="eastAsia" w:cs="Times New Roman"/>
        </w:rPr>
        <w:t>4</w:t>
      </w:r>
      <w:r>
        <w:rPr>
          <w:rFonts w:cs="Times New Roman"/>
        </w:rPr>
        <w:t>、</w:t>
      </w:r>
      <w:r>
        <w:rPr>
          <w:rFonts w:hint="eastAsia" w:cs="Times New Roman"/>
        </w:rPr>
        <w:t>淮北市水务局</w:t>
      </w:r>
      <w:r>
        <w:rPr>
          <w:rFonts w:cs="Times New Roman"/>
        </w:rPr>
        <w:t>：</w:t>
      </w:r>
      <w:r>
        <w:rPr>
          <w:rFonts w:hint="eastAsia" w:cs="Times New Roman"/>
        </w:rPr>
        <w:t xml:space="preserve"> 领导重视，用水节水规章制度健全;单位</w:t>
      </w:r>
      <w:r>
        <w:rPr>
          <w:rFonts w:cs="Times New Roman"/>
        </w:rPr>
        <w:t>在建设期间严格执行节水“三同时”，使用器具全部为节水型</w:t>
      </w:r>
      <w:r>
        <w:rPr>
          <w:rFonts w:hint="eastAsia" w:cs="Times New Roman"/>
        </w:rPr>
        <w:t>;  通过张贴节水宣传海报和标语等方式开展节水宣传。</w:t>
      </w:r>
    </w:p>
    <w:p>
      <w:pPr>
        <w:pStyle w:val="16"/>
        <w:spacing w:line="360" w:lineRule="auto"/>
        <w:ind w:firstLine="560"/>
        <w:rPr>
          <w:rFonts w:cs="Times New Roman"/>
        </w:rPr>
      </w:pPr>
      <w:r>
        <w:rPr>
          <w:rFonts w:hint="eastAsia" w:cs="Times New Roman"/>
        </w:rPr>
        <w:t>5</w:t>
      </w:r>
      <w:r>
        <w:rPr>
          <w:rFonts w:cs="Times New Roman"/>
        </w:rPr>
        <w:t>、</w:t>
      </w:r>
      <w:r>
        <w:rPr>
          <w:rFonts w:hint="eastAsia" w:cs="Times New Roman"/>
        </w:rPr>
        <w:t>淮北工业与艺术学校</w:t>
      </w:r>
      <w:r>
        <w:rPr>
          <w:rFonts w:cs="Times New Roman"/>
        </w:rPr>
        <w:t>：</w:t>
      </w:r>
      <w:r>
        <w:rPr>
          <w:rFonts w:hint="eastAsia" w:cs="Times New Roman"/>
        </w:rPr>
        <w:t>近年学校加大资金投入先后完成节能监管平台建设、用水器具和供水管网改造;学生洗浴和开水房均采用IC卡定额用水管理系统，水表计量体系健全;建设雨水收集利用系统，用于绿化等用水;通过多种方式开展节水宣传活动.</w:t>
      </w:r>
    </w:p>
    <w:p>
      <w:pPr>
        <w:pStyle w:val="16"/>
        <w:spacing w:line="360" w:lineRule="auto"/>
        <w:ind w:firstLine="560"/>
        <w:rPr>
          <w:rFonts w:cs="Times New Roman"/>
        </w:rPr>
      </w:pPr>
      <w:r>
        <w:rPr>
          <w:rFonts w:hint="eastAsia" w:cs="Times New Roman"/>
        </w:rPr>
        <w:t>6</w:t>
      </w:r>
      <w:r>
        <w:rPr>
          <w:rFonts w:cs="Times New Roman"/>
        </w:rPr>
        <w:t>、</w:t>
      </w:r>
      <w:r>
        <w:rPr>
          <w:rFonts w:hint="eastAsia" w:cs="Times New Roman"/>
        </w:rPr>
        <w:t>淮北市天一中学</w:t>
      </w:r>
      <w:r>
        <w:rPr>
          <w:rFonts w:cs="Times New Roman"/>
        </w:rPr>
        <w:t>：</w:t>
      </w:r>
      <w:r>
        <w:rPr>
          <w:rFonts w:hint="eastAsia" w:cs="Times New Roman"/>
        </w:rPr>
        <w:t xml:space="preserve"> 用水节水管理规章制度完善;学校投入资金完成全部非节水型用水器具改造，水表计量体系健全。</w:t>
      </w:r>
    </w:p>
    <w:p>
      <w:pPr>
        <w:pStyle w:val="16"/>
        <w:spacing w:line="360" w:lineRule="auto"/>
        <w:ind w:firstLine="560"/>
        <w:rPr>
          <w:rFonts w:cs="Times New Roman"/>
        </w:rPr>
      </w:pPr>
      <w:r>
        <w:rPr>
          <w:rFonts w:hint="eastAsia" w:cs="Times New Roman"/>
        </w:rPr>
        <w:t>7、淮北龙兴学校： 学校节水管理组织机构完善；学校先后投入资金完成非节水型器具改造和水表计量体系；用水节水管理规章制度健全。</w:t>
      </w:r>
    </w:p>
    <w:p>
      <w:pPr>
        <w:pStyle w:val="16"/>
        <w:spacing w:line="360" w:lineRule="auto"/>
        <w:ind w:firstLine="560"/>
        <w:rPr>
          <w:rFonts w:cs="Times New Roman"/>
        </w:rPr>
      </w:pPr>
      <w:r>
        <w:rPr>
          <w:rFonts w:hint="eastAsia" w:cs="Times New Roman"/>
        </w:rPr>
        <w:t>8、淮北口子国际大酒店：</w:t>
      </w:r>
      <w:r>
        <w:rPr>
          <w:rFonts w:cs="Times New Roman"/>
        </w:rPr>
        <w:t xml:space="preserve"> </w:t>
      </w:r>
      <w:r>
        <w:rPr>
          <w:rFonts w:hint="eastAsia" w:cs="Times New Roman"/>
        </w:rPr>
        <w:t>酒店用水节水管理规章制度完善； 酒店全部采用节水型用水器具；酒店中央空调采用间接冷却循环用水系统，游泳池建设水质净化处理回用系统。</w:t>
      </w:r>
    </w:p>
    <w:p>
      <w:pPr>
        <w:pStyle w:val="16"/>
        <w:spacing w:line="360" w:lineRule="auto"/>
        <w:ind w:firstLine="560"/>
        <w:rPr>
          <w:rFonts w:cs="Times New Roman"/>
        </w:rPr>
      </w:pPr>
      <w:r>
        <w:rPr>
          <w:rFonts w:hint="eastAsia" w:cs="Times New Roman"/>
        </w:rPr>
        <w:t>9、淮北市伯瑞特酒店：酒店水表将体系健全；酒店全部采用节水型用水器具。</w:t>
      </w:r>
    </w:p>
    <w:p>
      <w:pPr>
        <w:pStyle w:val="16"/>
        <w:spacing w:line="360" w:lineRule="auto"/>
        <w:ind w:firstLine="560"/>
        <w:rPr>
          <w:rFonts w:cs="Times New Roman"/>
        </w:rPr>
      </w:pPr>
      <w:r>
        <w:rPr>
          <w:rFonts w:hint="eastAsia" w:cs="Times New Roman"/>
        </w:rPr>
        <w:t>10、淮北市质量技术监督局：单位用水节水规章制度完善；单位全部采用节水型用水器具，水表计量体系健全；单位建设雨水收集池，用于院区绿化等用水。</w:t>
      </w:r>
    </w:p>
    <w:p>
      <w:pPr>
        <w:pStyle w:val="16"/>
        <w:spacing w:line="360" w:lineRule="auto"/>
        <w:ind w:firstLine="560"/>
        <w:rPr>
          <w:rFonts w:cs="Times New Roman"/>
        </w:rPr>
      </w:pPr>
      <w:r>
        <w:rPr>
          <w:rFonts w:hint="eastAsia" w:cs="Times New Roman"/>
        </w:rPr>
        <w:t>11、淮北市烈山区人民政府：用水节水管理规章制度完善；单位全部采用节水型用水器具；单位水表计量体系健全。</w:t>
      </w:r>
    </w:p>
    <w:p>
      <w:pPr>
        <w:pStyle w:val="16"/>
        <w:spacing w:line="360" w:lineRule="auto"/>
        <w:ind w:firstLine="560"/>
        <w:rPr>
          <w:rFonts w:cs="Times New Roman"/>
        </w:rPr>
      </w:pPr>
      <w:r>
        <w:rPr>
          <w:rFonts w:hint="eastAsia" w:cs="Times New Roman"/>
        </w:rPr>
        <w:t>12、淮北市第二实验小学：学校制定</w:t>
      </w:r>
      <w:r>
        <w:rPr>
          <w:rFonts w:cs="Times New Roman"/>
        </w:rPr>
        <w:t>了节水制度，</w:t>
      </w:r>
      <w:r>
        <w:rPr>
          <w:rFonts w:hint="eastAsia" w:cs="Times New Roman"/>
        </w:rPr>
        <w:t>有效</w:t>
      </w:r>
      <w:r>
        <w:rPr>
          <w:rFonts w:cs="Times New Roman"/>
        </w:rPr>
        <w:t>地控制了</w:t>
      </w:r>
      <w:r>
        <w:rPr>
          <w:rFonts w:hint="eastAsia" w:cs="Times New Roman"/>
        </w:rPr>
        <w:t>用</w:t>
      </w:r>
      <w:r>
        <w:rPr>
          <w:rFonts w:cs="Times New Roman"/>
        </w:rPr>
        <w:t>水量，</w:t>
      </w:r>
      <w:r>
        <w:rPr>
          <w:rFonts w:hint="eastAsia" w:cs="Times New Roman"/>
        </w:rPr>
        <w:t>取</w:t>
      </w:r>
      <w:r>
        <w:rPr>
          <w:rFonts w:cs="Times New Roman"/>
        </w:rPr>
        <w:t>得了较好的成效</w:t>
      </w:r>
      <w:r>
        <w:rPr>
          <w:rFonts w:hint="eastAsia" w:cs="Times New Roman"/>
        </w:rPr>
        <w:t>；全校开展各种节水宣传教育，进行水平衡测试，并制定各种节水制度，有效地控制了用水量。</w:t>
      </w:r>
    </w:p>
    <w:p>
      <w:pPr>
        <w:pStyle w:val="16"/>
        <w:spacing w:line="360" w:lineRule="auto"/>
        <w:ind w:firstLine="560"/>
        <w:rPr>
          <w:rFonts w:cs="Times New Roman"/>
        </w:rPr>
      </w:pPr>
      <w:r>
        <w:rPr>
          <w:rFonts w:hint="eastAsia" w:cs="Times New Roman"/>
        </w:rPr>
        <w:t>13、淮北市职业技术学院：淮北市职业技术学院</w:t>
      </w:r>
      <w:r>
        <w:rPr>
          <w:rFonts w:cs="Times New Roman"/>
        </w:rPr>
        <w:t>使用器具全部为节水型</w:t>
      </w:r>
      <w:r>
        <w:rPr>
          <w:rFonts w:hint="eastAsia" w:cs="Times New Roman"/>
        </w:rPr>
        <w:t>；学校注重</w:t>
      </w:r>
      <w:r>
        <w:rPr>
          <w:rFonts w:cs="Times New Roman"/>
        </w:rPr>
        <w:t>推广节</w:t>
      </w:r>
      <w:r>
        <w:rPr>
          <w:rFonts w:hint="eastAsia" w:cs="Times New Roman"/>
        </w:rPr>
        <w:t>水宣传</w:t>
      </w:r>
      <w:r>
        <w:rPr>
          <w:rFonts w:cs="Times New Roman"/>
        </w:rPr>
        <w:t>，实施节</w:t>
      </w:r>
      <w:r>
        <w:rPr>
          <w:rFonts w:hint="eastAsia" w:cs="Times New Roman"/>
        </w:rPr>
        <w:t>水</w:t>
      </w:r>
      <w:r>
        <w:rPr>
          <w:rFonts w:cs="Times New Roman"/>
        </w:rPr>
        <w:t>改造</w:t>
      </w:r>
      <w:r>
        <w:rPr>
          <w:rFonts w:hint="eastAsia" w:cs="Times New Roman"/>
        </w:rPr>
        <w:t>；建立节水规章制度和节水奖罚制度</w:t>
      </w:r>
    </w:p>
    <w:p>
      <w:pPr>
        <w:pStyle w:val="16"/>
        <w:spacing w:line="360" w:lineRule="auto"/>
        <w:ind w:firstLine="560"/>
        <w:rPr>
          <w:rFonts w:cs="Times New Roman"/>
        </w:rPr>
      </w:pPr>
      <w:r>
        <w:rPr>
          <w:rFonts w:hint="eastAsia" w:cs="Times New Roman"/>
        </w:rPr>
        <w:t>14、淮北市曼哈顿国际酒店：酒店用水器具均为节水型器具；定期开展节水教育的宣传活动，增强员工节水意识；成立节水领导工作小组，严格执行酒店用水管理制度。</w:t>
      </w:r>
    </w:p>
    <w:p>
      <w:pPr>
        <w:pStyle w:val="16"/>
        <w:spacing w:line="360" w:lineRule="auto"/>
        <w:ind w:firstLine="560"/>
        <w:rPr>
          <w:rFonts w:cs="Times New Roman"/>
        </w:rPr>
      </w:pPr>
      <w:r>
        <w:rPr>
          <w:rFonts w:hint="eastAsia" w:cs="Times New Roman"/>
        </w:rPr>
        <w:t>15、国家税务总局淮北市税务局：税务局</w:t>
      </w:r>
      <w:r>
        <w:rPr>
          <w:rFonts w:cs="Times New Roman"/>
        </w:rPr>
        <w:t>使用器具全部为节水型</w:t>
      </w:r>
      <w:r>
        <w:rPr>
          <w:rFonts w:hint="eastAsia" w:cs="Times New Roman"/>
        </w:rPr>
        <w:t>；庭院绿化采用雨水和滴灌相结合的方式灌溉，人工便道和停车位采用渗水砖铺设；设立节水规章制度和节水奖罚制度。</w:t>
      </w:r>
    </w:p>
    <w:p>
      <w:pPr>
        <w:pStyle w:val="16"/>
        <w:spacing w:line="360" w:lineRule="auto"/>
        <w:ind w:firstLine="560"/>
        <w:rPr>
          <w:rFonts w:cs="Times New Roman"/>
        </w:rPr>
      </w:pPr>
      <w:r>
        <w:rPr>
          <w:rFonts w:hint="eastAsia" w:cs="Times New Roman"/>
        </w:rPr>
        <w:t>16、淮北市中级人民法院：用水节水管理规章制度完善；单位</w:t>
      </w:r>
      <w:r>
        <w:rPr>
          <w:rFonts w:cs="Times New Roman"/>
        </w:rPr>
        <w:t>使用器具全部为节水型，</w:t>
      </w:r>
      <w:r>
        <w:rPr>
          <w:rFonts w:hint="eastAsia" w:cs="Times New Roman"/>
        </w:rPr>
        <w:t>水表计量体系健全； 2017年投入189749.23元进行供水设备节能改造。</w:t>
      </w:r>
    </w:p>
    <w:p>
      <w:pPr>
        <w:pStyle w:val="16"/>
        <w:spacing w:line="360" w:lineRule="auto"/>
        <w:ind w:firstLine="560"/>
        <w:rPr>
          <w:rFonts w:cs="Times New Roman"/>
        </w:rPr>
      </w:pPr>
      <w:r>
        <w:rPr>
          <w:rFonts w:hint="eastAsia" w:cs="Times New Roman"/>
        </w:rPr>
        <w:t>17、淮北市科学技术局：通过张贴节水宣传标语、海报等方式开展节水宣传，大力宣传节水，提高机关人员节水意识；全部采用节水型用水器具、水表计量体系健全。</w:t>
      </w:r>
    </w:p>
    <w:p>
      <w:pPr>
        <w:pStyle w:val="16"/>
        <w:spacing w:line="360" w:lineRule="auto"/>
        <w:ind w:firstLine="560"/>
        <w:rPr>
          <w:rFonts w:cs="Times New Roman"/>
        </w:rPr>
      </w:pPr>
      <w:r>
        <w:rPr>
          <w:rFonts w:hint="eastAsia" w:cs="Times New Roman"/>
        </w:rPr>
        <w:t>18、淮北鸿瑞酒店：酒店用水器具均为节水型器具；用水计量体系健全，定期进行用水分析，节水管理规范； 2017年投入9000元购买节水型器具，现今进行管网改造和维修。</w:t>
      </w:r>
    </w:p>
    <w:p>
      <w:pPr>
        <w:pStyle w:val="16"/>
        <w:spacing w:line="360" w:lineRule="auto"/>
        <w:ind w:firstLine="560"/>
        <w:rPr>
          <w:rFonts w:cs="Times New Roman"/>
        </w:rPr>
      </w:pPr>
      <w:r>
        <w:rPr>
          <w:rFonts w:hint="eastAsia" w:cs="Times New Roman"/>
        </w:rPr>
        <w:t>19、淮北凌云宾馆：宾馆用水器具均为节水型器具；宾馆注重节水宣传，员工节水意识强；卫生间等用水部位均张贴了节水海报；宾馆2016年投入97140元用于器具改造。</w:t>
      </w:r>
    </w:p>
    <w:p>
      <w:pPr>
        <w:pStyle w:val="16"/>
        <w:spacing w:line="360" w:lineRule="auto"/>
        <w:ind w:firstLine="560"/>
        <w:rPr>
          <w:rFonts w:cs="Times New Roman"/>
        </w:rPr>
      </w:pPr>
      <w:r>
        <w:rPr>
          <w:rFonts w:hint="eastAsia" w:cs="Times New Roman"/>
        </w:rPr>
        <w:t>20、淮北矿业办公中心：领导重视、规章制度健全、原始台账规范；用水器具均采用节水型；  绿化采用喷灌等高效节水灌溉方式；单位近年投入近2万元进行器具改造。</w:t>
      </w:r>
    </w:p>
    <w:p>
      <w:pPr>
        <w:pStyle w:val="16"/>
        <w:spacing w:line="360" w:lineRule="auto"/>
        <w:ind w:firstLine="560"/>
        <w:rPr>
          <w:rFonts w:cs="Times New Roman"/>
        </w:rPr>
      </w:pPr>
      <w:r>
        <w:rPr>
          <w:rFonts w:hint="eastAsia" w:cs="Times New Roman"/>
        </w:rPr>
        <w:t>21、淮北市广电中心：单位用水器具均采用节水型器具；停车场采用透水铺装。</w:t>
      </w:r>
    </w:p>
    <w:p>
      <w:pPr>
        <w:pStyle w:val="16"/>
        <w:spacing w:line="360" w:lineRule="auto"/>
        <w:ind w:firstLine="560"/>
        <w:rPr>
          <w:rFonts w:cs="Times New Roman"/>
        </w:rPr>
      </w:pPr>
      <w:r>
        <w:rPr>
          <w:rFonts w:cs="Times New Roman"/>
        </w:rPr>
        <w:t>根据以上资料总结，目前公共设施的节水途径主要有以下几种：</w:t>
      </w:r>
    </w:p>
    <w:p>
      <w:pPr>
        <w:pStyle w:val="16"/>
        <w:spacing w:line="360" w:lineRule="auto"/>
        <w:ind w:firstLine="560"/>
        <w:rPr>
          <w:rFonts w:cs="Times New Roman"/>
        </w:rPr>
      </w:pPr>
      <w:r>
        <w:rPr>
          <w:rFonts w:cs="Times New Roman"/>
        </w:rPr>
        <w:t>1、学校、医院、酒店公共洗浴用水采用 IC 卡控制；</w:t>
      </w:r>
    </w:p>
    <w:p>
      <w:pPr>
        <w:pStyle w:val="16"/>
        <w:spacing w:line="360" w:lineRule="auto"/>
        <w:ind w:firstLine="560"/>
        <w:rPr>
          <w:rFonts w:cs="Times New Roman"/>
        </w:rPr>
      </w:pPr>
      <w:r>
        <w:rPr>
          <w:rFonts w:cs="Times New Roman"/>
        </w:rPr>
        <w:t>3、建立用水设施定期巡查和保修等日常用水管理制度；</w:t>
      </w:r>
    </w:p>
    <w:p>
      <w:pPr>
        <w:pStyle w:val="16"/>
        <w:spacing w:line="360" w:lineRule="auto"/>
        <w:ind w:firstLine="560"/>
        <w:rPr>
          <w:rFonts w:cs="Times New Roman"/>
        </w:rPr>
      </w:pPr>
      <w:r>
        <w:rPr>
          <w:rFonts w:cs="Times New Roman"/>
        </w:rPr>
        <w:t>4、酒店建立鼓励旅客节约洗浴用水措施</w:t>
      </w:r>
      <w:r>
        <w:rPr>
          <w:rFonts w:hint="eastAsia" w:cs="Times New Roman"/>
        </w:rPr>
        <w:t>；</w:t>
      </w:r>
    </w:p>
    <w:p>
      <w:pPr>
        <w:pStyle w:val="16"/>
        <w:spacing w:line="360" w:lineRule="auto"/>
        <w:ind w:firstLine="560"/>
        <w:rPr>
          <w:rFonts w:cs="Times New Roman"/>
        </w:rPr>
      </w:pPr>
      <w:r>
        <w:rPr>
          <w:rFonts w:hint="eastAsia" w:cs="Times New Roman"/>
        </w:rPr>
        <w:t>5、积极利用雨水资源。</w:t>
      </w:r>
    </w:p>
    <w:p>
      <w:pPr>
        <w:pStyle w:val="5"/>
        <w:spacing w:before="120"/>
      </w:pPr>
      <w:bookmarkStart w:id="181" w:name="_Toc8032560"/>
      <w:bookmarkStart w:id="182" w:name="_Toc478634330"/>
      <w:r>
        <w:rPr>
          <w:rFonts w:hint="eastAsia"/>
        </w:rPr>
        <w:t>2.7.3.2</w:t>
      </w:r>
      <w:r>
        <w:t xml:space="preserve"> 公共用水节水潜力分析</w:t>
      </w:r>
      <w:bookmarkEnd w:id="181"/>
      <w:bookmarkEnd w:id="182"/>
    </w:p>
    <w:p>
      <w:pPr>
        <w:pStyle w:val="16"/>
        <w:spacing w:line="360" w:lineRule="auto"/>
        <w:ind w:firstLine="560"/>
        <w:rPr>
          <w:rFonts w:cs="Times New Roman"/>
        </w:rPr>
      </w:pPr>
      <w:r>
        <w:rPr>
          <w:rFonts w:cs="Times New Roman"/>
        </w:rPr>
        <w:t>现状淮北市公共用水部分学校、医院实行定额用水，限制水资源的浪费，但节水的范围和方式还相对较为简单，一方面是对用水量的限制，另一方面是对水资源的循环使用；同时供水系统存在使用不合格的水表、用水器具现象；机关事业单位的节水执行状况不明朗，没有使用定额用水；市政公共设施如消火栓等未计量，根据用水指标控制使用量；供水管网自水厂至小区进户管段未全部对用水量进行计量，免费用水量和漏损水量混合，用量无法完全统计清楚，因此节水潜力仍有较大的挖掘空间。</w:t>
      </w:r>
    </w:p>
    <w:p>
      <w:pPr>
        <w:pStyle w:val="4"/>
        <w:spacing w:line="360" w:lineRule="auto"/>
        <w:rPr>
          <w:rFonts w:cs="Times New Roman"/>
        </w:rPr>
      </w:pPr>
      <w:bookmarkStart w:id="183" w:name="_Toc8032561"/>
      <w:bookmarkStart w:id="184" w:name="_Toc478634331"/>
      <w:r>
        <w:rPr>
          <w:rFonts w:hint="eastAsia" w:cs="Times New Roman"/>
        </w:rPr>
        <w:t xml:space="preserve">2.7.4 </w:t>
      </w:r>
      <w:r>
        <w:rPr>
          <w:rFonts w:cs="Times New Roman"/>
        </w:rPr>
        <w:t xml:space="preserve"> 工业用水节水现状及潜力分析</w:t>
      </w:r>
      <w:bookmarkEnd w:id="183"/>
      <w:bookmarkEnd w:id="184"/>
    </w:p>
    <w:p>
      <w:pPr>
        <w:pStyle w:val="16"/>
        <w:spacing w:line="360" w:lineRule="auto"/>
        <w:ind w:firstLine="560"/>
        <w:rPr>
          <w:rFonts w:cs="Times New Roman"/>
        </w:rPr>
      </w:pPr>
      <w:r>
        <w:rPr>
          <w:rFonts w:cs="Times New Roman"/>
        </w:rPr>
        <w:t>淮北市工业企业用水主要有两个方面，一方面是自备用水的工业企业，另一部分为公共供水的工业企业。各种工业用水情况介绍如下。</w:t>
      </w:r>
    </w:p>
    <w:p>
      <w:pPr>
        <w:pStyle w:val="16"/>
        <w:spacing w:line="360" w:lineRule="auto"/>
        <w:ind w:firstLine="560"/>
        <w:rPr>
          <w:rFonts w:cs="Times New Roman"/>
        </w:rPr>
      </w:pPr>
      <w:bookmarkStart w:id="185" w:name="_Toc478634332"/>
      <w:r>
        <w:rPr>
          <w:rFonts w:cs="Times New Roman"/>
        </w:rPr>
        <w:t>201</w:t>
      </w:r>
      <w:r>
        <w:rPr>
          <w:rFonts w:hint="eastAsia" w:cs="Times New Roman"/>
        </w:rPr>
        <w:t>7</w:t>
      </w:r>
      <w:r>
        <w:rPr>
          <w:rFonts w:cs="Times New Roman"/>
        </w:rPr>
        <w:t>年淮北市城区自备供水的总量为</w:t>
      </w:r>
      <w:r>
        <w:rPr>
          <w:rFonts w:hint="eastAsia" w:cs="Times New Roman"/>
        </w:rPr>
        <w:t>2012.7</w:t>
      </w:r>
      <w:r>
        <w:rPr>
          <w:rFonts w:cs="Times New Roman"/>
        </w:rPr>
        <w:t>万立方米，其中</w:t>
      </w:r>
      <w:r>
        <w:rPr>
          <w:rFonts w:hint="eastAsia" w:cs="Times New Roman"/>
        </w:rPr>
        <w:t>1136</w:t>
      </w:r>
      <w:r>
        <w:rPr>
          <w:rFonts w:cs="Times New Roman"/>
        </w:rPr>
        <w:t>万立方米为工业取水量，占自备水取用量的</w:t>
      </w:r>
      <w:r>
        <w:rPr>
          <w:rFonts w:hint="eastAsia" w:cs="Times New Roman"/>
        </w:rPr>
        <w:t>56.44</w:t>
      </w:r>
      <w:r>
        <w:rPr>
          <w:rFonts w:cs="Times New Roman"/>
        </w:rPr>
        <w:t>%。自备供水的行业主要为饮料、食品加工业，粮食深加工业、生物制药业，电力生产业等行业用水。</w:t>
      </w:r>
    </w:p>
    <w:p>
      <w:pPr>
        <w:pStyle w:val="5"/>
        <w:spacing w:before="120"/>
      </w:pPr>
      <w:bookmarkStart w:id="186" w:name="_Toc8032562"/>
      <w:r>
        <w:rPr>
          <w:rFonts w:hint="eastAsia"/>
        </w:rPr>
        <w:t>2.7.4</w:t>
      </w:r>
      <w:r>
        <w:t>.1 工业用水节水现状</w:t>
      </w:r>
      <w:bookmarkEnd w:id="185"/>
      <w:bookmarkEnd w:id="186"/>
    </w:p>
    <w:p>
      <w:pPr>
        <w:pStyle w:val="16"/>
        <w:spacing w:line="360" w:lineRule="auto"/>
        <w:ind w:firstLine="560"/>
        <w:rPr>
          <w:rFonts w:cs="Times New Roman"/>
        </w:rPr>
      </w:pPr>
      <w:bookmarkStart w:id="187" w:name="_Toc478634627"/>
      <w:bookmarkStart w:id="188" w:name="_Toc478634333"/>
      <w:bookmarkStart w:id="189" w:name="_Toc480311593"/>
      <w:bookmarkStart w:id="190" w:name="_Toc477942052"/>
      <w:r>
        <w:rPr>
          <w:rFonts w:cs="Times New Roman"/>
        </w:rPr>
        <w:t>一、工业企业节水现状介绍</w:t>
      </w:r>
      <w:bookmarkEnd w:id="187"/>
      <w:bookmarkEnd w:id="188"/>
      <w:bookmarkEnd w:id="189"/>
      <w:bookmarkEnd w:id="190"/>
    </w:p>
    <w:p>
      <w:pPr>
        <w:pStyle w:val="16"/>
        <w:spacing w:line="360" w:lineRule="auto"/>
        <w:ind w:firstLine="560"/>
        <w:rPr>
          <w:rFonts w:cs="Times New Roman"/>
        </w:rPr>
      </w:pPr>
      <w:r>
        <w:rPr>
          <w:rFonts w:cs="Times New Roman"/>
        </w:rPr>
        <w:t>根据现状统计资料显示，目前淮北市城区年用水量</w:t>
      </w:r>
      <w:r>
        <w:rPr>
          <w:rFonts w:hint="eastAsia" w:cs="Times New Roman"/>
        </w:rPr>
        <w:t>较大</w:t>
      </w:r>
      <w:r>
        <w:rPr>
          <w:rFonts w:cs="Times New Roman"/>
        </w:rPr>
        <w:t>的工业企业主要</w:t>
      </w:r>
      <w:r>
        <w:rPr>
          <w:rFonts w:hint="eastAsia" w:cs="Times New Roman"/>
        </w:rPr>
        <w:t>有煤电、</w:t>
      </w:r>
      <w:r>
        <w:rPr>
          <w:rFonts w:cs="Times New Roman"/>
        </w:rPr>
        <w:t>饮料、粮食深加工业、生物制药业、纺织成品制造业、机械设备制造业。各行业的部分主要企业列举如下表：</w:t>
      </w:r>
    </w:p>
    <w:p>
      <w:pPr>
        <w:pStyle w:val="16"/>
        <w:spacing w:line="360" w:lineRule="auto"/>
        <w:ind w:firstLine="482"/>
        <w:jc w:val="center"/>
        <w:rPr>
          <w:rFonts w:cs="Times New Roman"/>
          <w:b/>
          <w:sz w:val="24"/>
        </w:rPr>
      </w:pPr>
      <w:r>
        <w:rPr>
          <w:rFonts w:cs="Times New Roman"/>
          <w:b/>
          <w:sz w:val="24"/>
        </w:rPr>
        <w:t>表</w:t>
      </w:r>
      <w:r>
        <w:rPr>
          <w:rFonts w:hint="eastAsia" w:cs="Times New Roman"/>
          <w:b/>
          <w:sz w:val="24"/>
        </w:rPr>
        <w:t>2</w:t>
      </w:r>
      <w:r>
        <w:rPr>
          <w:rFonts w:cs="Times New Roman"/>
          <w:b/>
          <w:sz w:val="24"/>
        </w:rPr>
        <w:t>-</w:t>
      </w:r>
      <w:r>
        <w:rPr>
          <w:rFonts w:hint="eastAsia" w:cs="Times New Roman"/>
          <w:b/>
          <w:sz w:val="24"/>
        </w:rPr>
        <w:t>30</w:t>
      </w:r>
      <w:r>
        <w:rPr>
          <w:rFonts w:cs="Times New Roman"/>
          <w:b/>
          <w:sz w:val="24"/>
        </w:rPr>
        <w:t xml:space="preserve">      各行业的部分主要企业列表</w:t>
      </w:r>
    </w:p>
    <w:tbl>
      <w:tblPr>
        <w:tblStyle w:val="39"/>
        <w:tblW w:w="10060" w:type="dxa"/>
        <w:jc w:val="center"/>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561"/>
        <w:gridCol w:w="2109"/>
        <w:gridCol w:w="4654"/>
        <w:gridCol w:w="2177"/>
        <w:gridCol w:w="559"/>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t>序号</w:t>
            </w:r>
          </w:p>
        </w:tc>
        <w:tc>
          <w:tcPr>
            <w:tcW w:w="2109" w:type="dxa"/>
            <w:vAlign w:val="center"/>
          </w:tcPr>
          <w:p>
            <w:pPr>
              <w:pStyle w:val="72"/>
            </w:pPr>
            <w:r>
              <w:t>行业类别</w:t>
            </w:r>
          </w:p>
        </w:tc>
        <w:tc>
          <w:tcPr>
            <w:tcW w:w="4654" w:type="dxa"/>
            <w:vAlign w:val="center"/>
          </w:tcPr>
          <w:p>
            <w:pPr>
              <w:pStyle w:val="72"/>
            </w:pPr>
            <w:r>
              <w:t>企业名称</w:t>
            </w:r>
          </w:p>
        </w:tc>
        <w:tc>
          <w:tcPr>
            <w:tcW w:w="2177" w:type="dxa"/>
            <w:vAlign w:val="center"/>
          </w:tcPr>
          <w:p>
            <w:pPr>
              <w:pStyle w:val="72"/>
            </w:pPr>
            <w:r>
              <w:t>生产工艺</w:t>
            </w:r>
          </w:p>
        </w:tc>
        <w:tc>
          <w:tcPr>
            <w:tcW w:w="559" w:type="dxa"/>
            <w:vAlign w:val="center"/>
          </w:tcPr>
          <w:p>
            <w:pPr>
              <w:pStyle w:val="72"/>
            </w:pPr>
            <w:r>
              <w:t>备注</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1</w:t>
            </w:r>
          </w:p>
        </w:tc>
        <w:tc>
          <w:tcPr>
            <w:tcW w:w="2109" w:type="dxa"/>
            <w:vMerge w:val="restart"/>
            <w:vAlign w:val="center"/>
          </w:tcPr>
          <w:p>
            <w:pPr>
              <w:pStyle w:val="72"/>
            </w:pPr>
            <w:r>
              <w:rPr>
                <w:rFonts w:hint="eastAsia"/>
              </w:rPr>
              <w:t>火力发电</w:t>
            </w:r>
          </w:p>
        </w:tc>
        <w:tc>
          <w:tcPr>
            <w:tcW w:w="4654" w:type="dxa"/>
            <w:vAlign w:val="center"/>
          </w:tcPr>
          <w:p>
            <w:pPr>
              <w:pStyle w:val="72"/>
            </w:pPr>
            <w:r>
              <w:rPr>
                <w:rFonts w:hint="eastAsia"/>
                <w:szCs w:val="21"/>
                <w:lang w:val="ru-RU"/>
              </w:rPr>
              <w:t>大唐淮北发电厂</w:t>
            </w:r>
          </w:p>
        </w:tc>
        <w:tc>
          <w:tcPr>
            <w:tcW w:w="2177" w:type="dxa"/>
            <w:vAlign w:val="center"/>
          </w:tcPr>
          <w:p>
            <w:pPr>
              <w:pStyle w:val="72"/>
            </w:pPr>
            <w:r>
              <w:rPr>
                <w:rFonts w:hint="eastAsia"/>
              </w:rPr>
              <w:t>发电厂</w:t>
            </w:r>
          </w:p>
        </w:tc>
        <w:tc>
          <w:tcPr>
            <w:tcW w:w="559" w:type="dxa"/>
            <w:vAlign w:val="center"/>
          </w:tcPr>
          <w:p>
            <w:pPr>
              <w:pStyle w:val="72"/>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2</w:t>
            </w:r>
          </w:p>
        </w:tc>
        <w:tc>
          <w:tcPr>
            <w:tcW w:w="2109" w:type="dxa"/>
            <w:vMerge w:val="continue"/>
            <w:vAlign w:val="center"/>
          </w:tcPr>
          <w:p>
            <w:pPr>
              <w:pStyle w:val="72"/>
            </w:pPr>
          </w:p>
        </w:tc>
        <w:tc>
          <w:tcPr>
            <w:tcW w:w="4654" w:type="dxa"/>
            <w:vAlign w:val="center"/>
          </w:tcPr>
          <w:p>
            <w:pPr>
              <w:pStyle w:val="72"/>
            </w:pPr>
            <w:r>
              <w:rPr>
                <w:rFonts w:hint="eastAsia"/>
                <w:szCs w:val="21"/>
                <w:lang w:val="ru-RU"/>
              </w:rPr>
              <w:t>淮北国安电力有限公司</w:t>
            </w:r>
          </w:p>
        </w:tc>
        <w:tc>
          <w:tcPr>
            <w:tcW w:w="2177" w:type="dxa"/>
            <w:vAlign w:val="center"/>
          </w:tcPr>
          <w:p>
            <w:pPr>
              <w:pStyle w:val="72"/>
            </w:pPr>
            <w:r>
              <w:rPr>
                <w:rFonts w:hint="eastAsia"/>
              </w:rPr>
              <w:t>发电厂</w:t>
            </w:r>
          </w:p>
        </w:tc>
        <w:tc>
          <w:tcPr>
            <w:tcW w:w="559" w:type="dxa"/>
            <w:vAlign w:val="center"/>
          </w:tcPr>
          <w:p>
            <w:pPr>
              <w:pStyle w:val="72"/>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3</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lang w:val="ru-RU"/>
              </w:rPr>
              <w:t>淮北矿业股份有限公司杨庄煤矸石热电厂</w:t>
            </w:r>
          </w:p>
        </w:tc>
        <w:tc>
          <w:tcPr>
            <w:tcW w:w="2177" w:type="dxa"/>
            <w:vAlign w:val="center"/>
          </w:tcPr>
          <w:p>
            <w:pPr>
              <w:pStyle w:val="72"/>
            </w:pPr>
            <w:r>
              <w:rPr>
                <w:rFonts w:hint="eastAsia"/>
              </w:rPr>
              <w:t>发电厂</w:t>
            </w:r>
          </w:p>
        </w:tc>
        <w:tc>
          <w:tcPr>
            <w:tcW w:w="559" w:type="dxa"/>
            <w:vAlign w:val="center"/>
          </w:tcPr>
          <w:p>
            <w:pPr>
              <w:pStyle w:val="72"/>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23" w:hRule="atLeast"/>
          <w:jc w:val="center"/>
        </w:trPr>
        <w:tc>
          <w:tcPr>
            <w:tcW w:w="561" w:type="dxa"/>
            <w:vAlign w:val="center"/>
          </w:tcPr>
          <w:p>
            <w:pPr>
              <w:pStyle w:val="72"/>
            </w:pPr>
            <w:r>
              <w:rPr>
                <w:rFonts w:hint="eastAsia"/>
              </w:rPr>
              <w:t>4</w:t>
            </w:r>
          </w:p>
        </w:tc>
        <w:tc>
          <w:tcPr>
            <w:tcW w:w="2109" w:type="dxa"/>
            <w:vMerge w:val="restart"/>
            <w:vAlign w:val="center"/>
          </w:tcPr>
          <w:p>
            <w:pPr>
              <w:pStyle w:val="72"/>
            </w:pPr>
            <w:r>
              <w:rPr>
                <w:rFonts w:hint="eastAsia"/>
              </w:rPr>
              <w:t>煤炭开采和洗选业</w:t>
            </w:r>
          </w:p>
        </w:tc>
        <w:tc>
          <w:tcPr>
            <w:tcW w:w="4654" w:type="dxa"/>
            <w:vAlign w:val="center"/>
          </w:tcPr>
          <w:p>
            <w:pPr>
              <w:pStyle w:val="72"/>
              <w:rPr>
                <w:szCs w:val="21"/>
                <w:lang w:val="ru-RU"/>
              </w:rPr>
            </w:pPr>
            <w:r>
              <w:rPr>
                <w:rFonts w:hint="eastAsia"/>
                <w:szCs w:val="21"/>
                <w:lang w:val="ru-RU"/>
              </w:rPr>
              <w:t>淮北石台矿业有限责任公司</w:t>
            </w:r>
          </w:p>
        </w:tc>
        <w:tc>
          <w:tcPr>
            <w:tcW w:w="2177" w:type="dxa"/>
            <w:vAlign w:val="center"/>
          </w:tcPr>
          <w:p>
            <w:pPr>
              <w:pStyle w:val="72"/>
            </w:pPr>
            <w:r>
              <w:rPr>
                <w:rFonts w:hint="eastAsia"/>
              </w:rPr>
              <w:t>煤炭开采</w:t>
            </w:r>
          </w:p>
        </w:tc>
        <w:tc>
          <w:tcPr>
            <w:tcW w:w="559" w:type="dxa"/>
            <w:vAlign w:val="center"/>
          </w:tcPr>
          <w:p>
            <w:pPr>
              <w:pStyle w:val="72"/>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5</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lang w:val="ru-RU"/>
              </w:rPr>
              <w:t>淮北朔里矿业有限责任公司</w:t>
            </w:r>
          </w:p>
        </w:tc>
        <w:tc>
          <w:tcPr>
            <w:tcW w:w="2177" w:type="dxa"/>
            <w:vAlign w:val="center"/>
          </w:tcPr>
          <w:p>
            <w:pPr>
              <w:pStyle w:val="72"/>
            </w:pPr>
            <w:r>
              <w:rPr>
                <w:rFonts w:hint="eastAsia"/>
              </w:rPr>
              <w:t>煤炭开采</w:t>
            </w:r>
          </w:p>
        </w:tc>
        <w:tc>
          <w:tcPr>
            <w:tcW w:w="559" w:type="dxa"/>
            <w:vAlign w:val="center"/>
          </w:tcPr>
          <w:p>
            <w:pPr>
              <w:pStyle w:val="72"/>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6</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lang w:val="ru-RU"/>
              </w:rPr>
              <w:t>淮北双龙矿业有限责任公司</w:t>
            </w:r>
          </w:p>
        </w:tc>
        <w:tc>
          <w:tcPr>
            <w:tcW w:w="2177" w:type="dxa"/>
            <w:vAlign w:val="center"/>
          </w:tcPr>
          <w:p>
            <w:pPr>
              <w:pStyle w:val="72"/>
            </w:pPr>
            <w:r>
              <w:rPr>
                <w:rFonts w:hint="eastAsia"/>
              </w:rPr>
              <w:t>煤炭开采</w:t>
            </w:r>
          </w:p>
        </w:tc>
        <w:tc>
          <w:tcPr>
            <w:tcW w:w="559" w:type="dxa"/>
            <w:vAlign w:val="center"/>
          </w:tcPr>
          <w:p>
            <w:pPr>
              <w:pStyle w:val="72"/>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7</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lang w:val="ru-RU"/>
              </w:rPr>
              <w:t>淮北矿业股份有限公司淮北选煤厂</w:t>
            </w:r>
          </w:p>
        </w:tc>
        <w:tc>
          <w:tcPr>
            <w:tcW w:w="2177" w:type="dxa"/>
            <w:vAlign w:val="center"/>
          </w:tcPr>
          <w:p>
            <w:pPr>
              <w:pStyle w:val="72"/>
            </w:pPr>
            <w:r>
              <w:rPr>
                <w:rFonts w:hint="eastAsia"/>
              </w:rPr>
              <w:t>选煤业</w:t>
            </w:r>
          </w:p>
        </w:tc>
        <w:tc>
          <w:tcPr>
            <w:tcW w:w="559" w:type="dxa"/>
            <w:vAlign w:val="center"/>
          </w:tcPr>
          <w:p>
            <w:pPr>
              <w:pStyle w:val="72"/>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6" w:hRule="atLeast"/>
          <w:jc w:val="center"/>
        </w:trPr>
        <w:tc>
          <w:tcPr>
            <w:tcW w:w="561" w:type="dxa"/>
            <w:vAlign w:val="center"/>
          </w:tcPr>
          <w:p>
            <w:pPr>
              <w:pStyle w:val="72"/>
            </w:pPr>
            <w:r>
              <w:rPr>
                <w:rFonts w:hint="eastAsia"/>
              </w:rPr>
              <w:t>8</w:t>
            </w:r>
          </w:p>
        </w:tc>
        <w:tc>
          <w:tcPr>
            <w:tcW w:w="2109" w:type="dxa"/>
            <w:vMerge w:val="restart"/>
            <w:vAlign w:val="center"/>
          </w:tcPr>
          <w:p>
            <w:pPr>
              <w:pStyle w:val="72"/>
            </w:pPr>
            <w:r>
              <w:t>纺织成品制造业</w:t>
            </w:r>
          </w:p>
        </w:tc>
        <w:tc>
          <w:tcPr>
            <w:tcW w:w="4654" w:type="dxa"/>
            <w:vAlign w:val="center"/>
          </w:tcPr>
          <w:p>
            <w:pPr>
              <w:pStyle w:val="72"/>
              <w:rPr>
                <w:szCs w:val="21"/>
                <w:lang w:val="ru-RU"/>
              </w:rPr>
            </w:pPr>
            <w:r>
              <w:rPr>
                <w:szCs w:val="21"/>
                <w:lang w:val="ru-RU"/>
              </w:rPr>
              <w:t>淮北市强壮纺织有限公司</w:t>
            </w:r>
          </w:p>
        </w:tc>
        <w:tc>
          <w:tcPr>
            <w:tcW w:w="2177" w:type="dxa"/>
            <w:vAlign w:val="center"/>
          </w:tcPr>
          <w:p>
            <w:pPr>
              <w:pStyle w:val="72"/>
              <w:rPr>
                <w:szCs w:val="21"/>
                <w:lang w:val="ru-RU"/>
              </w:rPr>
            </w:pPr>
            <w:r>
              <w:rPr>
                <w:szCs w:val="21"/>
                <w:lang w:val="ru-RU"/>
              </w:rPr>
              <w:t>服装裁剪加工</w:t>
            </w:r>
          </w:p>
        </w:tc>
        <w:tc>
          <w:tcPr>
            <w:tcW w:w="559" w:type="dxa"/>
            <w:vAlign w:val="center"/>
          </w:tcPr>
          <w:p>
            <w:pPr>
              <w:pStyle w:val="72"/>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6" w:hRule="atLeast"/>
          <w:jc w:val="center"/>
        </w:trPr>
        <w:tc>
          <w:tcPr>
            <w:tcW w:w="561" w:type="dxa"/>
            <w:vAlign w:val="center"/>
          </w:tcPr>
          <w:p>
            <w:pPr>
              <w:pStyle w:val="72"/>
            </w:pPr>
            <w:r>
              <w:rPr>
                <w:rFonts w:hint="eastAsia"/>
              </w:rPr>
              <w:t>9</w:t>
            </w:r>
          </w:p>
        </w:tc>
        <w:tc>
          <w:tcPr>
            <w:tcW w:w="2109" w:type="dxa"/>
            <w:vMerge w:val="continue"/>
            <w:vAlign w:val="center"/>
          </w:tcPr>
          <w:p>
            <w:pPr>
              <w:pStyle w:val="72"/>
            </w:pPr>
          </w:p>
        </w:tc>
        <w:tc>
          <w:tcPr>
            <w:tcW w:w="4654" w:type="dxa"/>
            <w:vAlign w:val="center"/>
          </w:tcPr>
          <w:p>
            <w:pPr>
              <w:pStyle w:val="72"/>
              <w:rPr>
                <w:szCs w:val="21"/>
                <w:lang w:val="ru-RU"/>
              </w:rPr>
            </w:pPr>
            <w:r>
              <w:rPr>
                <w:rFonts w:hint="eastAsia" w:cs="宋体"/>
                <w:szCs w:val="21"/>
              </w:rPr>
              <w:t>淮北市建恒纺织有限公司</w:t>
            </w:r>
          </w:p>
        </w:tc>
        <w:tc>
          <w:tcPr>
            <w:tcW w:w="2177" w:type="dxa"/>
            <w:vAlign w:val="center"/>
          </w:tcPr>
          <w:p>
            <w:pPr>
              <w:pStyle w:val="72"/>
              <w:rPr>
                <w:szCs w:val="21"/>
                <w:lang w:val="ru-RU"/>
              </w:rPr>
            </w:pPr>
            <w:r>
              <w:rPr>
                <w:szCs w:val="21"/>
                <w:lang w:val="ru-RU"/>
              </w:rPr>
              <w:t>服装裁剪加工</w:t>
            </w:r>
          </w:p>
        </w:tc>
        <w:tc>
          <w:tcPr>
            <w:tcW w:w="559" w:type="dxa"/>
            <w:vAlign w:val="center"/>
          </w:tcPr>
          <w:p>
            <w:pPr>
              <w:pStyle w:val="72"/>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6" w:hRule="atLeast"/>
          <w:jc w:val="center"/>
        </w:trPr>
        <w:tc>
          <w:tcPr>
            <w:tcW w:w="561" w:type="dxa"/>
            <w:vAlign w:val="center"/>
          </w:tcPr>
          <w:p>
            <w:pPr>
              <w:pStyle w:val="72"/>
            </w:pPr>
            <w:r>
              <w:rPr>
                <w:rFonts w:hint="eastAsia"/>
              </w:rPr>
              <w:t>10</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rPr>
              <w:t>华孚时尚股份有限公司</w:t>
            </w:r>
          </w:p>
        </w:tc>
        <w:tc>
          <w:tcPr>
            <w:tcW w:w="2177" w:type="dxa"/>
            <w:vAlign w:val="center"/>
          </w:tcPr>
          <w:p>
            <w:pPr>
              <w:pStyle w:val="72"/>
              <w:rPr>
                <w:szCs w:val="21"/>
                <w:lang w:val="ru-RU"/>
              </w:rPr>
            </w:pPr>
            <w:r>
              <w:rPr>
                <w:rFonts w:hint="eastAsia"/>
                <w:szCs w:val="21"/>
                <w:lang w:val="ru-RU"/>
              </w:rPr>
              <w:t>纺织制造</w:t>
            </w:r>
          </w:p>
        </w:tc>
        <w:tc>
          <w:tcPr>
            <w:tcW w:w="559" w:type="dxa"/>
            <w:vAlign w:val="center"/>
          </w:tcPr>
          <w:p>
            <w:pPr>
              <w:pStyle w:val="72"/>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11</w:t>
            </w:r>
          </w:p>
        </w:tc>
        <w:tc>
          <w:tcPr>
            <w:tcW w:w="2109" w:type="dxa"/>
            <w:vMerge w:val="restart"/>
            <w:vAlign w:val="center"/>
          </w:tcPr>
          <w:p>
            <w:pPr>
              <w:pStyle w:val="72"/>
            </w:pPr>
            <w:r>
              <w:t>食品加工业</w:t>
            </w:r>
          </w:p>
        </w:tc>
        <w:tc>
          <w:tcPr>
            <w:tcW w:w="4654" w:type="dxa"/>
            <w:vAlign w:val="center"/>
          </w:tcPr>
          <w:p>
            <w:pPr>
              <w:pStyle w:val="72"/>
              <w:rPr>
                <w:szCs w:val="21"/>
                <w:lang w:val="ru-RU"/>
              </w:rPr>
            </w:pPr>
            <w:r>
              <w:rPr>
                <w:rFonts w:hint="eastAsia"/>
                <w:szCs w:val="21"/>
                <w:lang w:val="ru-RU"/>
              </w:rPr>
              <w:t>安徽宝迪肉类食品有限公司</w:t>
            </w:r>
          </w:p>
        </w:tc>
        <w:tc>
          <w:tcPr>
            <w:tcW w:w="2177" w:type="dxa"/>
            <w:vAlign w:val="center"/>
          </w:tcPr>
          <w:p>
            <w:pPr>
              <w:pStyle w:val="72"/>
              <w:rPr>
                <w:szCs w:val="21"/>
                <w:lang w:val="ru-RU"/>
              </w:rPr>
            </w:pPr>
            <w:r>
              <w:rPr>
                <w:szCs w:val="21"/>
                <w:lang w:val="ru-RU"/>
              </w:rPr>
              <w:t>食品加工</w:t>
            </w:r>
          </w:p>
        </w:tc>
        <w:tc>
          <w:tcPr>
            <w:tcW w:w="559" w:type="dxa"/>
            <w:vAlign w:val="center"/>
          </w:tcPr>
          <w:p>
            <w:pPr>
              <w:pStyle w:val="72"/>
              <w:rPr>
                <w:highlight w:val="yellow"/>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12</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lang w:val="ru-RU"/>
              </w:rPr>
              <w:t>淮北市汉享食品有限公司</w:t>
            </w:r>
          </w:p>
        </w:tc>
        <w:tc>
          <w:tcPr>
            <w:tcW w:w="2177" w:type="dxa"/>
            <w:vAlign w:val="center"/>
          </w:tcPr>
          <w:p>
            <w:pPr>
              <w:pStyle w:val="72"/>
              <w:rPr>
                <w:szCs w:val="21"/>
                <w:lang w:val="ru-RU"/>
              </w:rPr>
            </w:pPr>
            <w:r>
              <w:rPr>
                <w:szCs w:val="21"/>
                <w:lang w:val="ru-RU"/>
              </w:rPr>
              <w:t>食品加工</w:t>
            </w:r>
          </w:p>
        </w:tc>
        <w:tc>
          <w:tcPr>
            <w:tcW w:w="559" w:type="dxa"/>
            <w:vAlign w:val="center"/>
          </w:tcPr>
          <w:p>
            <w:pPr>
              <w:pStyle w:val="72"/>
              <w:rPr>
                <w:highlight w:val="yellow"/>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13</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lang w:val="ru-RU"/>
              </w:rPr>
              <w:t>淮北顶大调味品有限公司</w:t>
            </w:r>
          </w:p>
        </w:tc>
        <w:tc>
          <w:tcPr>
            <w:tcW w:w="2177" w:type="dxa"/>
            <w:vAlign w:val="center"/>
          </w:tcPr>
          <w:p>
            <w:pPr>
              <w:pStyle w:val="72"/>
              <w:rPr>
                <w:szCs w:val="21"/>
                <w:lang w:val="ru-RU"/>
              </w:rPr>
            </w:pPr>
            <w:r>
              <w:rPr>
                <w:szCs w:val="21"/>
                <w:lang w:val="ru-RU"/>
              </w:rPr>
              <w:t>食品加工</w:t>
            </w:r>
          </w:p>
        </w:tc>
        <w:tc>
          <w:tcPr>
            <w:tcW w:w="559" w:type="dxa"/>
            <w:vAlign w:val="center"/>
          </w:tcPr>
          <w:p>
            <w:pPr>
              <w:pStyle w:val="72"/>
              <w:rPr>
                <w:highlight w:val="yellow"/>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t>1</w:t>
            </w:r>
            <w:r>
              <w:rPr>
                <w:rFonts w:hint="eastAsia"/>
              </w:rPr>
              <w:t>4</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lang w:val="ru-RU"/>
              </w:rPr>
              <w:t>安徽康宏园食品有限公司</w:t>
            </w:r>
          </w:p>
        </w:tc>
        <w:tc>
          <w:tcPr>
            <w:tcW w:w="2177" w:type="dxa"/>
            <w:vAlign w:val="center"/>
          </w:tcPr>
          <w:p>
            <w:pPr>
              <w:pStyle w:val="72"/>
              <w:rPr>
                <w:szCs w:val="21"/>
                <w:lang w:val="ru-RU"/>
              </w:rPr>
            </w:pPr>
            <w:r>
              <w:rPr>
                <w:szCs w:val="21"/>
                <w:lang w:val="ru-RU"/>
              </w:rPr>
              <w:t>食品加工</w:t>
            </w:r>
          </w:p>
        </w:tc>
        <w:tc>
          <w:tcPr>
            <w:tcW w:w="559" w:type="dxa"/>
            <w:vAlign w:val="center"/>
          </w:tcPr>
          <w:p>
            <w:pPr>
              <w:pStyle w:val="72"/>
              <w:rPr>
                <w:highlight w:val="yellow"/>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15</w:t>
            </w:r>
          </w:p>
        </w:tc>
        <w:tc>
          <w:tcPr>
            <w:tcW w:w="2109" w:type="dxa"/>
            <w:vMerge w:val="restart"/>
            <w:vAlign w:val="center"/>
          </w:tcPr>
          <w:p>
            <w:pPr>
              <w:pStyle w:val="72"/>
            </w:pPr>
            <w:r>
              <w:t>非金属矿物制品业</w:t>
            </w:r>
          </w:p>
        </w:tc>
        <w:tc>
          <w:tcPr>
            <w:tcW w:w="4654" w:type="dxa"/>
            <w:vAlign w:val="center"/>
          </w:tcPr>
          <w:p>
            <w:pPr>
              <w:pStyle w:val="72"/>
              <w:rPr>
                <w:szCs w:val="21"/>
                <w:lang w:val="ru-RU"/>
              </w:rPr>
            </w:pPr>
            <w:r>
              <w:rPr>
                <w:rFonts w:hint="eastAsia"/>
                <w:szCs w:val="21"/>
                <w:lang w:val="ru-RU"/>
              </w:rPr>
              <w:t>安徽金冠玻璃有限责任公司</w:t>
            </w:r>
          </w:p>
        </w:tc>
        <w:tc>
          <w:tcPr>
            <w:tcW w:w="2177" w:type="dxa"/>
            <w:vAlign w:val="center"/>
          </w:tcPr>
          <w:p>
            <w:pPr>
              <w:pStyle w:val="72"/>
              <w:rPr>
                <w:szCs w:val="21"/>
                <w:lang w:val="ru-RU"/>
              </w:rPr>
            </w:pPr>
            <w:r>
              <w:rPr>
                <w:rFonts w:hint="eastAsia"/>
                <w:szCs w:val="21"/>
                <w:lang w:val="ru-RU"/>
              </w:rPr>
              <w:t>玻璃制造加工</w:t>
            </w:r>
          </w:p>
        </w:tc>
        <w:tc>
          <w:tcPr>
            <w:tcW w:w="559" w:type="dxa"/>
            <w:vAlign w:val="center"/>
          </w:tcPr>
          <w:p>
            <w:pPr>
              <w:pStyle w:val="72"/>
              <w:rPr>
                <w:highlight w:val="yellow"/>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16</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lang w:val="ru-RU"/>
              </w:rPr>
              <w:t>淮北矿业相山水泥有限责任公司</w:t>
            </w:r>
          </w:p>
        </w:tc>
        <w:tc>
          <w:tcPr>
            <w:tcW w:w="2177" w:type="dxa"/>
            <w:vAlign w:val="center"/>
          </w:tcPr>
          <w:p>
            <w:pPr>
              <w:pStyle w:val="72"/>
              <w:rPr>
                <w:szCs w:val="21"/>
                <w:lang w:val="ru-RU"/>
              </w:rPr>
            </w:pPr>
            <w:r>
              <w:rPr>
                <w:rFonts w:hint="eastAsia"/>
                <w:szCs w:val="21"/>
                <w:lang w:val="ru-RU"/>
              </w:rPr>
              <w:t>水泥生产</w:t>
            </w:r>
          </w:p>
        </w:tc>
        <w:tc>
          <w:tcPr>
            <w:tcW w:w="559" w:type="dxa"/>
            <w:vAlign w:val="center"/>
          </w:tcPr>
          <w:p>
            <w:pPr>
              <w:pStyle w:val="72"/>
              <w:rPr>
                <w:highlight w:val="yellow"/>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17</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lang w:val="ru-RU"/>
              </w:rPr>
              <w:t>淮北众城水泥有限责任公司</w:t>
            </w:r>
          </w:p>
        </w:tc>
        <w:tc>
          <w:tcPr>
            <w:tcW w:w="2177" w:type="dxa"/>
            <w:vAlign w:val="center"/>
          </w:tcPr>
          <w:p>
            <w:pPr>
              <w:pStyle w:val="72"/>
              <w:rPr>
                <w:szCs w:val="21"/>
                <w:lang w:val="ru-RU"/>
              </w:rPr>
            </w:pPr>
            <w:r>
              <w:rPr>
                <w:rFonts w:hint="eastAsia"/>
                <w:szCs w:val="21"/>
                <w:lang w:val="ru-RU"/>
              </w:rPr>
              <w:t>水泥生产</w:t>
            </w:r>
          </w:p>
        </w:tc>
        <w:tc>
          <w:tcPr>
            <w:tcW w:w="559" w:type="dxa"/>
            <w:vAlign w:val="center"/>
          </w:tcPr>
          <w:p>
            <w:pPr>
              <w:pStyle w:val="72"/>
              <w:rPr>
                <w:highlight w:val="yellow"/>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18</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lang w:val="ru-RU"/>
              </w:rPr>
              <w:t>惠尔普陶瓷厂</w:t>
            </w:r>
          </w:p>
        </w:tc>
        <w:tc>
          <w:tcPr>
            <w:tcW w:w="2177" w:type="dxa"/>
            <w:vAlign w:val="center"/>
          </w:tcPr>
          <w:p>
            <w:pPr>
              <w:pStyle w:val="72"/>
              <w:rPr>
                <w:szCs w:val="21"/>
                <w:lang w:val="ru-RU"/>
              </w:rPr>
            </w:pPr>
            <w:r>
              <w:rPr>
                <w:rFonts w:hint="eastAsia"/>
                <w:szCs w:val="21"/>
                <w:lang w:val="ru-RU"/>
              </w:rPr>
              <w:t>陶瓷制造</w:t>
            </w:r>
          </w:p>
        </w:tc>
        <w:tc>
          <w:tcPr>
            <w:tcW w:w="559" w:type="dxa"/>
            <w:vAlign w:val="center"/>
          </w:tcPr>
          <w:p>
            <w:pPr>
              <w:pStyle w:val="72"/>
              <w:rPr>
                <w:highlight w:val="yellow"/>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19</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lang w:val="ru-RU"/>
              </w:rPr>
              <w:t>伯爵陶瓷</w:t>
            </w:r>
          </w:p>
        </w:tc>
        <w:tc>
          <w:tcPr>
            <w:tcW w:w="2177" w:type="dxa"/>
            <w:vAlign w:val="center"/>
          </w:tcPr>
          <w:p>
            <w:pPr>
              <w:pStyle w:val="72"/>
              <w:rPr>
                <w:szCs w:val="21"/>
                <w:lang w:val="ru-RU"/>
              </w:rPr>
            </w:pPr>
            <w:r>
              <w:rPr>
                <w:rFonts w:hint="eastAsia"/>
                <w:szCs w:val="21"/>
                <w:lang w:val="ru-RU"/>
              </w:rPr>
              <w:t>陶瓷制造</w:t>
            </w:r>
          </w:p>
        </w:tc>
        <w:tc>
          <w:tcPr>
            <w:tcW w:w="559" w:type="dxa"/>
            <w:vAlign w:val="center"/>
          </w:tcPr>
          <w:p>
            <w:pPr>
              <w:pStyle w:val="72"/>
              <w:rPr>
                <w:highlight w:val="yellow"/>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20</w:t>
            </w:r>
          </w:p>
        </w:tc>
        <w:tc>
          <w:tcPr>
            <w:tcW w:w="2109" w:type="dxa"/>
            <w:vMerge w:val="restart"/>
            <w:vAlign w:val="center"/>
          </w:tcPr>
          <w:p>
            <w:pPr>
              <w:pStyle w:val="72"/>
            </w:pPr>
          </w:p>
          <w:p>
            <w:pPr>
              <w:pStyle w:val="72"/>
            </w:pPr>
            <w:r>
              <w:t>通用设备制造业</w:t>
            </w:r>
          </w:p>
        </w:tc>
        <w:tc>
          <w:tcPr>
            <w:tcW w:w="4654" w:type="dxa"/>
            <w:vAlign w:val="center"/>
          </w:tcPr>
          <w:p>
            <w:pPr>
              <w:pStyle w:val="72"/>
              <w:rPr>
                <w:szCs w:val="21"/>
                <w:lang w:val="ru-RU"/>
              </w:rPr>
            </w:pPr>
            <w:r>
              <w:rPr>
                <w:rFonts w:hint="eastAsia"/>
                <w:szCs w:val="21"/>
                <w:lang w:val="ru-RU"/>
              </w:rPr>
              <w:t>安徽瑞欧机械设备制造有限公司</w:t>
            </w:r>
          </w:p>
        </w:tc>
        <w:tc>
          <w:tcPr>
            <w:tcW w:w="2177" w:type="dxa"/>
            <w:vAlign w:val="center"/>
          </w:tcPr>
          <w:p>
            <w:pPr>
              <w:pStyle w:val="72"/>
              <w:rPr>
                <w:szCs w:val="21"/>
                <w:lang w:val="ru-RU"/>
              </w:rPr>
            </w:pPr>
            <w:r>
              <w:rPr>
                <w:rFonts w:hint="eastAsia"/>
                <w:szCs w:val="21"/>
                <w:lang w:val="ru-RU"/>
              </w:rPr>
              <w:t>机械设备制造</w:t>
            </w:r>
          </w:p>
        </w:tc>
        <w:tc>
          <w:tcPr>
            <w:tcW w:w="559" w:type="dxa"/>
            <w:vAlign w:val="center"/>
          </w:tcPr>
          <w:p>
            <w:pPr>
              <w:pStyle w:val="72"/>
              <w:rPr>
                <w:highlight w:val="yellow"/>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21</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lang w:val="ru-RU"/>
              </w:rPr>
              <w:t>淮北三一机械有限公司</w:t>
            </w:r>
          </w:p>
        </w:tc>
        <w:tc>
          <w:tcPr>
            <w:tcW w:w="2177" w:type="dxa"/>
            <w:vAlign w:val="center"/>
          </w:tcPr>
          <w:p>
            <w:pPr>
              <w:pStyle w:val="72"/>
              <w:rPr>
                <w:szCs w:val="21"/>
                <w:lang w:val="ru-RU"/>
              </w:rPr>
            </w:pPr>
            <w:r>
              <w:rPr>
                <w:rFonts w:hint="eastAsia"/>
                <w:szCs w:val="21"/>
                <w:lang w:val="ru-RU"/>
              </w:rPr>
              <w:t>机械设备制造</w:t>
            </w:r>
          </w:p>
        </w:tc>
        <w:tc>
          <w:tcPr>
            <w:tcW w:w="559" w:type="dxa"/>
            <w:vAlign w:val="center"/>
          </w:tcPr>
          <w:p>
            <w:pPr>
              <w:pStyle w:val="72"/>
              <w:rPr>
                <w:highlight w:val="yellow"/>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22</w:t>
            </w:r>
          </w:p>
        </w:tc>
        <w:tc>
          <w:tcPr>
            <w:tcW w:w="2109" w:type="dxa"/>
            <w:vMerge w:val="continue"/>
            <w:vAlign w:val="center"/>
          </w:tcPr>
          <w:p>
            <w:pPr>
              <w:pStyle w:val="72"/>
            </w:pPr>
          </w:p>
        </w:tc>
        <w:tc>
          <w:tcPr>
            <w:tcW w:w="4654" w:type="dxa"/>
            <w:vAlign w:val="center"/>
          </w:tcPr>
          <w:p>
            <w:pPr>
              <w:pStyle w:val="72"/>
              <w:rPr>
                <w:szCs w:val="21"/>
                <w:lang w:val="ru-RU"/>
              </w:rPr>
            </w:pPr>
            <w:r>
              <w:rPr>
                <w:rFonts w:hint="eastAsia"/>
              </w:rPr>
              <w:t>安徽省矿业机电装备有限责任公司</w:t>
            </w:r>
          </w:p>
        </w:tc>
        <w:tc>
          <w:tcPr>
            <w:tcW w:w="2177" w:type="dxa"/>
            <w:vAlign w:val="center"/>
          </w:tcPr>
          <w:p>
            <w:pPr>
              <w:pStyle w:val="72"/>
              <w:rPr>
                <w:szCs w:val="21"/>
                <w:lang w:val="ru-RU"/>
              </w:rPr>
            </w:pPr>
            <w:r>
              <w:rPr>
                <w:rFonts w:hint="eastAsia"/>
                <w:szCs w:val="21"/>
                <w:lang w:val="ru-RU"/>
              </w:rPr>
              <w:t>机械设备制造</w:t>
            </w:r>
          </w:p>
        </w:tc>
        <w:tc>
          <w:tcPr>
            <w:tcW w:w="559" w:type="dxa"/>
            <w:vAlign w:val="center"/>
          </w:tcPr>
          <w:p>
            <w:pPr>
              <w:pStyle w:val="72"/>
              <w:rPr>
                <w:highlight w:val="yellow"/>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23</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lang w:val="ru-RU"/>
              </w:rPr>
              <w:t>金龙机电（淮北）有限公司</w:t>
            </w:r>
          </w:p>
        </w:tc>
        <w:tc>
          <w:tcPr>
            <w:tcW w:w="2177" w:type="dxa"/>
            <w:vAlign w:val="center"/>
          </w:tcPr>
          <w:p>
            <w:pPr>
              <w:pStyle w:val="72"/>
              <w:rPr>
                <w:szCs w:val="21"/>
                <w:lang w:val="ru-RU"/>
              </w:rPr>
            </w:pPr>
            <w:r>
              <w:rPr>
                <w:rFonts w:hint="eastAsia"/>
                <w:szCs w:val="21"/>
                <w:lang w:val="ru-RU"/>
              </w:rPr>
              <w:t>机械设备制造</w:t>
            </w:r>
          </w:p>
        </w:tc>
        <w:tc>
          <w:tcPr>
            <w:tcW w:w="559" w:type="dxa"/>
            <w:vAlign w:val="center"/>
          </w:tcPr>
          <w:p>
            <w:pPr>
              <w:pStyle w:val="72"/>
              <w:rPr>
                <w:highlight w:val="yellow"/>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00" w:hRule="atLeast"/>
          <w:jc w:val="center"/>
        </w:trPr>
        <w:tc>
          <w:tcPr>
            <w:tcW w:w="561" w:type="dxa"/>
            <w:vAlign w:val="center"/>
          </w:tcPr>
          <w:p>
            <w:pPr>
              <w:pStyle w:val="72"/>
            </w:pPr>
            <w:r>
              <w:rPr>
                <w:rFonts w:hint="eastAsia"/>
              </w:rPr>
              <w:t>24</w:t>
            </w:r>
          </w:p>
        </w:tc>
        <w:tc>
          <w:tcPr>
            <w:tcW w:w="2109" w:type="dxa"/>
            <w:vMerge w:val="restart"/>
            <w:vAlign w:val="center"/>
          </w:tcPr>
          <w:p>
            <w:pPr>
              <w:pStyle w:val="72"/>
            </w:pPr>
            <w:r>
              <w:t>饮料加工业</w:t>
            </w:r>
          </w:p>
        </w:tc>
        <w:tc>
          <w:tcPr>
            <w:tcW w:w="4654" w:type="dxa"/>
            <w:vAlign w:val="center"/>
          </w:tcPr>
          <w:p>
            <w:pPr>
              <w:pStyle w:val="72"/>
              <w:rPr>
                <w:szCs w:val="21"/>
                <w:lang w:val="ru-RU"/>
              </w:rPr>
            </w:pPr>
            <w:r>
              <w:rPr>
                <w:rFonts w:hint="eastAsia"/>
                <w:szCs w:val="21"/>
                <w:lang w:val="ru-RU"/>
              </w:rPr>
              <w:t>安徽昊佳食品饮料有限责任公司</w:t>
            </w:r>
          </w:p>
        </w:tc>
        <w:tc>
          <w:tcPr>
            <w:tcW w:w="2177" w:type="dxa"/>
            <w:vAlign w:val="center"/>
          </w:tcPr>
          <w:p>
            <w:pPr>
              <w:pStyle w:val="72"/>
              <w:rPr>
                <w:szCs w:val="21"/>
                <w:lang w:val="ru-RU"/>
              </w:rPr>
            </w:pPr>
            <w:r>
              <w:rPr>
                <w:rFonts w:hint="eastAsia"/>
                <w:szCs w:val="21"/>
                <w:lang w:val="ru-RU"/>
              </w:rPr>
              <w:t>饮料制造</w:t>
            </w:r>
          </w:p>
        </w:tc>
        <w:tc>
          <w:tcPr>
            <w:tcW w:w="559" w:type="dxa"/>
            <w:vAlign w:val="center"/>
          </w:tcPr>
          <w:p>
            <w:pPr>
              <w:pStyle w:val="72"/>
              <w:rPr>
                <w:highlight w:val="yellow"/>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278" w:hRule="atLeast"/>
          <w:jc w:val="center"/>
        </w:trPr>
        <w:tc>
          <w:tcPr>
            <w:tcW w:w="561" w:type="dxa"/>
            <w:vAlign w:val="center"/>
          </w:tcPr>
          <w:p>
            <w:pPr>
              <w:pStyle w:val="72"/>
            </w:pPr>
            <w:r>
              <w:rPr>
                <w:rFonts w:hint="eastAsia"/>
              </w:rPr>
              <w:t>25</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lang w:val="ru-RU"/>
              </w:rPr>
              <w:t>淮北市相王米酒厂</w:t>
            </w:r>
          </w:p>
        </w:tc>
        <w:tc>
          <w:tcPr>
            <w:tcW w:w="2177" w:type="dxa"/>
            <w:vAlign w:val="center"/>
          </w:tcPr>
          <w:p>
            <w:pPr>
              <w:pStyle w:val="72"/>
              <w:rPr>
                <w:szCs w:val="21"/>
                <w:lang w:val="ru-RU"/>
              </w:rPr>
            </w:pPr>
            <w:r>
              <w:rPr>
                <w:rFonts w:hint="eastAsia"/>
                <w:szCs w:val="21"/>
                <w:lang w:val="ru-RU"/>
              </w:rPr>
              <w:t>饮料制造</w:t>
            </w:r>
          </w:p>
        </w:tc>
        <w:tc>
          <w:tcPr>
            <w:tcW w:w="559" w:type="dxa"/>
            <w:vAlign w:val="center"/>
          </w:tcPr>
          <w:p>
            <w:pPr>
              <w:pStyle w:val="72"/>
              <w:rPr>
                <w:highlight w:val="yellow"/>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14" w:hRule="atLeast"/>
          <w:jc w:val="center"/>
        </w:trPr>
        <w:tc>
          <w:tcPr>
            <w:tcW w:w="561" w:type="dxa"/>
            <w:vAlign w:val="center"/>
          </w:tcPr>
          <w:p>
            <w:pPr>
              <w:pStyle w:val="72"/>
            </w:pPr>
            <w:r>
              <w:rPr>
                <w:rFonts w:hint="eastAsia"/>
              </w:rPr>
              <w:t>26</w:t>
            </w:r>
          </w:p>
        </w:tc>
        <w:tc>
          <w:tcPr>
            <w:tcW w:w="2109" w:type="dxa"/>
            <w:vMerge w:val="restart"/>
            <w:vAlign w:val="center"/>
          </w:tcPr>
          <w:p>
            <w:pPr>
              <w:pStyle w:val="72"/>
            </w:pPr>
            <w:r>
              <w:t>金属加工业</w:t>
            </w:r>
          </w:p>
        </w:tc>
        <w:tc>
          <w:tcPr>
            <w:tcW w:w="4654" w:type="dxa"/>
            <w:vAlign w:val="center"/>
          </w:tcPr>
          <w:p>
            <w:pPr>
              <w:pStyle w:val="72"/>
              <w:rPr>
                <w:szCs w:val="21"/>
                <w:lang w:val="ru-RU"/>
              </w:rPr>
            </w:pPr>
            <w:r>
              <w:rPr>
                <w:rFonts w:hint="eastAsia"/>
                <w:szCs w:val="21"/>
                <w:lang w:val="ru-RU"/>
              </w:rPr>
              <w:t>淮北市新宇金属制品厂</w:t>
            </w:r>
          </w:p>
        </w:tc>
        <w:tc>
          <w:tcPr>
            <w:tcW w:w="2177" w:type="dxa"/>
            <w:vAlign w:val="center"/>
          </w:tcPr>
          <w:p>
            <w:pPr>
              <w:pStyle w:val="72"/>
              <w:rPr>
                <w:szCs w:val="21"/>
                <w:lang w:val="ru-RU"/>
              </w:rPr>
            </w:pPr>
            <w:r>
              <w:rPr>
                <w:szCs w:val="21"/>
                <w:lang w:val="ru-RU"/>
              </w:rPr>
              <w:t>金属加工</w:t>
            </w:r>
          </w:p>
        </w:tc>
        <w:tc>
          <w:tcPr>
            <w:tcW w:w="559" w:type="dxa"/>
            <w:vAlign w:val="center"/>
          </w:tcPr>
          <w:p>
            <w:pPr>
              <w:pStyle w:val="72"/>
              <w:rPr>
                <w:szCs w:val="21"/>
                <w:lang w:val="ru-RU"/>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27</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lang w:val="ru-RU"/>
              </w:rPr>
              <w:t>淮北市汇众金属制品有限公司</w:t>
            </w:r>
          </w:p>
        </w:tc>
        <w:tc>
          <w:tcPr>
            <w:tcW w:w="2177" w:type="dxa"/>
            <w:vAlign w:val="center"/>
          </w:tcPr>
          <w:p>
            <w:pPr>
              <w:pStyle w:val="72"/>
              <w:rPr>
                <w:szCs w:val="21"/>
                <w:lang w:val="ru-RU"/>
              </w:rPr>
            </w:pPr>
            <w:r>
              <w:rPr>
                <w:szCs w:val="21"/>
                <w:lang w:val="ru-RU"/>
              </w:rPr>
              <w:t>金属加工</w:t>
            </w:r>
          </w:p>
        </w:tc>
        <w:tc>
          <w:tcPr>
            <w:tcW w:w="559" w:type="dxa"/>
            <w:vAlign w:val="center"/>
          </w:tcPr>
          <w:p>
            <w:pPr>
              <w:pStyle w:val="72"/>
              <w:rPr>
                <w:szCs w:val="21"/>
                <w:lang w:val="ru-RU"/>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28</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lang w:val="ru-RU"/>
              </w:rPr>
              <w:t>淮北龙图铝材有限公司</w:t>
            </w:r>
          </w:p>
        </w:tc>
        <w:tc>
          <w:tcPr>
            <w:tcW w:w="2177" w:type="dxa"/>
            <w:vAlign w:val="center"/>
          </w:tcPr>
          <w:p>
            <w:pPr>
              <w:pStyle w:val="72"/>
              <w:rPr>
                <w:szCs w:val="21"/>
                <w:lang w:val="ru-RU"/>
              </w:rPr>
            </w:pPr>
            <w:r>
              <w:rPr>
                <w:szCs w:val="21"/>
                <w:lang w:val="ru-RU"/>
              </w:rPr>
              <w:t>金属加工</w:t>
            </w:r>
          </w:p>
        </w:tc>
        <w:tc>
          <w:tcPr>
            <w:tcW w:w="559" w:type="dxa"/>
            <w:vAlign w:val="center"/>
          </w:tcPr>
          <w:p>
            <w:pPr>
              <w:pStyle w:val="72"/>
              <w:rPr>
                <w:szCs w:val="21"/>
                <w:lang w:val="ru-RU"/>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29</w:t>
            </w:r>
          </w:p>
        </w:tc>
        <w:tc>
          <w:tcPr>
            <w:tcW w:w="2109" w:type="dxa"/>
            <w:vMerge w:val="restart"/>
            <w:vAlign w:val="center"/>
          </w:tcPr>
          <w:p>
            <w:pPr>
              <w:pStyle w:val="72"/>
            </w:pPr>
            <w:r>
              <w:t>生物医药</w:t>
            </w:r>
          </w:p>
        </w:tc>
        <w:tc>
          <w:tcPr>
            <w:tcW w:w="4654" w:type="dxa"/>
            <w:vAlign w:val="center"/>
          </w:tcPr>
          <w:p>
            <w:pPr>
              <w:pStyle w:val="72"/>
              <w:rPr>
                <w:szCs w:val="21"/>
                <w:lang w:val="ru-RU"/>
              </w:rPr>
            </w:pPr>
            <w:r>
              <w:rPr>
                <w:rFonts w:hint="eastAsia"/>
                <w:szCs w:val="21"/>
                <w:lang w:val="ru-RU"/>
              </w:rPr>
              <w:t>淮北中迈生物科技有限公司</w:t>
            </w:r>
          </w:p>
        </w:tc>
        <w:tc>
          <w:tcPr>
            <w:tcW w:w="2177" w:type="dxa"/>
            <w:vAlign w:val="center"/>
          </w:tcPr>
          <w:p>
            <w:pPr>
              <w:pStyle w:val="72"/>
              <w:rPr>
                <w:szCs w:val="21"/>
                <w:lang w:val="ru-RU"/>
              </w:rPr>
            </w:pPr>
            <w:r>
              <w:rPr>
                <w:rFonts w:hint="eastAsia"/>
                <w:szCs w:val="21"/>
                <w:lang w:val="ru-RU"/>
              </w:rPr>
              <w:t>生物医药</w:t>
            </w:r>
          </w:p>
        </w:tc>
        <w:tc>
          <w:tcPr>
            <w:tcW w:w="559" w:type="dxa"/>
            <w:vAlign w:val="center"/>
          </w:tcPr>
          <w:p>
            <w:pPr>
              <w:pStyle w:val="72"/>
              <w:rPr>
                <w:szCs w:val="21"/>
                <w:lang w:val="ru-RU"/>
              </w:rPr>
            </w:pP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61" w:type="dxa"/>
            <w:vAlign w:val="center"/>
          </w:tcPr>
          <w:p>
            <w:pPr>
              <w:pStyle w:val="72"/>
            </w:pPr>
            <w:r>
              <w:rPr>
                <w:rFonts w:hint="eastAsia"/>
              </w:rPr>
              <w:t>30</w:t>
            </w:r>
          </w:p>
        </w:tc>
        <w:tc>
          <w:tcPr>
            <w:tcW w:w="2109" w:type="dxa"/>
            <w:vMerge w:val="continue"/>
            <w:vAlign w:val="center"/>
          </w:tcPr>
          <w:p>
            <w:pPr>
              <w:pStyle w:val="72"/>
            </w:pPr>
          </w:p>
        </w:tc>
        <w:tc>
          <w:tcPr>
            <w:tcW w:w="4654" w:type="dxa"/>
            <w:vAlign w:val="center"/>
          </w:tcPr>
          <w:p>
            <w:pPr>
              <w:pStyle w:val="72"/>
              <w:rPr>
                <w:szCs w:val="21"/>
                <w:lang w:val="ru-RU"/>
              </w:rPr>
            </w:pPr>
            <w:r>
              <w:rPr>
                <w:rFonts w:hint="eastAsia"/>
                <w:szCs w:val="21"/>
                <w:lang w:val="ru-RU"/>
              </w:rPr>
              <w:t>安徽华润金蟾药业股份有限公司</w:t>
            </w:r>
          </w:p>
        </w:tc>
        <w:tc>
          <w:tcPr>
            <w:tcW w:w="2177" w:type="dxa"/>
            <w:vAlign w:val="center"/>
          </w:tcPr>
          <w:p>
            <w:pPr>
              <w:pStyle w:val="72"/>
              <w:rPr>
                <w:szCs w:val="21"/>
                <w:lang w:val="ru-RU"/>
              </w:rPr>
            </w:pPr>
            <w:r>
              <w:rPr>
                <w:rFonts w:hint="eastAsia"/>
                <w:szCs w:val="21"/>
                <w:lang w:val="ru-RU"/>
              </w:rPr>
              <w:t>生物医药</w:t>
            </w:r>
          </w:p>
        </w:tc>
        <w:tc>
          <w:tcPr>
            <w:tcW w:w="559" w:type="dxa"/>
            <w:vAlign w:val="center"/>
          </w:tcPr>
          <w:p>
            <w:pPr>
              <w:pStyle w:val="72"/>
              <w:rPr>
                <w:szCs w:val="21"/>
                <w:lang w:val="ru-RU"/>
              </w:rPr>
            </w:pPr>
          </w:p>
        </w:tc>
      </w:tr>
    </w:tbl>
    <w:p>
      <w:pPr>
        <w:pStyle w:val="16"/>
        <w:spacing w:line="360" w:lineRule="auto"/>
        <w:ind w:firstLine="560"/>
        <w:rPr>
          <w:rFonts w:cs="Times New Roman"/>
        </w:rPr>
      </w:pPr>
      <w:r>
        <w:rPr>
          <w:rFonts w:cs="Times New Roman"/>
        </w:rPr>
        <w:t>食品加工业、生物制药业需水量较大，是节水工作需要重点开展的行业。各行业的部分</w:t>
      </w:r>
      <w:r>
        <w:rPr>
          <w:rFonts w:hint="eastAsia" w:cs="Times New Roman"/>
        </w:rPr>
        <w:t>节水型</w:t>
      </w:r>
      <w:r>
        <w:rPr>
          <w:rFonts w:cs="Times New Roman"/>
        </w:rPr>
        <w:t>企业列举如下表：</w:t>
      </w:r>
    </w:p>
    <w:p>
      <w:pPr>
        <w:pStyle w:val="16"/>
        <w:spacing w:line="360" w:lineRule="auto"/>
        <w:ind w:firstLine="700" w:firstLineChars="250"/>
        <w:rPr>
          <w:rFonts w:cs="Times New Roman"/>
        </w:rPr>
      </w:pPr>
      <w:bookmarkStart w:id="191" w:name="_Toc478634628"/>
      <w:bookmarkStart w:id="192" w:name="_Toc478634334"/>
      <w:bookmarkStart w:id="193" w:name="_Toc480311594"/>
      <w:bookmarkStart w:id="194" w:name="_Toc477942053"/>
      <w:r>
        <w:rPr>
          <w:rFonts w:hint="eastAsia" w:cs="Times New Roman"/>
        </w:rPr>
        <w:t>1、火力发电（</w:t>
      </w:r>
      <w:r>
        <w:rPr>
          <w:rFonts w:hint="eastAsia" w:cs="Times New Roman"/>
          <w:spacing w:val="16"/>
        </w:rPr>
        <w:t>大唐淮北发电厂</w:t>
      </w:r>
      <w:r>
        <w:rPr>
          <w:rFonts w:hint="eastAsia" w:cs="Times New Roman"/>
        </w:rPr>
        <w:t>）</w:t>
      </w:r>
    </w:p>
    <w:p>
      <w:pPr>
        <w:pStyle w:val="16"/>
        <w:spacing w:line="360" w:lineRule="auto"/>
        <w:ind w:firstLine="592"/>
        <w:rPr>
          <w:rFonts w:cs="Times New Roman"/>
          <w:spacing w:val="16"/>
        </w:rPr>
      </w:pPr>
      <w:r>
        <w:rPr>
          <w:rFonts w:hint="eastAsia" w:cs="Times New Roman"/>
          <w:spacing w:val="16"/>
        </w:rPr>
        <w:t>大唐淮北发电厂座落在国家能源基地安徽省淮北市西郊，</w:t>
      </w:r>
      <w:r>
        <w:rPr>
          <w:rFonts w:cs="Times New Roman"/>
          <w:spacing w:val="16"/>
        </w:rPr>
        <w:t xml:space="preserve"> </w:t>
      </w:r>
      <w:r>
        <w:rPr>
          <w:rFonts w:hint="eastAsia" w:cs="Times New Roman"/>
          <w:spacing w:val="16"/>
        </w:rPr>
        <w:t>是伴随着淮北煤炭基地的开发建设而同步发展起来的现代化大型坑口发电厂。始建于</w:t>
      </w:r>
      <w:r>
        <w:rPr>
          <w:rFonts w:cs="Times New Roman"/>
          <w:spacing w:val="16"/>
        </w:rPr>
        <w:t>1969</w:t>
      </w:r>
      <w:r>
        <w:rPr>
          <w:rFonts w:hint="eastAsia" w:cs="Times New Roman"/>
          <w:spacing w:val="16"/>
        </w:rPr>
        <w:t>年，经过五期扩建和技术改造，至</w:t>
      </w:r>
      <w:r>
        <w:rPr>
          <w:rFonts w:cs="Times New Roman"/>
          <w:spacing w:val="16"/>
        </w:rPr>
        <w:t>2005</w:t>
      </w:r>
      <w:r>
        <w:rPr>
          <w:rFonts w:hint="eastAsia" w:cs="Times New Roman"/>
          <w:spacing w:val="16"/>
        </w:rPr>
        <w:t>年拥有</w:t>
      </w:r>
      <w:r>
        <w:rPr>
          <w:rFonts w:cs="Times New Roman"/>
          <w:spacing w:val="16"/>
        </w:rPr>
        <w:t>8</w:t>
      </w:r>
      <w:r>
        <w:rPr>
          <w:rFonts w:hint="eastAsia" w:cs="Times New Roman"/>
          <w:spacing w:val="16"/>
        </w:rPr>
        <w:t>台机组，总装机容量达</w:t>
      </w:r>
      <w:r>
        <w:rPr>
          <w:rFonts w:cs="Times New Roman"/>
          <w:spacing w:val="16"/>
        </w:rPr>
        <w:t>1245MW</w:t>
      </w:r>
      <w:r>
        <w:rPr>
          <w:rFonts w:hint="eastAsia" w:cs="Times New Roman"/>
          <w:spacing w:val="16"/>
        </w:rPr>
        <w:t>，在厂网分离前隶属于安徽省电力公司，</w:t>
      </w:r>
      <w:r>
        <w:rPr>
          <w:rFonts w:cs="Times New Roman"/>
          <w:spacing w:val="16"/>
        </w:rPr>
        <w:t>2002</w:t>
      </w:r>
      <w:r>
        <w:rPr>
          <w:rFonts w:hint="eastAsia" w:cs="Times New Roman"/>
          <w:spacing w:val="16"/>
        </w:rPr>
        <w:t>年</w:t>
      </w:r>
      <w:r>
        <w:rPr>
          <w:rFonts w:cs="Times New Roman"/>
          <w:spacing w:val="16"/>
        </w:rPr>
        <w:t>12</w:t>
      </w:r>
      <w:r>
        <w:rPr>
          <w:rFonts w:hint="eastAsia" w:cs="Times New Roman"/>
          <w:spacing w:val="16"/>
        </w:rPr>
        <w:t>月</w:t>
      </w:r>
      <w:r>
        <w:rPr>
          <w:rFonts w:cs="Times New Roman"/>
          <w:spacing w:val="16"/>
        </w:rPr>
        <w:t>29</w:t>
      </w:r>
      <w:r>
        <w:rPr>
          <w:rFonts w:hint="eastAsia" w:cs="Times New Roman"/>
          <w:spacing w:val="16"/>
        </w:rPr>
        <w:t>日划归中国大唐集团公司。</w:t>
      </w:r>
      <w:r>
        <w:rPr>
          <w:rFonts w:cs="Times New Roman"/>
          <w:spacing w:val="16"/>
        </w:rPr>
        <w:t xml:space="preserve"> </w:t>
      </w:r>
    </w:p>
    <w:p>
      <w:pPr>
        <w:pStyle w:val="16"/>
        <w:spacing w:line="360" w:lineRule="auto"/>
        <w:ind w:firstLine="592"/>
        <w:rPr>
          <w:rFonts w:cs="Times New Roman"/>
          <w:spacing w:val="16"/>
        </w:rPr>
      </w:pPr>
      <w:r>
        <w:rPr>
          <w:rFonts w:cs="Times New Roman"/>
          <w:spacing w:val="16"/>
        </w:rPr>
        <w:t>2007</w:t>
      </w:r>
      <w:r>
        <w:rPr>
          <w:rFonts w:hint="eastAsia" w:cs="Times New Roman"/>
          <w:spacing w:val="16"/>
        </w:rPr>
        <w:t>年以来大唐淮北发电厂，根据国务院《关于加快关停小火电机组若干意见通知》（国发【</w:t>
      </w:r>
      <w:r>
        <w:rPr>
          <w:rFonts w:cs="Times New Roman"/>
          <w:spacing w:val="16"/>
        </w:rPr>
        <w:t>2007</w:t>
      </w:r>
      <w:r>
        <w:rPr>
          <w:rFonts w:hint="eastAsia" w:cs="Times New Roman"/>
          <w:spacing w:val="16"/>
        </w:rPr>
        <w:t>】</w:t>
      </w:r>
      <w:r>
        <w:rPr>
          <w:rFonts w:cs="Times New Roman"/>
          <w:spacing w:val="16"/>
        </w:rPr>
        <w:t>2</w:t>
      </w:r>
      <w:r>
        <w:rPr>
          <w:rFonts w:hint="eastAsia" w:cs="Times New Roman"/>
          <w:spacing w:val="16"/>
        </w:rPr>
        <w:t>号），立足企业实际，积极响应国家</w:t>
      </w:r>
      <w:r>
        <w:rPr>
          <w:rFonts w:cs="Times New Roman"/>
          <w:spacing w:val="16"/>
        </w:rPr>
        <w:t>“</w:t>
      </w:r>
      <w:r>
        <w:rPr>
          <w:rFonts w:hint="eastAsia" w:cs="Times New Roman"/>
          <w:spacing w:val="16"/>
        </w:rPr>
        <w:t>上大压小</w:t>
      </w:r>
      <w:r>
        <w:rPr>
          <w:rFonts w:cs="Times New Roman"/>
          <w:spacing w:val="16"/>
        </w:rPr>
        <w:t>”</w:t>
      </w:r>
      <w:r>
        <w:rPr>
          <w:rFonts w:hint="eastAsia" w:cs="Times New Roman"/>
          <w:spacing w:val="16"/>
        </w:rPr>
        <w:t>、节能减排号召，果断实施了</w:t>
      </w:r>
      <w:r>
        <w:rPr>
          <w:rFonts w:cs="Times New Roman"/>
          <w:spacing w:val="16"/>
        </w:rPr>
        <w:t>“</w:t>
      </w:r>
      <w:r>
        <w:rPr>
          <w:rFonts w:hint="eastAsia" w:cs="Times New Roman"/>
          <w:spacing w:val="16"/>
        </w:rPr>
        <w:t>二次创业</w:t>
      </w:r>
      <w:r>
        <w:rPr>
          <w:rFonts w:cs="Times New Roman"/>
          <w:spacing w:val="16"/>
        </w:rPr>
        <w:t>”</w:t>
      </w:r>
      <w:r>
        <w:rPr>
          <w:rFonts w:hint="eastAsia" w:cs="Times New Roman"/>
          <w:spacing w:val="16"/>
        </w:rPr>
        <w:t>的科学发展战略，相继关停了</w:t>
      </w:r>
      <w:r>
        <w:rPr>
          <w:rFonts w:cs="Times New Roman"/>
          <w:spacing w:val="16"/>
        </w:rPr>
        <w:t>7</w:t>
      </w:r>
      <w:r>
        <w:rPr>
          <w:rFonts w:hint="eastAsia" w:cs="Times New Roman"/>
          <w:spacing w:val="16"/>
        </w:rPr>
        <w:t>台老小机组，实现了安徽省节能减排</w:t>
      </w:r>
      <w:r>
        <w:rPr>
          <w:rFonts w:cs="Times New Roman"/>
          <w:spacing w:val="16"/>
        </w:rPr>
        <w:t>“</w:t>
      </w:r>
      <w:r>
        <w:rPr>
          <w:rFonts w:hint="eastAsia" w:cs="Times New Roman"/>
          <w:spacing w:val="16"/>
        </w:rPr>
        <w:t>第一爆</w:t>
      </w:r>
      <w:r>
        <w:rPr>
          <w:rFonts w:cs="Times New Roman"/>
          <w:spacing w:val="16"/>
        </w:rPr>
        <w:t>”</w:t>
      </w:r>
      <w:r>
        <w:rPr>
          <w:rFonts w:hint="eastAsia" w:cs="Times New Roman"/>
          <w:spacing w:val="16"/>
        </w:rPr>
        <w:t>，并及时启动了全部使用城市中水发电的</w:t>
      </w:r>
      <w:r>
        <w:rPr>
          <w:rFonts w:cs="Times New Roman"/>
          <w:spacing w:val="16"/>
        </w:rPr>
        <w:t>“</w:t>
      </w:r>
      <w:r>
        <w:rPr>
          <w:rFonts w:hint="eastAsia" w:cs="Times New Roman"/>
          <w:spacing w:val="16"/>
        </w:rPr>
        <w:t>上大压小</w:t>
      </w:r>
      <w:r>
        <w:rPr>
          <w:rFonts w:cs="Times New Roman"/>
          <w:spacing w:val="16"/>
        </w:rPr>
        <w:t>”</w:t>
      </w:r>
      <w:r>
        <w:rPr>
          <w:rFonts w:hint="eastAsia" w:cs="Times New Roman"/>
          <w:spacing w:val="16"/>
        </w:rPr>
        <w:t>虎山项目，该项目新建两台（</w:t>
      </w:r>
      <w:r>
        <w:rPr>
          <w:rFonts w:cs="Times New Roman"/>
          <w:spacing w:val="16"/>
        </w:rPr>
        <w:t>2</w:t>
      </w:r>
      <w:r>
        <w:rPr>
          <w:rFonts w:hint="eastAsia" w:cs="Times New Roman"/>
          <w:spacing w:val="16"/>
        </w:rPr>
        <w:t>×</w:t>
      </w:r>
      <w:r>
        <w:rPr>
          <w:rFonts w:cs="Times New Roman"/>
          <w:spacing w:val="16"/>
        </w:rPr>
        <w:t>660MW</w:t>
      </w:r>
      <w:r>
        <w:rPr>
          <w:rFonts w:hint="eastAsia" w:cs="Times New Roman"/>
          <w:spacing w:val="16"/>
        </w:rPr>
        <w:t>）国产超临界燃煤发电机组，已分别于</w:t>
      </w:r>
      <w:r>
        <w:rPr>
          <w:rFonts w:cs="Times New Roman"/>
          <w:spacing w:val="16"/>
        </w:rPr>
        <w:t>2013</w:t>
      </w:r>
      <w:r>
        <w:rPr>
          <w:rFonts w:hint="eastAsia" w:cs="Times New Roman"/>
          <w:spacing w:val="16"/>
        </w:rPr>
        <w:t>年</w:t>
      </w:r>
      <w:r>
        <w:rPr>
          <w:rFonts w:cs="Times New Roman"/>
          <w:spacing w:val="16"/>
        </w:rPr>
        <w:t>9</w:t>
      </w:r>
      <w:r>
        <w:rPr>
          <w:rFonts w:hint="eastAsia" w:cs="Times New Roman"/>
          <w:spacing w:val="16"/>
        </w:rPr>
        <w:t>月</w:t>
      </w:r>
      <w:r>
        <w:rPr>
          <w:rFonts w:cs="Times New Roman"/>
          <w:spacing w:val="16"/>
        </w:rPr>
        <w:t>27</w:t>
      </w:r>
      <w:r>
        <w:rPr>
          <w:rFonts w:hint="eastAsia" w:cs="Times New Roman"/>
          <w:spacing w:val="16"/>
        </w:rPr>
        <w:t>日、</w:t>
      </w:r>
      <w:r>
        <w:rPr>
          <w:rFonts w:cs="Times New Roman"/>
          <w:spacing w:val="16"/>
        </w:rPr>
        <w:t>2013</w:t>
      </w:r>
      <w:r>
        <w:rPr>
          <w:rFonts w:hint="eastAsia" w:cs="Times New Roman"/>
          <w:spacing w:val="16"/>
        </w:rPr>
        <w:t>年</w:t>
      </w:r>
      <w:r>
        <w:rPr>
          <w:rFonts w:cs="Times New Roman"/>
          <w:spacing w:val="16"/>
        </w:rPr>
        <w:t>10</w:t>
      </w:r>
      <w:r>
        <w:rPr>
          <w:rFonts w:hint="eastAsia" w:cs="Times New Roman"/>
          <w:spacing w:val="16"/>
        </w:rPr>
        <w:t>月</w:t>
      </w:r>
      <w:r>
        <w:rPr>
          <w:rFonts w:cs="Times New Roman"/>
          <w:spacing w:val="16"/>
        </w:rPr>
        <w:t>26</w:t>
      </w:r>
      <w:r>
        <w:rPr>
          <w:rFonts w:hint="eastAsia" w:cs="Times New Roman"/>
          <w:spacing w:val="16"/>
        </w:rPr>
        <w:t>日完成</w:t>
      </w:r>
      <w:r>
        <w:rPr>
          <w:rFonts w:cs="Times New Roman"/>
          <w:spacing w:val="16"/>
        </w:rPr>
        <w:t>168</w:t>
      </w:r>
      <w:r>
        <w:rPr>
          <w:rFonts w:hint="eastAsia" w:cs="Times New Roman"/>
          <w:spacing w:val="16"/>
        </w:rPr>
        <w:t>小时试运转并投产发电。大唐淮北发电厂的这一举措，可年节约地下水开采量</w:t>
      </w:r>
      <w:r>
        <w:rPr>
          <w:rFonts w:cs="Times New Roman"/>
          <w:spacing w:val="16"/>
        </w:rPr>
        <w:t>2000</w:t>
      </w:r>
      <w:r>
        <w:rPr>
          <w:rFonts w:hint="eastAsia" w:cs="Times New Roman"/>
          <w:spacing w:val="16"/>
        </w:rPr>
        <w:t>万立方米，极大缓解了淮北地下水紧缺状况，为淮北市的经济转型和持续发展做出了巨大贡献。</w:t>
      </w:r>
      <w:r>
        <w:rPr>
          <w:rFonts w:cs="Times New Roman"/>
          <w:spacing w:val="16"/>
        </w:rPr>
        <w:t xml:space="preserve"> </w:t>
      </w:r>
    </w:p>
    <w:p>
      <w:pPr>
        <w:pStyle w:val="16"/>
        <w:spacing w:line="360" w:lineRule="auto"/>
        <w:ind w:firstLine="592"/>
        <w:rPr>
          <w:rFonts w:cs="Times New Roman"/>
          <w:spacing w:val="16"/>
        </w:rPr>
      </w:pPr>
      <w:r>
        <w:rPr>
          <w:rFonts w:hint="eastAsia" w:cs="Times New Roman"/>
          <w:spacing w:val="16"/>
        </w:rPr>
        <w:t>目前，大唐淮北发电厂老厂区</w:t>
      </w:r>
      <w:r>
        <w:rPr>
          <w:rFonts w:cs="Times New Roman"/>
          <w:spacing w:val="16"/>
        </w:rPr>
        <w:t>#1—7</w:t>
      </w:r>
      <w:r>
        <w:rPr>
          <w:rFonts w:hint="eastAsia" w:cs="Times New Roman"/>
          <w:spacing w:val="16"/>
        </w:rPr>
        <w:t>机组已关停，只保留一台</w:t>
      </w:r>
      <w:r>
        <w:rPr>
          <w:rFonts w:cs="Times New Roman"/>
          <w:spacing w:val="16"/>
        </w:rPr>
        <w:t>#8</w:t>
      </w:r>
      <w:r>
        <w:rPr>
          <w:rFonts w:hint="eastAsia" w:cs="Times New Roman"/>
          <w:spacing w:val="16"/>
        </w:rPr>
        <w:t>机组单机运行，取水水源仍为地下水，2017年年取水量425万m³。</w:t>
      </w:r>
    </w:p>
    <w:p>
      <w:pPr>
        <w:pStyle w:val="16"/>
        <w:spacing w:line="360" w:lineRule="auto"/>
        <w:ind w:firstLine="592"/>
        <w:rPr>
          <w:rFonts w:cs="Times New Roman"/>
          <w:spacing w:val="16"/>
        </w:rPr>
      </w:pPr>
      <w:r>
        <w:rPr>
          <w:rFonts w:hint="eastAsia" w:cs="Times New Roman"/>
          <w:spacing w:val="16"/>
        </w:rPr>
        <w:t>实施节水措施：循环水外排污水引入至凌云工业园建材厂为生产砖使用；净水站回收的废水主要作为炉底冲灰渣使用； 完成一期深母水管改造。</w:t>
      </w:r>
    </w:p>
    <w:p>
      <w:pPr>
        <w:pStyle w:val="16"/>
        <w:spacing w:line="360" w:lineRule="auto"/>
        <w:ind w:firstLine="560"/>
        <w:rPr>
          <w:spacing w:val="16"/>
        </w:rPr>
      </w:pPr>
      <w:r>
        <w:rPr>
          <w:spacing w:val="16"/>
        </w:rPr>
        <w:drawing>
          <wp:inline distT="0" distB="0" distL="0" distR="0">
            <wp:extent cx="2989580" cy="2244090"/>
            <wp:effectExtent l="19050" t="0" r="897" b="0"/>
            <wp:docPr id="20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图片 1"/>
                    <pic:cNvPicPr>
                      <a:picLocks noChangeAspect="1" noChangeArrowheads="1"/>
                    </pic:cNvPicPr>
                  </pic:nvPicPr>
                  <pic:blipFill>
                    <a:blip r:embed="rId47"/>
                    <a:srcRect/>
                    <a:stretch>
                      <a:fillRect/>
                    </a:stretch>
                  </pic:blipFill>
                  <pic:spPr>
                    <a:xfrm>
                      <a:off x="0" y="0"/>
                      <a:ext cx="2998129" cy="2250574"/>
                    </a:xfrm>
                    <a:prstGeom prst="rect">
                      <a:avLst/>
                    </a:prstGeom>
                    <a:noFill/>
                    <a:ln w="9525">
                      <a:noFill/>
                      <a:miter lim="800000"/>
                      <a:headEnd/>
                      <a:tailEnd/>
                    </a:ln>
                  </pic:spPr>
                </pic:pic>
              </a:graphicData>
            </a:graphic>
          </wp:inline>
        </w:drawing>
      </w:r>
      <w:r>
        <w:rPr>
          <w:spacing w:val="16"/>
        </w:rPr>
        <w:t xml:space="preserve"> </w:t>
      </w:r>
      <w:r>
        <w:rPr>
          <w:spacing w:val="16"/>
        </w:rPr>
        <w:drawing>
          <wp:inline distT="0" distB="0" distL="0" distR="0">
            <wp:extent cx="2835910" cy="2252345"/>
            <wp:effectExtent l="19050" t="0" r="1950" b="0"/>
            <wp:docPr id="20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图片 4"/>
                    <pic:cNvPicPr>
                      <a:picLocks noChangeAspect="1" noChangeArrowheads="1"/>
                    </pic:cNvPicPr>
                  </pic:nvPicPr>
                  <pic:blipFill>
                    <a:blip r:embed="rId48"/>
                    <a:srcRect/>
                    <a:stretch>
                      <a:fillRect/>
                    </a:stretch>
                  </pic:blipFill>
                  <pic:spPr>
                    <a:xfrm>
                      <a:off x="0" y="0"/>
                      <a:ext cx="2841236" cy="2256175"/>
                    </a:xfrm>
                    <a:prstGeom prst="rect">
                      <a:avLst/>
                    </a:prstGeom>
                    <a:noFill/>
                    <a:ln w="9525">
                      <a:noFill/>
                      <a:miter lim="800000"/>
                      <a:headEnd/>
                      <a:tailEnd/>
                    </a:ln>
                  </pic:spPr>
                </pic:pic>
              </a:graphicData>
            </a:graphic>
          </wp:inline>
        </w:drawing>
      </w:r>
    </w:p>
    <w:p>
      <w:pPr>
        <w:pStyle w:val="16"/>
        <w:spacing w:line="360" w:lineRule="auto"/>
        <w:ind w:firstLine="560"/>
        <w:rPr>
          <w:rFonts w:cs="Times New Roman"/>
          <w:spacing w:val="16"/>
        </w:rPr>
      </w:pPr>
      <w:r>
        <w:rPr>
          <w:spacing w:val="16"/>
        </w:rPr>
        <w:drawing>
          <wp:inline distT="0" distB="0" distL="0" distR="0">
            <wp:extent cx="2765425" cy="1739900"/>
            <wp:effectExtent l="19050" t="0" r="0" b="0"/>
            <wp:docPr id="20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图片 7"/>
                    <pic:cNvPicPr>
                      <a:picLocks noChangeAspect="1" noChangeArrowheads="1"/>
                    </pic:cNvPicPr>
                  </pic:nvPicPr>
                  <pic:blipFill>
                    <a:blip r:embed="rId49"/>
                    <a:srcRect/>
                    <a:stretch>
                      <a:fillRect/>
                    </a:stretch>
                  </pic:blipFill>
                  <pic:spPr>
                    <a:xfrm>
                      <a:off x="0" y="0"/>
                      <a:ext cx="2773239" cy="1745085"/>
                    </a:xfrm>
                    <a:prstGeom prst="rect">
                      <a:avLst/>
                    </a:prstGeom>
                    <a:noFill/>
                    <a:ln w="9525">
                      <a:noFill/>
                      <a:miter lim="800000"/>
                      <a:headEnd/>
                      <a:tailEnd/>
                    </a:ln>
                  </pic:spPr>
                </pic:pic>
              </a:graphicData>
            </a:graphic>
          </wp:inline>
        </w:drawing>
      </w:r>
      <w:r>
        <w:rPr>
          <w:spacing w:val="16"/>
        </w:rPr>
        <w:t xml:space="preserve"> </w:t>
      </w:r>
      <w:r>
        <w:rPr>
          <w:spacing w:val="16"/>
        </w:rPr>
        <w:drawing>
          <wp:inline distT="0" distB="0" distL="0" distR="0">
            <wp:extent cx="3020695" cy="1833245"/>
            <wp:effectExtent l="19050" t="0" r="7917" b="0"/>
            <wp:docPr id="20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图片 10"/>
                    <pic:cNvPicPr>
                      <a:picLocks noChangeAspect="1" noChangeArrowheads="1"/>
                    </pic:cNvPicPr>
                  </pic:nvPicPr>
                  <pic:blipFill>
                    <a:blip r:embed="rId50"/>
                    <a:srcRect/>
                    <a:stretch>
                      <a:fillRect/>
                    </a:stretch>
                  </pic:blipFill>
                  <pic:spPr>
                    <a:xfrm>
                      <a:off x="0" y="0"/>
                      <a:ext cx="3036476" cy="1842656"/>
                    </a:xfrm>
                    <a:prstGeom prst="rect">
                      <a:avLst/>
                    </a:prstGeom>
                    <a:noFill/>
                    <a:ln w="9525">
                      <a:noFill/>
                      <a:miter lim="800000"/>
                      <a:headEnd/>
                      <a:tailEnd/>
                    </a:ln>
                  </pic:spPr>
                </pic:pic>
              </a:graphicData>
            </a:graphic>
          </wp:inline>
        </w:drawing>
      </w:r>
    </w:p>
    <w:p>
      <w:pPr>
        <w:pStyle w:val="16"/>
        <w:spacing w:line="360" w:lineRule="auto"/>
        <w:ind w:firstLine="700" w:firstLineChars="250"/>
        <w:rPr>
          <w:rFonts w:cs="Times New Roman"/>
        </w:rPr>
      </w:pPr>
      <w:r>
        <w:rPr>
          <w:rFonts w:hint="eastAsia" w:cs="Times New Roman"/>
        </w:rPr>
        <w:t>2、煤炭开采和洗选业（</w:t>
      </w:r>
      <w:r>
        <w:rPr>
          <w:rFonts w:cs="Times New Roman"/>
          <w:spacing w:val="16"/>
        </w:rPr>
        <w:t>淮北</w:t>
      </w:r>
      <w:r>
        <w:rPr>
          <w:rFonts w:hint="eastAsia" w:cs="Times New Roman"/>
          <w:spacing w:val="16"/>
        </w:rPr>
        <w:t>选煤厂</w:t>
      </w:r>
      <w:r>
        <w:rPr>
          <w:rFonts w:hint="eastAsia" w:cs="Times New Roman"/>
        </w:rPr>
        <w:t>）</w:t>
      </w:r>
    </w:p>
    <w:p>
      <w:pPr>
        <w:pStyle w:val="16"/>
        <w:spacing w:line="360" w:lineRule="auto"/>
        <w:ind w:firstLine="592"/>
        <w:rPr>
          <w:rFonts w:cs="Times New Roman"/>
          <w:spacing w:val="16"/>
        </w:rPr>
      </w:pPr>
      <w:r>
        <w:rPr>
          <w:rFonts w:hint="eastAsia" w:cs="Times New Roman"/>
          <w:spacing w:val="16"/>
        </w:rPr>
        <w:t>淮北选煤厂坐落在安徽省淮北市烈山区青龙山脚下，隶属于淮北矿业（集团）公司，1972年8月建成投产，是华东地区最早的一家大型中央型选煤企业。交通便利，据国铁编组站一公里，东与京沪线、北与陇海线、西与京九线相邻，产品远销沪、皖、苏、浙、闽等大型冶金、炼焦、化工、煤气等企业。</w:t>
      </w:r>
    </w:p>
    <w:p>
      <w:pPr>
        <w:pStyle w:val="16"/>
        <w:spacing w:line="360" w:lineRule="auto"/>
        <w:ind w:firstLine="592"/>
        <w:rPr>
          <w:rFonts w:cs="Times New Roman"/>
          <w:spacing w:val="16"/>
        </w:rPr>
      </w:pPr>
      <w:r>
        <w:rPr>
          <w:rFonts w:hint="eastAsia" w:cs="Times New Roman"/>
          <w:spacing w:val="16"/>
        </w:rPr>
        <w:t>年总取水量241.7万m</w:t>
      </w:r>
      <w:r>
        <w:rPr>
          <w:rFonts w:hint="eastAsia" w:cs="Times New Roman"/>
          <w:spacing w:val="16"/>
          <w:vertAlign w:val="superscript"/>
        </w:rPr>
        <w:t>3</w:t>
      </w:r>
      <w:r>
        <w:rPr>
          <w:rFonts w:hint="eastAsia" w:cs="Times New Roman"/>
          <w:spacing w:val="16"/>
        </w:rPr>
        <w:t>，公司取用水源全部为自备井，公司生产用水主要为洗煤车间、压滤车间循环用水等，生活生产用水为食堂，办公、宿舍用水等。</w:t>
      </w:r>
    </w:p>
    <w:p>
      <w:pPr>
        <w:pStyle w:val="16"/>
        <w:spacing w:line="360" w:lineRule="auto"/>
        <w:ind w:firstLine="592"/>
        <w:rPr>
          <w:rFonts w:cs="Times New Roman"/>
          <w:spacing w:val="16"/>
        </w:rPr>
      </w:pPr>
      <w:r>
        <w:rPr>
          <w:rFonts w:hint="eastAsia" w:cs="Times New Roman"/>
          <w:spacing w:val="16"/>
        </w:rPr>
        <w:t>实施节水措施：近年先后投入346万元，完成用水设施、用水器具和供水管网改造；生活污水经处理后回用于生产系统用水；煤泥水重复利用，基本不外排。</w:t>
      </w:r>
    </w:p>
    <w:p>
      <w:pPr>
        <w:pStyle w:val="16"/>
        <w:spacing w:line="360" w:lineRule="auto"/>
        <w:ind w:firstLine="723"/>
        <w:jc w:val="center"/>
        <w:rPr>
          <w:rFonts w:cs="Times New Roman"/>
          <w:spacing w:val="16"/>
        </w:rPr>
      </w:pPr>
      <w:r>
        <w:rPr>
          <w:rFonts w:hint="eastAsia" w:ascii="黑体" w:hAnsi="黑体" w:eastAsia="黑体" w:cs="黑体"/>
          <w:b/>
          <w:bCs/>
          <w:sz w:val="36"/>
          <w:szCs w:val="36"/>
        </w:rPr>
        <w:drawing>
          <wp:inline distT="0" distB="0" distL="0" distR="0">
            <wp:extent cx="2950210" cy="2078990"/>
            <wp:effectExtent l="19050" t="0" r="2516" b="0"/>
            <wp:docPr id="2064" name="图片 45" descr="QQ图片2018120418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图片 45" descr="QQ图片20181204182406"/>
                    <pic:cNvPicPr>
                      <a:picLocks noChangeAspect="1" noChangeArrowheads="1"/>
                    </pic:cNvPicPr>
                  </pic:nvPicPr>
                  <pic:blipFill>
                    <a:blip r:embed="rId51"/>
                    <a:srcRect/>
                    <a:stretch>
                      <a:fillRect/>
                    </a:stretch>
                  </pic:blipFill>
                  <pic:spPr>
                    <a:xfrm>
                      <a:off x="0" y="0"/>
                      <a:ext cx="2951374" cy="2080162"/>
                    </a:xfrm>
                    <a:prstGeom prst="rect">
                      <a:avLst/>
                    </a:prstGeom>
                    <a:noFill/>
                    <a:ln w="9525" cmpd="sng">
                      <a:noFill/>
                      <a:miter lim="800000"/>
                      <a:headEnd/>
                      <a:tailEnd/>
                    </a:ln>
                  </pic:spPr>
                </pic:pic>
              </a:graphicData>
            </a:graphic>
          </wp:inline>
        </w:drawing>
      </w:r>
    </w:p>
    <w:bookmarkEnd w:id="191"/>
    <w:bookmarkEnd w:id="192"/>
    <w:bookmarkEnd w:id="193"/>
    <w:bookmarkEnd w:id="194"/>
    <w:p>
      <w:pPr>
        <w:spacing w:line="360" w:lineRule="auto"/>
        <w:ind w:firstLine="560"/>
      </w:pPr>
      <w:r>
        <w:rPr>
          <w:rFonts w:hint="eastAsia"/>
        </w:rPr>
        <w:t>3、</w:t>
      </w:r>
      <w:r>
        <w:t>食品加工业</w:t>
      </w:r>
      <w:r>
        <w:rPr>
          <w:rFonts w:hint="eastAsia"/>
        </w:rPr>
        <w:t>（代表企业</w:t>
      </w:r>
      <w:r>
        <w:rPr>
          <w:spacing w:val="16"/>
        </w:rPr>
        <w:t>安徽宝迪肉类食品有限公司</w:t>
      </w:r>
      <w:r>
        <w:rPr>
          <w:rFonts w:hint="eastAsia"/>
        </w:rPr>
        <w:t>）</w:t>
      </w:r>
    </w:p>
    <w:p>
      <w:pPr>
        <w:pStyle w:val="16"/>
        <w:spacing w:line="360" w:lineRule="auto"/>
        <w:ind w:firstLine="592"/>
        <w:rPr>
          <w:rFonts w:cs="Times New Roman"/>
          <w:spacing w:val="16"/>
        </w:rPr>
      </w:pPr>
      <w:r>
        <w:rPr>
          <w:rFonts w:cs="Times New Roman"/>
          <w:spacing w:val="16"/>
        </w:rPr>
        <w:t>安徽宝迪肉类食品有限公司是农业产业化国家级重点龙头企业--天津宝迪农业科技股份有限公司于2007年8月在淮北市独资兴建的现代化大型食品工业园，主要从事畜禽屠宰加工销售、肉制品加工销售、血制品深加工销售。园区按国家五星级认证标准建设，设计起点高，主要设备全部为进口先进设备，智能化程度高。总投资8.5亿元,项目一期固定投资4.5亿元,总建筑面积10.8万平方米,占地250亩。</w:t>
      </w:r>
    </w:p>
    <w:p>
      <w:pPr>
        <w:pStyle w:val="16"/>
        <w:spacing w:line="360" w:lineRule="auto"/>
        <w:ind w:firstLine="592"/>
        <w:rPr>
          <w:rFonts w:cs="Times New Roman"/>
          <w:spacing w:val="16"/>
        </w:rPr>
      </w:pPr>
      <w:r>
        <w:rPr>
          <w:rFonts w:cs="Times New Roman"/>
          <w:spacing w:val="16"/>
        </w:rPr>
        <w:t>主要建设项目为年屠宰生猪能力达200万头的现代化五星级生猪屠宰加工厂，年生产能力达20000吨的低温熟食肉制品厂，年生产能力达800吨的食品级血浆蛋白粉，年生产能力达3000吨的血球蛋白粉生产厂。</w:t>
      </w:r>
    </w:p>
    <w:p>
      <w:pPr>
        <w:pStyle w:val="16"/>
        <w:spacing w:line="360" w:lineRule="auto"/>
        <w:ind w:firstLine="592"/>
        <w:rPr>
          <w:rFonts w:cs="Times New Roman"/>
          <w:spacing w:val="16"/>
        </w:rPr>
      </w:pPr>
      <w:r>
        <w:rPr>
          <w:rFonts w:cs="Times New Roman"/>
          <w:spacing w:val="16"/>
        </w:rPr>
        <w:t>建有3.5万吨冻品冷藏库，拥有血车载罐42辆、物流鲜肉冷藏车48辆等配套设施。血制品生产线亚洲第一，产品规模处于全国同行业前列。2009年实现产值近18.2亿元，作为"农业产业化省级龙头企业", 先后被科技部列入科技人员服务企业行动项目，被农业部列为国家农产品加工技术研发专业分中心，列入国家及省级储备肉计划，完成储备冻肉4000吨，填补了淮北市空白；同时带动了本地生猪规模化养殖，拉动淮北市农牧业的快速发展，带动农民增收致富。</w:t>
      </w:r>
    </w:p>
    <w:p>
      <w:pPr>
        <w:pStyle w:val="56"/>
        <w:spacing w:line="360" w:lineRule="auto"/>
        <w:ind w:left="1280" w:firstLine="0" w:firstLineChars="0"/>
        <w:jc w:val="both"/>
        <w:rPr>
          <w:highlight w:val="yellow"/>
        </w:rPr>
      </w:pPr>
      <w:r>
        <w:drawing>
          <wp:inline distT="0" distB="0" distL="0" distR="0">
            <wp:extent cx="5001895" cy="2386330"/>
            <wp:effectExtent l="19050" t="0" r="8237" b="0"/>
            <wp:docPr id="20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图片 21"/>
                    <pic:cNvPicPr>
                      <a:picLocks noChangeAspect="1" noChangeArrowheads="1"/>
                    </pic:cNvPicPr>
                  </pic:nvPicPr>
                  <pic:blipFill>
                    <a:blip r:embed="rId52"/>
                    <a:srcRect/>
                    <a:stretch>
                      <a:fillRect/>
                    </a:stretch>
                  </pic:blipFill>
                  <pic:spPr>
                    <a:xfrm>
                      <a:off x="0" y="0"/>
                      <a:ext cx="5003653" cy="2387770"/>
                    </a:xfrm>
                    <a:prstGeom prst="rect">
                      <a:avLst/>
                    </a:prstGeom>
                    <a:noFill/>
                    <a:ln w="9525">
                      <a:noFill/>
                      <a:miter lim="800000"/>
                      <a:headEnd/>
                      <a:tailEnd/>
                    </a:ln>
                  </pic:spPr>
                </pic:pic>
              </a:graphicData>
            </a:graphic>
          </wp:inline>
        </w:drawing>
      </w:r>
    </w:p>
    <w:p>
      <w:pPr>
        <w:pStyle w:val="16"/>
        <w:spacing w:line="360" w:lineRule="auto"/>
        <w:ind w:firstLine="592"/>
        <w:rPr>
          <w:rFonts w:cs="Times New Roman"/>
          <w:spacing w:val="16"/>
        </w:rPr>
      </w:pPr>
      <w:r>
        <w:rPr>
          <w:rFonts w:hint="eastAsia" w:cs="Times New Roman"/>
          <w:spacing w:val="16"/>
        </w:rPr>
        <w:t>目前，</w:t>
      </w:r>
      <w:r>
        <w:rPr>
          <w:rFonts w:cs="Times New Roman"/>
          <w:spacing w:val="16"/>
        </w:rPr>
        <w:t>安徽宝迪肉类食品有限公司</w:t>
      </w:r>
      <w:r>
        <w:rPr>
          <w:rFonts w:hint="eastAsia" w:cs="Times New Roman"/>
          <w:spacing w:val="16"/>
        </w:rPr>
        <w:t>，取水水源仍为地下水，2017年年取水量16万m³。</w:t>
      </w:r>
    </w:p>
    <w:p>
      <w:pPr>
        <w:pStyle w:val="16"/>
        <w:spacing w:line="360" w:lineRule="auto"/>
        <w:ind w:firstLine="560"/>
      </w:pPr>
      <w:r>
        <w:rPr>
          <w:rFonts w:hint="eastAsia"/>
        </w:rPr>
        <w:t>实施的节水措施：公司实行定额用水管理考核，实施节将超罚制度；建立健全用水节水管理规章制度；公司全部采用节水型用水器具。</w:t>
      </w:r>
    </w:p>
    <w:p>
      <w:pPr>
        <w:spacing w:line="360" w:lineRule="auto"/>
        <w:ind w:firstLine="560" w:firstLineChars="0"/>
      </w:pPr>
      <w:bookmarkStart w:id="195" w:name="_Toc478634631"/>
      <w:bookmarkStart w:id="196" w:name="_Toc477942056"/>
      <w:bookmarkStart w:id="197" w:name="_Toc480311597"/>
      <w:bookmarkStart w:id="198" w:name="_Toc478634337"/>
      <w:r>
        <w:rPr>
          <w:rFonts w:hint="eastAsia"/>
        </w:rPr>
        <w:t>4、</w:t>
      </w:r>
      <w:r>
        <w:t>非金属矿物制品</w:t>
      </w:r>
      <w:r>
        <w:rPr>
          <w:rFonts w:hint="eastAsia"/>
        </w:rPr>
        <w:t xml:space="preserve"> （</w:t>
      </w:r>
      <w:r>
        <w:rPr>
          <w:spacing w:val="16"/>
        </w:rPr>
        <w:t>淮北</w:t>
      </w:r>
      <w:r>
        <w:rPr>
          <w:rFonts w:hint="eastAsia"/>
          <w:spacing w:val="16"/>
        </w:rPr>
        <w:t>众城</w:t>
      </w:r>
      <w:r>
        <w:rPr>
          <w:spacing w:val="16"/>
        </w:rPr>
        <w:t>水泥</w:t>
      </w:r>
      <w:r>
        <w:rPr>
          <w:rFonts w:hint="eastAsia"/>
          <w:spacing w:val="16"/>
        </w:rPr>
        <w:t>有限责任</w:t>
      </w:r>
      <w:r>
        <w:rPr>
          <w:spacing w:val="16"/>
        </w:rPr>
        <w:t>公司</w:t>
      </w:r>
      <w:r>
        <w:rPr>
          <w:rFonts w:hint="eastAsia"/>
        </w:rPr>
        <w:t>）</w:t>
      </w:r>
    </w:p>
    <w:p>
      <w:pPr>
        <w:pStyle w:val="16"/>
        <w:spacing w:line="360" w:lineRule="auto"/>
        <w:ind w:firstLine="592"/>
        <w:rPr>
          <w:rFonts w:cs="Times New Roman"/>
          <w:spacing w:val="16"/>
        </w:rPr>
      </w:pPr>
      <w:r>
        <w:rPr>
          <w:rFonts w:hint="eastAsia" w:cs="Times New Roman"/>
          <w:spacing w:val="16"/>
        </w:rPr>
        <w:t>淮北众城水泥有限责任公司始建于1999年，位于淮北市杜集区工业园内。2016年与海螺集团公司合作共同管理。公司现拥有4500T/D的熟料生产线一条和配套的9MW的低温余热电站。年产熟料180万吨、水泥60万吨。公司生产、生活及消防用水取自地下水。</w:t>
      </w:r>
    </w:p>
    <w:p>
      <w:pPr>
        <w:pStyle w:val="16"/>
        <w:spacing w:line="360" w:lineRule="auto"/>
        <w:ind w:firstLine="592"/>
        <w:rPr>
          <w:rFonts w:cs="Times New Roman"/>
          <w:spacing w:val="16"/>
        </w:rPr>
      </w:pPr>
      <w:r>
        <w:rPr>
          <w:rFonts w:hint="eastAsia" w:cs="Times New Roman"/>
          <w:spacing w:val="16"/>
        </w:rPr>
        <w:t>公司取用水源主要是自备井，用水主要由三个给水系统供给，即循环给水系统、生活给水系统和生产给水系统。</w:t>
      </w:r>
    </w:p>
    <w:p>
      <w:pPr>
        <w:spacing w:line="360" w:lineRule="auto"/>
        <w:ind w:firstLine="560" w:firstLineChars="0"/>
      </w:pPr>
      <w:r>
        <w:rPr>
          <w:rFonts w:hint="eastAsia"/>
        </w:rPr>
        <w:t>实施节水措施： 电站离子超标水外排改造至循环水池，用于冷却用水；建有雨水收集利用系统，用于绿化和道路冲洗等杂用水。</w:t>
      </w:r>
    </w:p>
    <w:p>
      <w:pPr>
        <w:pStyle w:val="16"/>
        <w:spacing w:line="360" w:lineRule="auto"/>
        <w:ind w:firstLine="592"/>
        <w:rPr>
          <w:rFonts w:cs="Times New Roman"/>
          <w:spacing w:val="16"/>
        </w:rPr>
      </w:pPr>
    </w:p>
    <w:p>
      <w:pPr>
        <w:pStyle w:val="16"/>
        <w:spacing w:line="360" w:lineRule="auto"/>
        <w:ind w:firstLine="880"/>
        <w:rPr>
          <w:rFonts w:cs="Times New Roman"/>
          <w:spacing w:val="16"/>
        </w:rPr>
      </w:pPr>
      <w:r>
        <w:rPr>
          <w:rFonts w:hint="eastAsia" w:eastAsia="方正小标宋简体"/>
          <w:b/>
          <w:bCs/>
          <w:sz w:val="44"/>
          <w:szCs w:val="44"/>
        </w:rPr>
        <w:drawing>
          <wp:inline distT="0" distB="0" distL="0" distR="0">
            <wp:extent cx="3979545" cy="3047365"/>
            <wp:effectExtent l="19050" t="0" r="1702" b="0"/>
            <wp:docPr id="2066" name="图片 39" descr="QQ图片2018120418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图片 39" descr="QQ图片20181204182302"/>
                    <pic:cNvPicPr>
                      <a:picLocks noChangeAspect="1" noChangeArrowheads="1"/>
                    </pic:cNvPicPr>
                  </pic:nvPicPr>
                  <pic:blipFill>
                    <a:blip r:embed="rId53"/>
                    <a:srcRect/>
                    <a:stretch>
                      <a:fillRect/>
                    </a:stretch>
                  </pic:blipFill>
                  <pic:spPr>
                    <a:xfrm>
                      <a:off x="0" y="0"/>
                      <a:ext cx="3980394" cy="3048209"/>
                    </a:xfrm>
                    <a:prstGeom prst="rect">
                      <a:avLst/>
                    </a:prstGeom>
                    <a:noFill/>
                    <a:ln w="9525" cmpd="sng">
                      <a:noFill/>
                      <a:miter lim="800000"/>
                      <a:headEnd/>
                      <a:tailEnd/>
                    </a:ln>
                  </pic:spPr>
                </pic:pic>
              </a:graphicData>
            </a:graphic>
          </wp:inline>
        </w:drawing>
      </w:r>
    </w:p>
    <w:bookmarkEnd w:id="195"/>
    <w:bookmarkEnd w:id="196"/>
    <w:bookmarkEnd w:id="197"/>
    <w:bookmarkEnd w:id="198"/>
    <w:p>
      <w:pPr>
        <w:spacing w:line="360" w:lineRule="auto"/>
        <w:ind w:firstLine="560" w:firstLineChars="0"/>
      </w:pPr>
      <w:r>
        <w:rPr>
          <w:rFonts w:hint="eastAsia"/>
        </w:rPr>
        <w:t>5、</w:t>
      </w:r>
      <w:r>
        <w:t>饮料加工业</w:t>
      </w:r>
      <w:r>
        <w:rPr>
          <w:rFonts w:hint="eastAsia"/>
        </w:rPr>
        <w:t>（</w:t>
      </w:r>
      <w:r>
        <w:rPr>
          <w:rFonts w:hint="eastAsia"/>
          <w:spacing w:val="16"/>
        </w:rPr>
        <w:t>安徽昊佳食品饮料有限责任公司</w:t>
      </w:r>
      <w:r>
        <w:rPr>
          <w:rFonts w:hint="eastAsia"/>
        </w:rPr>
        <w:t>）</w:t>
      </w:r>
    </w:p>
    <w:p>
      <w:pPr>
        <w:pStyle w:val="16"/>
        <w:spacing w:line="360" w:lineRule="auto"/>
        <w:ind w:firstLine="592"/>
        <w:rPr>
          <w:rFonts w:cs="Times New Roman"/>
          <w:spacing w:val="16"/>
        </w:rPr>
      </w:pPr>
      <w:r>
        <w:rPr>
          <w:rFonts w:hint="eastAsia" w:cs="Times New Roman"/>
          <w:spacing w:val="16"/>
        </w:rPr>
        <w:t>安徽昊佳食品饮料有限责任公司位于淮北市凤凰山食品经济开发区仪凤路2号，是淮北市的桶装饮用水龙头民营企业。</w:t>
      </w:r>
      <w:r>
        <w:rPr>
          <w:rFonts w:cs="Times New Roman"/>
          <w:spacing w:val="16"/>
        </w:rPr>
        <w:t>公司经营范围包括生产饮料瓶（桶）装饮用水类（饮用纯净水、其他饮用水）等。</w:t>
      </w:r>
      <w:r>
        <w:rPr>
          <w:rFonts w:hint="eastAsia" w:cs="Times New Roman"/>
          <w:spacing w:val="16"/>
        </w:rPr>
        <w:t>2011年公司注册资本1000万元，投资4000万元生产瓶装、桶装饮用包装水。目前公司拥有桶装生产线一条，瓶装生产线一条，日产各种桶装饮用水4万桶，瓶装饮用水16万瓶。</w:t>
      </w:r>
    </w:p>
    <w:p>
      <w:pPr>
        <w:spacing w:line="360" w:lineRule="auto"/>
        <w:ind w:left="560" w:firstLine="0" w:firstLineChars="0"/>
        <w:rPr>
          <w:highlight w:val="yellow"/>
        </w:rPr>
      </w:pPr>
      <w:r>
        <w:drawing>
          <wp:inline distT="0" distB="0" distL="0" distR="0">
            <wp:extent cx="2940685" cy="1923415"/>
            <wp:effectExtent l="19050" t="0" r="0" b="0"/>
            <wp:docPr id="206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图片 30"/>
                    <pic:cNvPicPr>
                      <a:picLocks noChangeAspect="1" noChangeArrowheads="1"/>
                    </pic:cNvPicPr>
                  </pic:nvPicPr>
                  <pic:blipFill>
                    <a:blip r:embed="rId54"/>
                    <a:srcRect/>
                    <a:stretch>
                      <a:fillRect/>
                    </a:stretch>
                  </pic:blipFill>
                  <pic:spPr>
                    <a:xfrm>
                      <a:off x="0" y="0"/>
                      <a:ext cx="2940588" cy="1923614"/>
                    </a:xfrm>
                    <a:prstGeom prst="rect">
                      <a:avLst/>
                    </a:prstGeom>
                    <a:noFill/>
                    <a:ln w="9525">
                      <a:noFill/>
                      <a:miter lim="800000"/>
                      <a:headEnd/>
                      <a:tailEnd/>
                    </a:ln>
                  </pic:spPr>
                </pic:pic>
              </a:graphicData>
            </a:graphic>
          </wp:inline>
        </w:drawing>
      </w:r>
      <w:r>
        <w:rPr>
          <w:highlight w:val="yellow"/>
        </w:rPr>
        <w:t xml:space="preserve"> </w:t>
      </w:r>
      <w:r>
        <w:drawing>
          <wp:inline distT="0" distB="0" distL="0" distR="0">
            <wp:extent cx="2750820" cy="1815465"/>
            <wp:effectExtent l="19050" t="0" r="0" b="0"/>
            <wp:docPr id="206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图片 33"/>
                    <pic:cNvPicPr>
                      <a:picLocks noChangeAspect="1" noChangeArrowheads="1"/>
                    </pic:cNvPicPr>
                  </pic:nvPicPr>
                  <pic:blipFill>
                    <a:blip r:embed="rId55"/>
                    <a:srcRect/>
                    <a:stretch>
                      <a:fillRect/>
                    </a:stretch>
                  </pic:blipFill>
                  <pic:spPr>
                    <a:xfrm>
                      <a:off x="0" y="0"/>
                      <a:ext cx="2746207" cy="1812691"/>
                    </a:xfrm>
                    <a:prstGeom prst="rect">
                      <a:avLst/>
                    </a:prstGeom>
                    <a:noFill/>
                    <a:ln w="9525">
                      <a:noFill/>
                      <a:miter lim="800000"/>
                      <a:headEnd/>
                      <a:tailEnd/>
                    </a:ln>
                  </pic:spPr>
                </pic:pic>
              </a:graphicData>
            </a:graphic>
          </wp:inline>
        </w:drawing>
      </w:r>
    </w:p>
    <w:p>
      <w:pPr>
        <w:pStyle w:val="16"/>
        <w:spacing w:line="360" w:lineRule="auto"/>
        <w:ind w:firstLine="592"/>
        <w:rPr>
          <w:spacing w:val="16"/>
        </w:rPr>
      </w:pPr>
      <w:r>
        <w:rPr>
          <w:rFonts w:hint="eastAsia" w:cs="Times New Roman"/>
          <w:spacing w:val="16"/>
        </w:rPr>
        <w:t>目前，安徽昊佳食品饮料有限责任公司取水水源仍为地下水，</w:t>
      </w:r>
      <w:r>
        <w:rPr>
          <w:spacing w:val="16"/>
        </w:rPr>
        <w:t>年总取水量</w:t>
      </w:r>
      <w:r>
        <w:rPr>
          <w:rFonts w:hint="eastAsia"/>
          <w:spacing w:val="16"/>
        </w:rPr>
        <w:t>8.0221万</w:t>
      </w:r>
      <w:r>
        <w:rPr>
          <w:spacing w:val="16"/>
        </w:rPr>
        <w:t>m</w:t>
      </w:r>
      <w:r>
        <w:rPr>
          <w:spacing w:val="16"/>
          <w:vertAlign w:val="superscript"/>
        </w:rPr>
        <w:t>3</w:t>
      </w:r>
      <w:r>
        <w:rPr>
          <w:rFonts w:hint="eastAsia"/>
          <w:spacing w:val="16"/>
        </w:rPr>
        <w:t>，</w:t>
      </w:r>
      <w:r>
        <w:rPr>
          <w:spacing w:val="16"/>
        </w:rPr>
        <w:t>公司</w:t>
      </w:r>
      <w:r>
        <w:rPr>
          <w:rFonts w:hint="eastAsia"/>
          <w:spacing w:val="16"/>
        </w:rPr>
        <w:t>生产取用</w:t>
      </w:r>
      <w:r>
        <w:rPr>
          <w:spacing w:val="16"/>
        </w:rPr>
        <w:t>水源为</w:t>
      </w:r>
      <w:r>
        <w:rPr>
          <w:rFonts w:hint="eastAsia"/>
          <w:spacing w:val="16"/>
        </w:rPr>
        <w:t>自备井，生活取用水源为自来水。公司生产用水主要为纯净水制造，桶瓶冲洗，过滤器冲洗，软化器再生，生活主要为食堂，</w:t>
      </w:r>
      <w:r>
        <w:rPr>
          <w:spacing w:val="16"/>
        </w:rPr>
        <w:t>办公卫生间用水等。</w:t>
      </w:r>
    </w:p>
    <w:p>
      <w:pPr>
        <w:pStyle w:val="16"/>
        <w:spacing w:line="360" w:lineRule="auto"/>
        <w:ind w:firstLine="592"/>
        <w:rPr>
          <w:rFonts w:cs="Times New Roman"/>
          <w:spacing w:val="16"/>
        </w:rPr>
      </w:pPr>
      <w:r>
        <w:rPr>
          <w:rFonts w:hint="eastAsia" w:cs="Times New Roman"/>
          <w:spacing w:val="16"/>
        </w:rPr>
        <w:t>实施节水的措施：公司全部采用节水型用水器具；瓶子冷却由水冷改造为风冷。</w:t>
      </w:r>
    </w:p>
    <w:p>
      <w:pPr>
        <w:pStyle w:val="16"/>
        <w:spacing w:line="360" w:lineRule="auto"/>
        <w:ind w:firstLine="592"/>
        <w:rPr>
          <w:szCs w:val="21"/>
        </w:rPr>
      </w:pPr>
      <w:r>
        <w:rPr>
          <w:rFonts w:hint="eastAsia" w:cs="Times New Roman"/>
          <w:spacing w:val="16"/>
        </w:rPr>
        <w:t>6、 纺织服装制造业（</w:t>
      </w:r>
      <w:r>
        <w:rPr>
          <w:rFonts w:hint="eastAsia"/>
          <w:szCs w:val="21"/>
        </w:rPr>
        <w:t>华孚时尚股份有限公司</w:t>
      </w:r>
      <w:r>
        <w:rPr>
          <w:rFonts w:hint="eastAsia" w:cs="Times New Roman"/>
          <w:spacing w:val="16"/>
        </w:rPr>
        <w:t>）</w:t>
      </w:r>
    </w:p>
    <w:p>
      <w:pPr>
        <w:pStyle w:val="16"/>
        <w:spacing w:line="360" w:lineRule="auto"/>
        <w:ind w:firstLine="592"/>
      </w:pPr>
      <w:r>
        <w:rPr>
          <w:rFonts w:hint="eastAsia" w:cs="Times New Roman"/>
          <w:spacing w:val="16"/>
        </w:rPr>
        <w:t>华孚时尚股份有限公司成立于1993年，是一家面向全球专注经营中高档新型纱线的制造商和供应商。经过24年的发展，已成为全球最大的色纺纱线企业之一，“华孚牌”色纺纱已成为色纺行业国际品牌，现有员工2600名，年生产能力25000吨“华孚牌”色纺纱。2017年色纺纱线生产24863吨，棉网7832.124吨，销售收入77181万元，上缴税金23593万元，实现利润5400万元。完成工业总产值85487.8万元，万元产值用水量3.63m</w:t>
      </w:r>
      <w:r>
        <w:rPr>
          <w:rFonts w:hint="eastAsia" w:cs="Times New Roman"/>
          <w:spacing w:val="16"/>
          <w:vertAlign w:val="superscript"/>
        </w:rPr>
        <w:t>3</w:t>
      </w:r>
      <w:r>
        <w:rPr>
          <w:rFonts w:hint="eastAsia" w:cs="Times New Roman"/>
          <w:spacing w:val="16"/>
        </w:rPr>
        <w:t>，单位产品取水量9.5</w:t>
      </w:r>
      <w:r>
        <w:rPr>
          <w:rFonts w:hint="eastAsia"/>
        </w:rPr>
        <w:t>m</w:t>
      </w:r>
      <w:r>
        <w:rPr>
          <w:rFonts w:hint="eastAsia"/>
          <w:vertAlign w:val="superscript"/>
        </w:rPr>
        <w:t>3</w:t>
      </w:r>
      <w:r>
        <w:rPr>
          <w:rFonts w:hint="eastAsia"/>
        </w:rPr>
        <w:t>/t。</w:t>
      </w:r>
    </w:p>
    <w:p>
      <w:pPr>
        <w:pStyle w:val="16"/>
        <w:spacing w:line="360" w:lineRule="auto"/>
        <w:ind w:firstLine="560"/>
      </w:pPr>
      <w:r>
        <w:rPr>
          <w:rFonts w:hint="eastAsia"/>
        </w:rPr>
        <w:t>华孚时尚股份有限公司主要取水源为自来水，用水单元主要分为以下部分：空调冷却循环、宿舍、办公楼、食堂、绿化等。</w:t>
      </w:r>
    </w:p>
    <w:p>
      <w:pPr>
        <w:pStyle w:val="16"/>
        <w:spacing w:line="360" w:lineRule="auto"/>
        <w:ind w:firstLine="560"/>
      </w:pPr>
      <w:r>
        <w:rPr>
          <w:rFonts w:hint="eastAsia"/>
        </w:rPr>
        <w:t>实施的节水措施：公司实行定额用水管理考核，实施节将超罚制度；近年先后投入3344万元对用水设备和供水管网等进行改造； 建立健全用水节水管理规章制度；公司全部采用节水型用水器具。</w:t>
      </w:r>
    </w:p>
    <w:p>
      <w:pPr>
        <w:pStyle w:val="16"/>
        <w:spacing w:line="360" w:lineRule="auto"/>
        <w:ind w:firstLine="560"/>
      </w:pPr>
    </w:p>
    <w:p>
      <w:pPr>
        <w:pStyle w:val="16"/>
        <w:spacing w:line="360" w:lineRule="auto"/>
        <w:ind w:firstLine="643"/>
      </w:pPr>
      <w:r>
        <w:rPr>
          <w:rFonts w:hint="eastAsia" w:eastAsia="仿宋"/>
          <w:b/>
          <w:sz w:val="32"/>
          <w:szCs w:val="32"/>
        </w:rPr>
        <w:drawing>
          <wp:inline distT="0" distB="0" distL="0" distR="0">
            <wp:extent cx="4961255" cy="2289810"/>
            <wp:effectExtent l="19050" t="0" r="0" b="0"/>
            <wp:docPr id="2069" name="图片 32" descr="QQ图片2018120418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图片 32" descr="QQ图片20181204182226"/>
                    <pic:cNvPicPr>
                      <a:picLocks noChangeAspect="1" noChangeArrowheads="1"/>
                    </pic:cNvPicPr>
                  </pic:nvPicPr>
                  <pic:blipFill>
                    <a:blip r:embed="rId56"/>
                    <a:srcRect/>
                    <a:stretch>
                      <a:fillRect/>
                    </a:stretch>
                  </pic:blipFill>
                  <pic:spPr>
                    <a:xfrm>
                      <a:off x="0" y="0"/>
                      <a:ext cx="4961741" cy="2290173"/>
                    </a:xfrm>
                    <a:prstGeom prst="rect">
                      <a:avLst/>
                    </a:prstGeom>
                    <a:noFill/>
                    <a:ln w="9525" cmpd="sng">
                      <a:noFill/>
                      <a:miter lim="800000"/>
                      <a:headEnd/>
                      <a:tailEnd/>
                    </a:ln>
                  </pic:spPr>
                </pic:pic>
              </a:graphicData>
            </a:graphic>
          </wp:inline>
        </w:drawing>
      </w:r>
    </w:p>
    <w:p>
      <w:pPr>
        <w:pStyle w:val="16"/>
        <w:spacing w:line="360" w:lineRule="auto"/>
        <w:ind w:firstLine="560"/>
        <w:rPr>
          <w:szCs w:val="21"/>
        </w:rPr>
      </w:pPr>
      <w:r>
        <w:rPr>
          <w:rFonts w:hint="eastAsia"/>
          <w:szCs w:val="21"/>
        </w:rPr>
        <w:t>7、金属加工业（</w:t>
      </w:r>
      <w:r>
        <w:rPr>
          <w:rFonts w:hint="eastAsia"/>
          <w:szCs w:val="21"/>
          <w:lang w:val="ru-RU"/>
        </w:rPr>
        <w:t>淮北龙图铝材有限公司</w:t>
      </w:r>
      <w:r>
        <w:rPr>
          <w:rFonts w:hint="eastAsia"/>
          <w:szCs w:val="21"/>
        </w:rPr>
        <w:t>）</w:t>
      </w:r>
    </w:p>
    <w:p>
      <w:pPr>
        <w:pStyle w:val="16"/>
        <w:spacing w:line="360" w:lineRule="auto"/>
        <w:ind w:firstLine="592"/>
        <w:rPr>
          <w:rFonts w:cs="Times New Roman"/>
          <w:spacing w:val="16"/>
        </w:rPr>
      </w:pPr>
      <w:r>
        <w:rPr>
          <w:rFonts w:hint="eastAsia" w:cs="Times New Roman"/>
          <w:spacing w:val="16"/>
        </w:rPr>
        <w:t>淮北龙图铝材有限公司于2006年7月入住淮北市开发区龙湖工业园内，主要生产铝合金建筑、装饰型材、工业型材。公司占地70亩，拥有厂房面积20000平方米，员工200人，从事铝型材开发生产工作的专业技术人员89人。2016年、2017年公司生产型材分别是4872吨、6272吨，取水量分别为56129m</w:t>
      </w:r>
      <w:r>
        <w:rPr>
          <w:rFonts w:hint="eastAsia" w:cs="Times New Roman"/>
          <w:spacing w:val="16"/>
          <w:vertAlign w:val="superscript"/>
        </w:rPr>
        <w:t>3</w:t>
      </w:r>
      <w:r>
        <w:rPr>
          <w:rFonts w:hint="eastAsia" w:cs="Times New Roman"/>
          <w:spacing w:val="16"/>
        </w:rPr>
        <w:t>、68813 m</w:t>
      </w:r>
      <w:r>
        <w:rPr>
          <w:rFonts w:hint="eastAsia" w:cs="Times New Roman"/>
          <w:spacing w:val="16"/>
          <w:vertAlign w:val="superscript"/>
        </w:rPr>
        <w:t>3</w:t>
      </w:r>
      <w:r>
        <w:rPr>
          <w:rFonts w:hint="eastAsia" w:cs="Times New Roman"/>
          <w:spacing w:val="16"/>
        </w:rPr>
        <w:t>，单位产品取水量分别为11.52 m</w:t>
      </w:r>
      <w:r>
        <w:rPr>
          <w:rFonts w:hint="eastAsia" w:cs="Times New Roman"/>
          <w:spacing w:val="16"/>
          <w:vertAlign w:val="superscript"/>
        </w:rPr>
        <w:t>3</w:t>
      </w:r>
      <w:r>
        <w:rPr>
          <w:rFonts w:hint="eastAsia" w:cs="Times New Roman"/>
          <w:spacing w:val="16"/>
        </w:rPr>
        <w:t>/吨型材、10.97 m</w:t>
      </w:r>
      <w:r>
        <w:rPr>
          <w:rFonts w:hint="eastAsia" w:cs="Times New Roman"/>
          <w:spacing w:val="16"/>
          <w:vertAlign w:val="superscript"/>
        </w:rPr>
        <w:t>3</w:t>
      </w:r>
      <w:r>
        <w:rPr>
          <w:rFonts w:hint="eastAsia" w:cs="Times New Roman"/>
          <w:spacing w:val="16"/>
        </w:rPr>
        <w:t>/吨型材，万元产值取水量分别为6.42 m</w:t>
      </w:r>
      <w:r>
        <w:rPr>
          <w:rFonts w:hint="eastAsia" w:cs="Times New Roman"/>
          <w:spacing w:val="16"/>
          <w:vertAlign w:val="superscript"/>
        </w:rPr>
        <w:t>3</w:t>
      </w:r>
      <w:r>
        <w:rPr>
          <w:rFonts w:hint="eastAsia" w:cs="Times New Roman"/>
          <w:spacing w:val="16"/>
        </w:rPr>
        <w:t>/万元、6.08 m</w:t>
      </w:r>
      <w:r>
        <w:rPr>
          <w:rFonts w:hint="eastAsia" w:cs="Times New Roman"/>
          <w:spacing w:val="16"/>
          <w:vertAlign w:val="superscript"/>
        </w:rPr>
        <w:t>3</w:t>
      </w:r>
      <w:r>
        <w:rPr>
          <w:rFonts w:hint="eastAsia" w:cs="Times New Roman"/>
          <w:spacing w:val="16"/>
        </w:rPr>
        <w:t>/万元。在同行业中单位产品水消耗量处于领先水平。</w:t>
      </w:r>
    </w:p>
    <w:p>
      <w:pPr>
        <w:pStyle w:val="16"/>
        <w:spacing w:line="360" w:lineRule="auto"/>
        <w:ind w:firstLine="592"/>
        <w:rPr>
          <w:rFonts w:cs="Times New Roman"/>
          <w:spacing w:val="16"/>
        </w:rPr>
      </w:pPr>
      <w:r>
        <w:rPr>
          <w:rFonts w:hint="eastAsia" w:cs="Times New Roman"/>
          <w:spacing w:val="16"/>
        </w:rPr>
        <w:t>公司取用水源主要是市政自来水，主要用于间接冷却水补水、车间产品生产用水、行政办公楼、食堂等用水。</w:t>
      </w:r>
    </w:p>
    <w:p>
      <w:pPr>
        <w:pStyle w:val="16"/>
        <w:spacing w:line="360" w:lineRule="auto"/>
        <w:ind w:firstLine="592"/>
        <w:rPr>
          <w:rFonts w:cs="Times New Roman"/>
          <w:spacing w:val="16"/>
        </w:rPr>
      </w:pPr>
      <w:r>
        <w:rPr>
          <w:rFonts w:hint="eastAsia" w:cs="Times New Roman"/>
          <w:spacing w:val="16"/>
        </w:rPr>
        <w:t>实施的节水措施：公司建设了氧化车间废水回用系统；  公司建设了喷涂车间废水回用系统；公司用水器具全部采用节水型，水表计量体系健全。</w:t>
      </w:r>
    </w:p>
    <w:p>
      <w:pPr>
        <w:pStyle w:val="16"/>
        <w:spacing w:line="360" w:lineRule="auto"/>
        <w:ind w:firstLine="643"/>
        <w:jc w:val="center"/>
        <w:rPr>
          <w:rFonts w:cs="Times New Roman"/>
          <w:spacing w:val="16"/>
        </w:rPr>
      </w:pPr>
      <w:r>
        <w:rPr>
          <w:rFonts w:hint="eastAsia" w:eastAsia="仿宋"/>
          <w:b/>
          <w:bCs/>
          <w:color w:val="000000"/>
          <w:sz w:val="32"/>
          <w:szCs w:val="32"/>
        </w:rPr>
        <w:drawing>
          <wp:inline distT="0" distB="0" distL="0" distR="0">
            <wp:extent cx="4218305" cy="2588895"/>
            <wp:effectExtent l="19050" t="0" r="0" b="0"/>
            <wp:docPr id="2070" name="图片 36" descr="QQ图片2018120418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 name="图片 36" descr="QQ图片20181204182251"/>
                    <pic:cNvPicPr>
                      <a:picLocks noChangeAspect="1" noChangeArrowheads="1"/>
                    </pic:cNvPicPr>
                  </pic:nvPicPr>
                  <pic:blipFill>
                    <a:blip r:embed="rId57"/>
                    <a:srcRect/>
                    <a:stretch>
                      <a:fillRect/>
                    </a:stretch>
                  </pic:blipFill>
                  <pic:spPr>
                    <a:xfrm>
                      <a:off x="0" y="0"/>
                      <a:ext cx="4218487" cy="2589033"/>
                    </a:xfrm>
                    <a:prstGeom prst="rect">
                      <a:avLst/>
                    </a:prstGeom>
                    <a:noFill/>
                    <a:ln w="9525" cmpd="sng">
                      <a:noFill/>
                      <a:miter lim="800000"/>
                      <a:headEnd/>
                      <a:tailEnd/>
                    </a:ln>
                  </pic:spPr>
                </pic:pic>
              </a:graphicData>
            </a:graphic>
          </wp:inline>
        </w:drawing>
      </w:r>
    </w:p>
    <w:p>
      <w:pPr>
        <w:pStyle w:val="16"/>
        <w:spacing w:line="360" w:lineRule="auto"/>
        <w:ind w:left="2884" w:leftChars="250" w:hanging="2184" w:hangingChars="700"/>
      </w:pPr>
      <w:r>
        <w:rPr>
          <w:rFonts w:hint="eastAsia" w:cs="Times New Roman"/>
          <w:spacing w:val="16"/>
        </w:rPr>
        <w:t>8、</w:t>
      </w:r>
      <w:r>
        <w:t>通用设备制造业</w:t>
      </w:r>
      <w:r>
        <w:rPr>
          <w:rFonts w:hint="eastAsia"/>
        </w:rPr>
        <w:t>（安徽省矿业机电装备有限责任公司）</w:t>
      </w:r>
      <w:r>
        <w:rPr>
          <w:rFonts w:hint="eastAsia" w:cs="Times New Roman"/>
          <w:spacing w:val="16"/>
        </w:rPr>
        <w:drawing>
          <wp:inline distT="0" distB="0" distL="0" distR="0">
            <wp:extent cx="3068955" cy="2363470"/>
            <wp:effectExtent l="19050" t="0" r="0" b="0"/>
            <wp:docPr id="2071" name="图片 15" descr="QQ图片2018120418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图片 15" descr="QQ图片20181204182402"/>
                    <pic:cNvPicPr>
                      <a:picLocks noChangeAspect="1" noChangeArrowheads="1"/>
                    </pic:cNvPicPr>
                  </pic:nvPicPr>
                  <pic:blipFill>
                    <a:blip r:embed="rId58"/>
                    <a:srcRect/>
                    <a:stretch>
                      <a:fillRect/>
                    </a:stretch>
                  </pic:blipFill>
                  <pic:spPr>
                    <a:xfrm>
                      <a:off x="0" y="0"/>
                      <a:ext cx="3068850" cy="2363595"/>
                    </a:xfrm>
                    <a:prstGeom prst="rect">
                      <a:avLst/>
                    </a:prstGeom>
                    <a:noFill/>
                    <a:ln w="9525" cmpd="sng">
                      <a:noFill/>
                      <a:miter lim="800000"/>
                      <a:headEnd/>
                      <a:tailEnd/>
                    </a:ln>
                    <a:effectLst/>
                  </pic:spPr>
                </pic:pic>
              </a:graphicData>
            </a:graphic>
          </wp:inline>
        </w:drawing>
      </w:r>
    </w:p>
    <w:p>
      <w:pPr>
        <w:spacing w:line="360" w:lineRule="auto"/>
        <w:ind w:firstLine="592"/>
        <w:rPr>
          <w:spacing w:val="16"/>
        </w:rPr>
      </w:pPr>
      <w:bookmarkStart w:id="199" w:name="_Toc478634632"/>
      <w:bookmarkStart w:id="200" w:name="_Toc480311598"/>
      <w:bookmarkStart w:id="201" w:name="_Toc477942057"/>
      <w:bookmarkStart w:id="202" w:name="_Toc478634338"/>
      <w:r>
        <w:rPr>
          <w:rFonts w:hint="eastAsia"/>
          <w:spacing w:val="16"/>
        </w:rPr>
        <w:t>安徽省矿业机电装备有限责任公司是国家煤机装备制造业骨干企业，专业从事煤矿综采、综掘、支护、运输装备的制造、安装及维修。主导产品：液压支架、刮板机、皮带机等，并从事采掘设备大修、电器修理，以及锻件、铸件生产。拥有各类机床及高精设备1000余台，设有省级技术中心和国家级检测中心，具有较强的生产制造能力、技术研发能力和大型煤机装备的实验检测能力。</w:t>
      </w:r>
    </w:p>
    <w:p>
      <w:pPr>
        <w:spacing w:line="360" w:lineRule="auto"/>
        <w:ind w:firstLine="592"/>
        <w:rPr>
          <w:spacing w:val="16"/>
        </w:rPr>
      </w:pPr>
      <w:r>
        <w:rPr>
          <w:rFonts w:hint="eastAsia"/>
          <w:spacing w:val="16"/>
        </w:rPr>
        <w:t>安徽省矿业机电装备有限责任公司年总取水量20.93万m</w:t>
      </w:r>
      <w:r>
        <w:rPr>
          <w:rFonts w:hint="eastAsia"/>
          <w:spacing w:val="16"/>
          <w:vertAlign w:val="superscript"/>
        </w:rPr>
        <w:t>3</w:t>
      </w:r>
      <w:r>
        <w:rPr>
          <w:rFonts w:hint="eastAsia"/>
          <w:spacing w:val="16"/>
        </w:rPr>
        <w:t>，公司取用水源全部为自来水，公司生产用水主要为工件冲洗、工件直接冷却等，辅助生产用水为间接冷却水循环水，附属生产用水为食堂，办公、宿舍用水等。</w:t>
      </w:r>
    </w:p>
    <w:p>
      <w:pPr>
        <w:spacing w:line="360" w:lineRule="auto"/>
        <w:ind w:firstLine="592"/>
        <w:rPr>
          <w:spacing w:val="16"/>
        </w:rPr>
      </w:pPr>
      <w:r>
        <w:rPr>
          <w:rFonts w:hint="eastAsia"/>
          <w:spacing w:val="16"/>
        </w:rPr>
        <w:t>实施的节水措施：公司建有间接冷却水循环用水系统；公司建立工件直接冷却水循环系统。</w:t>
      </w:r>
    </w:p>
    <w:p>
      <w:pPr>
        <w:spacing w:line="360" w:lineRule="auto"/>
        <w:ind w:firstLine="592"/>
      </w:pPr>
      <w:r>
        <w:rPr>
          <w:rFonts w:hint="eastAsia"/>
          <w:spacing w:val="16"/>
        </w:rPr>
        <w:t>9、</w:t>
      </w:r>
      <w:r>
        <w:rPr>
          <w:rFonts w:hint="eastAsia"/>
        </w:rPr>
        <w:t>生物医药（</w:t>
      </w:r>
      <w:r>
        <w:rPr>
          <w:rFonts w:hint="eastAsia"/>
          <w:lang w:val="ru-RU"/>
        </w:rPr>
        <w:t>安徽华润金蟾药业股份有限公司</w:t>
      </w:r>
      <w:r>
        <w:rPr>
          <w:rFonts w:hint="eastAsia"/>
        </w:rPr>
        <w:t>）</w:t>
      </w:r>
    </w:p>
    <w:p>
      <w:pPr>
        <w:pStyle w:val="16"/>
        <w:spacing w:line="360" w:lineRule="auto"/>
        <w:ind w:firstLine="592"/>
        <w:rPr>
          <w:rFonts w:cs="Times New Roman"/>
          <w:spacing w:val="16"/>
        </w:rPr>
      </w:pPr>
      <w:r>
        <w:rPr>
          <w:rFonts w:hint="eastAsia" w:cs="Times New Roman"/>
          <w:spacing w:val="16"/>
        </w:rPr>
        <w:t xml:space="preserve">安徽华润金蟾药业股份有限公司位于安徽省淮北市龙湖经济开发区龙发路 39 号，公司主要从事中药、中药饮片制造、加工、科学技术成果开发等。主导产品为“金蟾”牌华蟾素，是以我国地道中药材--中华大蟾蜍的阴干全皮为主要原料，产品年取水量4万吨左右，工业用水重复利用率在84%。现有华蟾素系列产品注射液、口服液、片剂三种剂型和中药配方颗粒提取物剂型。         </w:t>
      </w:r>
    </w:p>
    <w:p>
      <w:pPr>
        <w:pStyle w:val="16"/>
        <w:spacing w:line="360" w:lineRule="auto"/>
        <w:ind w:firstLine="592"/>
        <w:rPr>
          <w:rFonts w:cs="Times New Roman"/>
          <w:spacing w:val="16"/>
        </w:rPr>
      </w:pPr>
      <w:r>
        <w:rPr>
          <w:rFonts w:hint="eastAsia" w:cs="Times New Roman"/>
          <w:spacing w:val="16"/>
        </w:rPr>
        <w:t>华润金蟾药业股份有限公司主要取水源为自来水，经一体化净水器、多介质过滤器、活性炭过滤器、精密过滤器处理后使用。用水单元主要分为以下三部分：冷却循环用水、生产用水及生活用水。</w:t>
      </w:r>
    </w:p>
    <w:p>
      <w:pPr>
        <w:spacing w:line="360" w:lineRule="auto"/>
        <w:ind w:firstLine="592"/>
        <w:rPr>
          <w:spacing w:val="16"/>
        </w:rPr>
      </w:pPr>
      <w:r>
        <w:rPr>
          <w:rFonts w:hint="eastAsia"/>
          <w:spacing w:val="16"/>
        </w:rPr>
        <w:t>实施的节水措施：公司在2015年公司投资近50余万元改造了中水、冷凝水的回收利用项目，通过污水站处理后的废水重新利用于中药提取车间冷却水补水；  开展节约用水活动，建立一系列的用水计量制度；利用厂区的宣传栏，大力宣传节约用水工作； 明确专人负责厂区内供水设施进行巡视检查，保证车间及办公楼的正常用水，对发现的问题要及时采取措施解决，严禁跑、冒、滴、漏水现象发生。</w:t>
      </w:r>
    </w:p>
    <w:p>
      <w:pPr>
        <w:spacing w:line="360" w:lineRule="auto"/>
        <w:ind w:firstLine="643"/>
        <w:jc w:val="center"/>
      </w:pPr>
      <w:r>
        <w:rPr>
          <w:rFonts w:hint="eastAsia" w:eastAsia="仿宋"/>
          <w:b/>
          <w:sz w:val="32"/>
          <w:szCs w:val="32"/>
        </w:rPr>
        <w:drawing>
          <wp:inline distT="0" distB="0" distL="0" distR="0">
            <wp:extent cx="3968115" cy="2662555"/>
            <wp:effectExtent l="19050" t="0" r="0" b="0"/>
            <wp:docPr id="2072" name="图片 31" descr="QQ图片2018120418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 name="图片 31" descr="QQ图片20181204182232"/>
                    <pic:cNvPicPr>
                      <a:picLocks noChangeAspect="1" noChangeArrowheads="1"/>
                    </pic:cNvPicPr>
                  </pic:nvPicPr>
                  <pic:blipFill>
                    <a:blip r:embed="rId59"/>
                    <a:srcRect/>
                    <a:stretch>
                      <a:fillRect/>
                    </a:stretch>
                  </pic:blipFill>
                  <pic:spPr>
                    <a:xfrm>
                      <a:off x="0" y="0"/>
                      <a:ext cx="3971327" cy="2665096"/>
                    </a:xfrm>
                    <a:prstGeom prst="rect">
                      <a:avLst/>
                    </a:prstGeom>
                    <a:noFill/>
                    <a:ln w="9525" cmpd="sng">
                      <a:noFill/>
                      <a:miter lim="800000"/>
                      <a:headEnd/>
                      <a:tailEnd/>
                    </a:ln>
                  </pic:spPr>
                </pic:pic>
              </a:graphicData>
            </a:graphic>
          </wp:inline>
        </w:drawing>
      </w:r>
    </w:p>
    <w:p>
      <w:pPr>
        <w:spacing w:line="360" w:lineRule="auto"/>
        <w:ind w:firstLine="560"/>
      </w:pPr>
      <w:r>
        <w:t>二、工业企业节水现状指标</w:t>
      </w:r>
      <w:bookmarkEnd w:id="199"/>
      <w:bookmarkEnd w:id="200"/>
      <w:bookmarkEnd w:id="201"/>
      <w:bookmarkEnd w:id="202"/>
    </w:p>
    <w:p>
      <w:pPr>
        <w:pStyle w:val="16"/>
        <w:spacing w:line="360" w:lineRule="auto"/>
        <w:ind w:firstLine="592"/>
        <w:rPr>
          <w:rFonts w:cs="Times New Roman"/>
          <w:spacing w:val="16"/>
        </w:rPr>
      </w:pPr>
      <w:r>
        <w:rPr>
          <w:rFonts w:cs="Times New Roman"/>
          <w:spacing w:val="16"/>
        </w:rPr>
        <w:t>1、万元工业增加值用水量</w:t>
      </w:r>
    </w:p>
    <w:p>
      <w:pPr>
        <w:pStyle w:val="16"/>
        <w:spacing w:line="360" w:lineRule="auto"/>
        <w:ind w:firstLine="592"/>
        <w:rPr>
          <w:rFonts w:cs="Times New Roman"/>
          <w:spacing w:val="16"/>
        </w:rPr>
      </w:pPr>
      <w:r>
        <w:rPr>
          <w:rFonts w:cs="Times New Roman"/>
          <w:spacing w:val="16"/>
        </w:rPr>
        <w:t>工业用水新水取水量是指工矿企业在生产过程中用于制造、加工、冷却（包括火电直流冷却）、空调、净化、洗涤等方面的用水量，按新水取用量计，不包括企业内部的重复利用水量。根据《淮北统计年鉴》，淮北市区</w:t>
      </w:r>
      <w:r>
        <w:rPr>
          <w:rFonts w:hint="eastAsia" w:cs="Times New Roman"/>
          <w:spacing w:val="16"/>
        </w:rPr>
        <w:t>（杜集区、相山区、烈山区）</w:t>
      </w:r>
      <w:r>
        <w:rPr>
          <w:rFonts w:cs="Times New Roman"/>
          <w:spacing w:val="16"/>
        </w:rPr>
        <w:t>201</w:t>
      </w:r>
      <w:r>
        <w:rPr>
          <w:rFonts w:hint="eastAsia" w:cs="Times New Roman"/>
          <w:spacing w:val="16"/>
        </w:rPr>
        <w:t>4</w:t>
      </w:r>
      <w:r>
        <w:rPr>
          <w:rFonts w:cs="Times New Roman"/>
          <w:spacing w:val="16"/>
        </w:rPr>
        <w:t>~201</w:t>
      </w:r>
      <w:r>
        <w:rPr>
          <w:rFonts w:hint="eastAsia" w:cs="Times New Roman"/>
          <w:spacing w:val="16"/>
        </w:rPr>
        <w:t>6</w:t>
      </w:r>
      <w:r>
        <w:rPr>
          <w:rFonts w:cs="Times New Roman"/>
          <w:spacing w:val="16"/>
        </w:rPr>
        <w:t>年工业增加值：</w:t>
      </w:r>
      <w:r>
        <w:rPr>
          <w:rFonts w:hint="eastAsia" w:cs="Times New Roman"/>
          <w:spacing w:val="16"/>
        </w:rPr>
        <w:t>176.59</w:t>
      </w:r>
      <w:r>
        <w:rPr>
          <w:rFonts w:cs="Times New Roman"/>
          <w:spacing w:val="16"/>
        </w:rPr>
        <w:t>亿元、</w:t>
      </w:r>
      <w:r>
        <w:rPr>
          <w:rFonts w:hint="eastAsia" w:cs="Times New Roman"/>
          <w:spacing w:val="16"/>
        </w:rPr>
        <w:t>169.24</w:t>
      </w:r>
      <w:r>
        <w:rPr>
          <w:rFonts w:cs="Times New Roman"/>
          <w:spacing w:val="16"/>
        </w:rPr>
        <w:t>亿元、</w:t>
      </w:r>
      <w:r>
        <w:rPr>
          <w:rFonts w:hint="eastAsia" w:cs="Times New Roman"/>
          <w:spacing w:val="16"/>
        </w:rPr>
        <w:t>153.18</w:t>
      </w:r>
      <w:r>
        <w:rPr>
          <w:rFonts w:cs="Times New Roman"/>
          <w:spacing w:val="16"/>
        </w:rPr>
        <w:t>亿元</w:t>
      </w:r>
      <w:r>
        <w:rPr>
          <w:rFonts w:hint="eastAsia" w:cs="Times New Roman"/>
          <w:spacing w:val="16"/>
        </w:rPr>
        <w:t>，根据</w:t>
      </w:r>
      <w:r>
        <w:rPr>
          <w:rFonts w:cs="Times New Roman"/>
          <w:spacing w:val="16"/>
        </w:rPr>
        <w:t>《淮北统计年鉴》</w:t>
      </w:r>
      <w:r>
        <w:rPr>
          <w:rFonts w:hint="eastAsia" w:cs="Times New Roman"/>
          <w:spacing w:val="16"/>
        </w:rPr>
        <w:t>2017年淮北市工业增加值增长率（杜集区7.7%、相山区7.8%、烈山区4.6%）</w:t>
      </w:r>
      <w:r>
        <w:rPr>
          <w:rFonts w:cs="Times New Roman"/>
          <w:spacing w:val="16"/>
        </w:rPr>
        <w:t>，</w:t>
      </w:r>
      <w:r>
        <w:rPr>
          <w:rFonts w:hint="eastAsia" w:cs="Times New Roman"/>
          <w:spacing w:val="16"/>
        </w:rPr>
        <w:t>计算2017年淮北市区工业增加值163.76亿元。</w:t>
      </w:r>
      <w:r>
        <w:rPr>
          <w:rFonts w:cs="Times New Roman"/>
          <w:spacing w:val="16"/>
        </w:rPr>
        <w:t>201</w:t>
      </w:r>
      <w:r>
        <w:rPr>
          <w:rFonts w:hint="eastAsia" w:cs="Times New Roman"/>
          <w:spacing w:val="16"/>
        </w:rPr>
        <w:t>3</w:t>
      </w:r>
      <w:r>
        <w:rPr>
          <w:rFonts w:cs="Times New Roman"/>
          <w:spacing w:val="16"/>
        </w:rPr>
        <w:t>~201</w:t>
      </w:r>
      <w:r>
        <w:rPr>
          <w:rFonts w:hint="eastAsia" w:cs="Times New Roman"/>
          <w:spacing w:val="16"/>
        </w:rPr>
        <w:t>7年</w:t>
      </w:r>
      <w:r>
        <w:rPr>
          <w:rFonts w:cs="Times New Roman"/>
          <w:spacing w:val="19"/>
        </w:rPr>
        <w:t>工</w:t>
      </w:r>
      <w:r>
        <w:rPr>
          <w:rFonts w:cs="Times New Roman"/>
          <w:spacing w:val="16"/>
        </w:rPr>
        <w:t>业</w:t>
      </w:r>
      <w:r>
        <w:rPr>
          <w:rFonts w:cs="Times New Roman"/>
          <w:spacing w:val="19"/>
        </w:rPr>
        <w:t>企业</w:t>
      </w:r>
      <w:r>
        <w:rPr>
          <w:rFonts w:cs="Times New Roman"/>
          <w:spacing w:val="16"/>
        </w:rPr>
        <w:t>用</w:t>
      </w:r>
      <w:r>
        <w:rPr>
          <w:rFonts w:cs="Times New Roman"/>
          <w:spacing w:val="19"/>
        </w:rPr>
        <w:t>水</w:t>
      </w:r>
      <w:r>
        <w:rPr>
          <w:rFonts w:cs="Times New Roman"/>
        </w:rPr>
        <w:t>量</w:t>
      </w:r>
      <w:r>
        <w:rPr>
          <w:rFonts w:hint="eastAsia" w:cs="Times New Roman"/>
        </w:rPr>
        <w:t>1915.7</w:t>
      </w:r>
      <w:r>
        <w:rPr>
          <w:rFonts w:cs="Times New Roman"/>
          <w:spacing w:val="16"/>
        </w:rPr>
        <w:t>万</w:t>
      </w:r>
      <w:r>
        <w:rPr>
          <w:rFonts w:cs="Times New Roman"/>
          <w:spacing w:val="19"/>
        </w:rPr>
        <w:t>立</w:t>
      </w:r>
      <w:r>
        <w:rPr>
          <w:rFonts w:cs="Times New Roman"/>
          <w:spacing w:val="16"/>
        </w:rPr>
        <w:t>方</w:t>
      </w:r>
      <w:r>
        <w:rPr>
          <w:rFonts w:cs="Times New Roman"/>
          <w:spacing w:val="19"/>
        </w:rPr>
        <w:t>米</w:t>
      </w:r>
      <w:r>
        <w:rPr>
          <w:rFonts w:cs="Times New Roman"/>
          <w:spacing w:val="-20"/>
        </w:rPr>
        <w:t>、</w:t>
      </w:r>
      <w:r>
        <w:rPr>
          <w:rFonts w:hint="eastAsia" w:cs="Times New Roman"/>
        </w:rPr>
        <w:t>2145.7</w:t>
      </w:r>
      <w:r>
        <w:rPr>
          <w:rFonts w:cs="Times New Roman"/>
          <w:spacing w:val="16"/>
        </w:rPr>
        <w:t>万</w:t>
      </w:r>
      <w:r>
        <w:rPr>
          <w:rFonts w:cs="Times New Roman"/>
          <w:spacing w:val="19"/>
        </w:rPr>
        <w:t>立方</w:t>
      </w:r>
      <w:r>
        <w:rPr>
          <w:rFonts w:cs="Times New Roman"/>
          <w:spacing w:val="16"/>
        </w:rPr>
        <w:t>米</w:t>
      </w:r>
      <w:r>
        <w:rPr>
          <w:rFonts w:cs="Times New Roman"/>
          <w:spacing w:val="-99"/>
        </w:rPr>
        <w:t>、</w:t>
      </w:r>
      <w:r>
        <w:rPr>
          <w:rFonts w:hint="eastAsia" w:cs="Times New Roman"/>
        </w:rPr>
        <w:t>2031.5</w:t>
      </w:r>
      <w:r>
        <w:rPr>
          <w:rFonts w:cs="Times New Roman"/>
          <w:spacing w:val="16"/>
        </w:rPr>
        <w:t>万立</w:t>
      </w:r>
      <w:r>
        <w:rPr>
          <w:rFonts w:cs="Times New Roman"/>
          <w:spacing w:val="19"/>
        </w:rPr>
        <w:t>方</w:t>
      </w:r>
      <w:r>
        <w:rPr>
          <w:rFonts w:cs="Times New Roman"/>
          <w:spacing w:val="16"/>
        </w:rPr>
        <w:t>米</w:t>
      </w:r>
      <w:r>
        <w:rPr>
          <w:rFonts w:cs="Times New Roman"/>
          <w:spacing w:val="-99"/>
        </w:rPr>
        <w:t>、</w:t>
      </w:r>
      <w:r>
        <w:rPr>
          <w:rFonts w:hint="eastAsia" w:cs="Times New Roman"/>
        </w:rPr>
        <w:t>1927</w:t>
      </w:r>
      <w:r>
        <w:rPr>
          <w:rFonts w:cs="Times New Roman"/>
          <w:spacing w:val="16"/>
        </w:rPr>
        <w:t>万</w:t>
      </w:r>
      <w:r>
        <w:rPr>
          <w:rFonts w:cs="Times New Roman"/>
          <w:spacing w:val="19"/>
        </w:rPr>
        <w:t>立</w:t>
      </w:r>
      <w:r>
        <w:rPr>
          <w:rFonts w:cs="Times New Roman"/>
          <w:spacing w:val="16"/>
        </w:rPr>
        <w:t>方</w:t>
      </w:r>
      <w:r>
        <w:rPr>
          <w:rFonts w:cs="Times New Roman"/>
          <w:spacing w:val="19"/>
        </w:rPr>
        <w:t>米</w:t>
      </w:r>
      <w:r>
        <w:rPr>
          <w:rFonts w:hint="eastAsia" w:cs="Times New Roman"/>
          <w:spacing w:val="19"/>
        </w:rPr>
        <w:t>、2012</w:t>
      </w:r>
      <w:r>
        <w:rPr>
          <w:rFonts w:cs="Times New Roman"/>
          <w:spacing w:val="16"/>
        </w:rPr>
        <w:t>万</w:t>
      </w:r>
      <w:r>
        <w:rPr>
          <w:rFonts w:cs="Times New Roman"/>
          <w:spacing w:val="19"/>
        </w:rPr>
        <w:t>立</w:t>
      </w:r>
      <w:r>
        <w:rPr>
          <w:rFonts w:cs="Times New Roman"/>
          <w:spacing w:val="16"/>
        </w:rPr>
        <w:t>方</w:t>
      </w:r>
      <w:r>
        <w:rPr>
          <w:rFonts w:cs="Times New Roman"/>
          <w:spacing w:val="19"/>
        </w:rPr>
        <w:t>米</w:t>
      </w:r>
      <w:r>
        <w:rPr>
          <w:rFonts w:cs="Times New Roman"/>
          <w:spacing w:val="16"/>
        </w:rPr>
        <w:t>，计算万元工业增加值用水量如下表。</w:t>
      </w:r>
    </w:p>
    <w:p>
      <w:pPr>
        <w:pStyle w:val="16"/>
        <w:spacing w:line="240" w:lineRule="auto"/>
        <w:ind w:firstLine="514"/>
        <w:jc w:val="center"/>
        <w:rPr>
          <w:rFonts w:cs="Times New Roman"/>
          <w:b/>
          <w:spacing w:val="16"/>
          <w:sz w:val="24"/>
        </w:rPr>
      </w:pPr>
      <w:r>
        <w:rPr>
          <w:rFonts w:cs="Times New Roman"/>
          <w:b/>
          <w:spacing w:val="16"/>
          <w:sz w:val="24"/>
        </w:rPr>
        <w:t>表</w:t>
      </w:r>
      <w:r>
        <w:rPr>
          <w:rFonts w:hint="eastAsia" w:cs="Times New Roman"/>
          <w:b/>
          <w:spacing w:val="16"/>
          <w:sz w:val="24"/>
        </w:rPr>
        <w:t>2</w:t>
      </w:r>
      <w:r>
        <w:rPr>
          <w:rFonts w:cs="Times New Roman"/>
          <w:b/>
          <w:spacing w:val="16"/>
          <w:sz w:val="24"/>
        </w:rPr>
        <w:t>-</w:t>
      </w:r>
      <w:r>
        <w:rPr>
          <w:rFonts w:hint="eastAsia" w:cs="Times New Roman"/>
          <w:b/>
          <w:spacing w:val="16"/>
          <w:sz w:val="24"/>
        </w:rPr>
        <w:t>31</w:t>
      </w:r>
      <w:r>
        <w:rPr>
          <w:rFonts w:cs="Times New Roman"/>
          <w:b/>
          <w:spacing w:val="16"/>
          <w:sz w:val="24"/>
        </w:rPr>
        <w:t xml:space="preserve">        万元工业增加值用水量</w:t>
      </w:r>
    </w:p>
    <w:tbl>
      <w:tblPr>
        <w:tblStyle w:val="39"/>
        <w:tblW w:w="10326" w:type="dxa"/>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2433"/>
        <w:gridCol w:w="2435"/>
        <w:gridCol w:w="2850"/>
        <w:gridCol w:w="2608"/>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58" w:hRule="atLeast"/>
        </w:trPr>
        <w:tc>
          <w:tcPr>
            <w:tcW w:w="2433" w:type="dxa"/>
            <w:tcBorders>
              <w:tl2br w:val="single" w:color="auto" w:sz="4" w:space="0"/>
            </w:tcBorders>
            <w:shd w:val="clear" w:color="000000" w:fill="FFFFFF"/>
            <w:vAlign w:val="center"/>
          </w:tcPr>
          <w:p>
            <w:pPr>
              <w:pStyle w:val="72"/>
              <w:spacing w:line="276" w:lineRule="auto"/>
            </w:pPr>
            <w:r>
              <w:t xml:space="preserve">                     项目</w:t>
            </w:r>
          </w:p>
          <w:p>
            <w:pPr>
              <w:pStyle w:val="72"/>
              <w:spacing w:line="276" w:lineRule="auto"/>
              <w:ind w:firstLine="210" w:firstLineChars="100"/>
              <w:jc w:val="left"/>
            </w:pPr>
            <w:r>
              <w:t xml:space="preserve">年份                 </w:t>
            </w:r>
          </w:p>
        </w:tc>
        <w:tc>
          <w:tcPr>
            <w:tcW w:w="2435" w:type="dxa"/>
            <w:shd w:val="clear" w:color="000000" w:fill="FFFFFF"/>
            <w:vAlign w:val="center"/>
          </w:tcPr>
          <w:p>
            <w:pPr>
              <w:pStyle w:val="72"/>
              <w:spacing w:line="276" w:lineRule="auto"/>
            </w:pPr>
            <w:r>
              <w:t>工业增加值（亿元）</w:t>
            </w:r>
          </w:p>
        </w:tc>
        <w:tc>
          <w:tcPr>
            <w:tcW w:w="2850" w:type="dxa"/>
            <w:shd w:val="clear" w:color="000000" w:fill="FFFFFF"/>
            <w:vAlign w:val="center"/>
          </w:tcPr>
          <w:p>
            <w:pPr>
              <w:pStyle w:val="72"/>
              <w:spacing w:line="276" w:lineRule="auto"/>
            </w:pPr>
            <w:r>
              <w:t>工业用水量（万立方米）</w:t>
            </w:r>
          </w:p>
        </w:tc>
        <w:tc>
          <w:tcPr>
            <w:tcW w:w="2608" w:type="dxa"/>
            <w:shd w:val="clear" w:color="000000" w:fill="FFFFFF"/>
            <w:vAlign w:val="center"/>
          </w:tcPr>
          <w:p>
            <w:pPr>
              <w:pStyle w:val="72"/>
              <w:spacing w:line="276" w:lineRule="auto"/>
            </w:pPr>
            <w:r>
              <w:t>万元工业增加值用水量</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433" w:type="dxa"/>
            <w:shd w:val="clear" w:color="000000" w:fill="FFFFFF"/>
            <w:vAlign w:val="center"/>
          </w:tcPr>
          <w:p>
            <w:pPr>
              <w:pStyle w:val="72"/>
              <w:spacing w:line="276" w:lineRule="auto"/>
            </w:pPr>
            <w:r>
              <w:t>201</w:t>
            </w:r>
            <w:r>
              <w:rPr>
                <w:rFonts w:hint="eastAsia"/>
              </w:rPr>
              <w:t>4</w:t>
            </w:r>
            <w:r>
              <w:t>年</w:t>
            </w:r>
          </w:p>
        </w:tc>
        <w:tc>
          <w:tcPr>
            <w:tcW w:w="2435" w:type="dxa"/>
            <w:shd w:val="clear" w:color="000000" w:fill="FFFFFF"/>
            <w:vAlign w:val="center"/>
          </w:tcPr>
          <w:p>
            <w:pPr>
              <w:pStyle w:val="72"/>
              <w:spacing w:line="276" w:lineRule="auto"/>
            </w:pPr>
            <w:r>
              <w:rPr>
                <w:rFonts w:hint="eastAsia"/>
              </w:rPr>
              <w:t>176.59</w:t>
            </w:r>
          </w:p>
        </w:tc>
        <w:tc>
          <w:tcPr>
            <w:tcW w:w="2850" w:type="dxa"/>
            <w:shd w:val="clear" w:color="000000" w:fill="FFFFFF"/>
            <w:vAlign w:val="center"/>
          </w:tcPr>
          <w:p>
            <w:pPr>
              <w:pStyle w:val="72"/>
            </w:pPr>
            <w:r>
              <w:rPr>
                <w:rFonts w:hint="eastAsia"/>
              </w:rPr>
              <w:t>2145.7</w:t>
            </w:r>
          </w:p>
        </w:tc>
        <w:tc>
          <w:tcPr>
            <w:tcW w:w="2608" w:type="dxa"/>
            <w:shd w:val="clear" w:color="000000" w:fill="FFFFFF"/>
            <w:vAlign w:val="center"/>
          </w:tcPr>
          <w:p>
            <w:pPr>
              <w:pStyle w:val="72"/>
              <w:spacing w:line="276" w:lineRule="auto"/>
            </w:pPr>
            <w:r>
              <w:rPr>
                <w:rFonts w:hint="eastAsia"/>
              </w:rPr>
              <w:t>12.15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433" w:type="dxa"/>
            <w:shd w:val="clear" w:color="000000" w:fill="FFFFFF"/>
            <w:vAlign w:val="center"/>
          </w:tcPr>
          <w:p>
            <w:pPr>
              <w:pStyle w:val="72"/>
              <w:spacing w:line="276" w:lineRule="auto"/>
            </w:pPr>
            <w:r>
              <w:t>201</w:t>
            </w:r>
            <w:r>
              <w:rPr>
                <w:rFonts w:hint="eastAsia"/>
              </w:rPr>
              <w:t>5</w:t>
            </w:r>
            <w:r>
              <w:t>年</w:t>
            </w:r>
          </w:p>
        </w:tc>
        <w:tc>
          <w:tcPr>
            <w:tcW w:w="2435" w:type="dxa"/>
            <w:shd w:val="clear" w:color="000000" w:fill="FFFFFF"/>
            <w:vAlign w:val="center"/>
          </w:tcPr>
          <w:p>
            <w:pPr>
              <w:pStyle w:val="72"/>
              <w:spacing w:line="276" w:lineRule="auto"/>
            </w:pPr>
            <w:r>
              <w:rPr>
                <w:rFonts w:hint="eastAsia"/>
              </w:rPr>
              <w:t>169.24</w:t>
            </w:r>
          </w:p>
        </w:tc>
        <w:tc>
          <w:tcPr>
            <w:tcW w:w="2850" w:type="dxa"/>
            <w:shd w:val="clear" w:color="000000" w:fill="FFFFFF"/>
            <w:vAlign w:val="center"/>
          </w:tcPr>
          <w:p>
            <w:pPr>
              <w:pStyle w:val="72"/>
            </w:pPr>
            <w:r>
              <w:rPr>
                <w:rFonts w:hint="eastAsia"/>
              </w:rPr>
              <w:t>2031.5</w:t>
            </w:r>
          </w:p>
        </w:tc>
        <w:tc>
          <w:tcPr>
            <w:tcW w:w="2608" w:type="dxa"/>
            <w:shd w:val="clear" w:color="000000" w:fill="FFFFFF"/>
            <w:vAlign w:val="center"/>
          </w:tcPr>
          <w:p>
            <w:pPr>
              <w:pStyle w:val="72"/>
              <w:spacing w:line="276" w:lineRule="auto"/>
            </w:pPr>
            <w:r>
              <w:rPr>
                <w:rFonts w:hint="eastAsia"/>
              </w:rPr>
              <w:t>12.00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433" w:type="dxa"/>
            <w:shd w:val="clear" w:color="000000" w:fill="FFFFFF"/>
            <w:vAlign w:val="center"/>
          </w:tcPr>
          <w:p>
            <w:pPr>
              <w:pStyle w:val="72"/>
              <w:spacing w:line="276" w:lineRule="auto"/>
            </w:pPr>
            <w:r>
              <w:t>201</w:t>
            </w:r>
            <w:r>
              <w:rPr>
                <w:rFonts w:hint="eastAsia"/>
              </w:rPr>
              <w:t>6</w:t>
            </w:r>
            <w:r>
              <w:t>年</w:t>
            </w:r>
          </w:p>
        </w:tc>
        <w:tc>
          <w:tcPr>
            <w:tcW w:w="2435" w:type="dxa"/>
            <w:shd w:val="clear" w:color="000000" w:fill="FFFFFF"/>
            <w:vAlign w:val="center"/>
          </w:tcPr>
          <w:p>
            <w:pPr>
              <w:pStyle w:val="72"/>
              <w:spacing w:line="276" w:lineRule="auto"/>
            </w:pPr>
            <w:r>
              <w:rPr>
                <w:rFonts w:hint="eastAsia"/>
              </w:rPr>
              <w:t>153.18</w:t>
            </w:r>
          </w:p>
        </w:tc>
        <w:tc>
          <w:tcPr>
            <w:tcW w:w="2850" w:type="dxa"/>
            <w:shd w:val="clear" w:color="000000" w:fill="FFFFFF"/>
            <w:vAlign w:val="center"/>
          </w:tcPr>
          <w:p>
            <w:pPr>
              <w:pStyle w:val="72"/>
            </w:pPr>
            <w:r>
              <w:rPr>
                <w:rFonts w:hint="eastAsia"/>
              </w:rPr>
              <w:t>1927</w:t>
            </w:r>
          </w:p>
        </w:tc>
        <w:tc>
          <w:tcPr>
            <w:tcW w:w="2608" w:type="dxa"/>
            <w:shd w:val="clear" w:color="000000" w:fill="FFFFFF"/>
            <w:vAlign w:val="center"/>
          </w:tcPr>
          <w:p>
            <w:pPr>
              <w:pStyle w:val="72"/>
              <w:spacing w:line="276" w:lineRule="auto"/>
            </w:pPr>
            <w:r>
              <w:rPr>
                <w:rFonts w:hint="eastAsia"/>
              </w:rPr>
              <w:t>12.58</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433" w:type="dxa"/>
            <w:shd w:val="clear" w:color="000000" w:fill="FFFFFF"/>
            <w:vAlign w:val="center"/>
          </w:tcPr>
          <w:p>
            <w:pPr>
              <w:pStyle w:val="72"/>
              <w:spacing w:line="276" w:lineRule="auto"/>
            </w:pPr>
            <w:r>
              <w:t>201</w:t>
            </w:r>
            <w:r>
              <w:rPr>
                <w:rFonts w:hint="eastAsia"/>
              </w:rPr>
              <w:t>7</w:t>
            </w:r>
            <w:r>
              <w:t>年</w:t>
            </w:r>
          </w:p>
        </w:tc>
        <w:tc>
          <w:tcPr>
            <w:tcW w:w="2435" w:type="dxa"/>
            <w:shd w:val="clear" w:color="000000" w:fill="FFFFFF"/>
            <w:vAlign w:val="center"/>
          </w:tcPr>
          <w:p>
            <w:pPr>
              <w:pStyle w:val="72"/>
              <w:spacing w:line="276" w:lineRule="auto"/>
            </w:pPr>
            <w:r>
              <w:rPr>
                <w:rFonts w:hint="eastAsia"/>
              </w:rPr>
              <w:t>163.76</w:t>
            </w:r>
          </w:p>
        </w:tc>
        <w:tc>
          <w:tcPr>
            <w:tcW w:w="2850" w:type="dxa"/>
            <w:shd w:val="clear" w:color="000000" w:fill="FFFFFF"/>
            <w:vAlign w:val="center"/>
          </w:tcPr>
          <w:p>
            <w:pPr>
              <w:pStyle w:val="72"/>
            </w:pPr>
            <w:r>
              <w:rPr>
                <w:rFonts w:hint="eastAsia"/>
              </w:rPr>
              <w:t>2012</w:t>
            </w:r>
          </w:p>
        </w:tc>
        <w:tc>
          <w:tcPr>
            <w:tcW w:w="2608" w:type="dxa"/>
            <w:shd w:val="clear" w:color="000000" w:fill="FFFFFF"/>
            <w:vAlign w:val="center"/>
          </w:tcPr>
          <w:p>
            <w:pPr>
              <w:pStyle w:val="72"/>
              <w:spacing w:line="276" w:lineRule="auto"/>
            </w:pPr>
            <w:r>
              <w:rPr>
                <w:rFonts w:hint="eastAsia"/>
              </w:rPr>
              <w:t>12.29</w:t>
            </w:r>
          </w:p>
        </w:tc>
      </w:tr>
    </w:tbl>
    <w:p>
      <w:pPr>
        <w:pStyle w:val="16"/>
        <w:spacing w:line="360" w:lineRule="auto"/>
        <w:ind w:firstLine="578"/>
        <w:rPr>
          <w:rFonts w:cs="Times New Roman"/>
          <w:spacing w:val="9"/>
        </w:rPr>
      </w:pPr>
      <w:r>
        <w:rPr>
          <w:rFonts w:hint="eastAsia" w:cs="Times New Roman"/>
          <w:spacing w:val="9"/>
        </w:rPr>
        <w:t>安徽</w:t>
      </w:r>
      <w:r>
        <w:rPr>
          <w:rFonts w:cs="Times New Roman"/>
          <w:spacing w:val="9"/>
        </w:rPr>
        <w:t>省设市城市万元工业增加值用新水量情况分布如下图。</w:t>
      </w:r>
    </w:p>
    <w:p>
      <w:pPr>
        <w:pStyle w:val="16"/>
        <w:spacing w:line="240" w:lineRule="auto"/>
        <w:ind w:firstLine="0" w:firstLineChars="0"/>
        <w:jc w:val="center"/>
        <w:rPr>
          <w:rFonts w:cs="Times New Roman"/>
          <w:spacing w:val="9"/>
          <w:highlight w:val="yellow"/>
        </w:rPr>
      </w:pPr>
      <w:r>
        <w:drawing>
          <wp:inline distT="0" distB="0" distL="114300" distR="114300">
            <wp:extent cx="6137910" cy="2755900"/>
            <wp:effectExtent l="0" t="0" r="15240" b="6350"/>
            <wp:docPr id="2073" name="Picture 14"/>
            <wp:cNvGraphicFramePr/>
            <a:graphic xmlns:a="http://schemas.openxmlformats.org/drawingml/2006/main">
              <a:graphicData uri="http://schemas.openxmlformats.org/drawingml/2006/picture">
                <pic:pic xmlns:pic="http://schemas.openxmlformats.org/drawingml/2006/picture">
                  <pic:nvPicPr>
                    <pic:cNvPr id="2073" name="Picture 14"/>
                    <pic:cNvPicPr preferRelativeResize="0">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6137910" cy="2755900"/>
                    </a:xfrm>
                    <a:prstGeom prst="rect">
                      <a:avLst/>
                    </a:prstGeom>
                    <a:noFill/>
                    <a:ln>
                      <a:noFill/>
                    </a:ln>
                  </pic:spPr>
                </pic:pic>
              </a:graphicData>
            </a:graphic>
          </wp:inline>
        </w:drawing>
      </w:r>
    </w:p>
    <w:p>
      <w:pPr>
        <w:pStyle w:val="16"/>
        <w:spacing w:line="360" w:lineRule="auto"/>
        <w:ind w:firstLine="592"/>
        <w:rPr>
          <w:rFonts w:cs="Times New Roman"/>
          <w:spacing w:val="16"/>
        </w:rPr>
      </w:pPr>
      <w:r>
        <w:rPr>
          <w:rFonts w:cs="Times New Roman"/>
          <w:spacing w:val="16"/>
        </w:rPr>
        <w:t>根据上图计算万元工业增加值用水量可知，安徽省万元工业增加值取新水量最低城市为桐城市，最高</w:t>
      </w:r>
      <w:r>
        <w:rPr>
          <w:rFonts w:hint="eastAsia" w:cs="Times New Roman"/>
          <w:spacing w:val="16"/>
        </w:rPr>
        <w:t>为</w:t>
      </w:r>
      <w:r>
        <w:rPr>
          <w:rFonts w:cs="Times New Roman"/>
          <w:spacing w:val="16"/>
        </w:rPr>
        <w:t>蚌埠市</w:t>
      </w:r>
      <w:r>
        <w:rPr>
          <w:rFonts w:hint="eastAsia" w:cs="Times New Roman"/>
          <w:spacing w:val="16"/>
        </w:rPr>
        <w:t>。</w:t>
      </w:r>
      <w:r>
        <w:rPr>
          <w:rFonts w:cs="Times New Roman"/>
          <w:spacing w:val="16"/>
        </w:rPr>
        <w:t>全省平均万元工业增加值用水量约</w:t>
      </w:r>
      <w:r>
        <w:rPr>
          <w:rFonts w:hint="eastAsia" w:cs="Times New Roman"/>
          <w:spacing w:val="16"/>
        </w:rPr>
        <w:t>34</w:t>
      </w:r>
      <w:r>
        <w:rPr>
          <w:rFonts w:cs="Times New Roman"/>
          <w:spacing w:val="16"/>
        </w:rPr>
        <w:t>立方米/万元，淮北市万元工业增加值取新水量约为</w:t>
      </w:r>
      <w:r>
        <w:rPr>
          <w:rFonts w:hint="eastAsia" w:cs="Times New Roman"/>
          <w:spacing w:val="16"/>
        </w:rPr>
        <w:t>12.29</w:t>
      </w:r>
      <w:r>
        <w:rPr>
          <w:rFonts w:cs="Times New Roman"/>
          <w:spacing w:val="16"/>
        </w:rPr>
        <w:t>立方米/万元，低于安徽省平均水平。</w:t>
      </w:r>
    </w:p>
    <w:p>
      <w:pPr>
        <w:pStyle w:val="16"/>
        <w:spacing w:line="360" w:lineRule="auto"/>
        <w:ind w:firstLine="592"/>
        <w:rPr>
          <w:rFonts w:cs="Times New Roman"/>
          <w:spacing w:val="16"/>
        </w:rPr>
      </w:pPr>
      <w:bookmarkStart w:id="203" w:name="_Toc478634339"/>
      <w:bookmarkStart w:id="204" w:name="_Toc477942058"/>
      <w:bookmarkStart w:id="205" w:name="_Toc480311599"/>
      <w:bookmarkStart w:id="206" w:name="_Toc478634633"/>
      <w:r>
        <w:rPr>
          <w:rFonts w:cs="Times New Roman"/>
          <w:spacing w:val="16"/>
        </w:rPr>
        <w:t>2、工业用水</w:t>
      </w:r>
      <w:bookmarkEnd w:id="203"/>
      <w:bookmarkEnd w:id="204"/>
      <w:bookmarkEnd w:id="205"/>
      <w:bookmarkEnd w:id="206"/>
      <w:r>
        <w:rPr>
          <w:rFonts w:hint="eastAsia" w:cs="Times New Roman"/>
          <w:spacing w:val="16"/>
        </w:rPr>
        <w:t>情况</w:t>
      </w:r>
    </w:p>
    <w:p>
      <w:pPr>
        <w:pStyle w:val="16"/>
        <w:spacing w:line="240" w:lineRule="auto"/>
        <w:ind w:firstLine="514"/>
        <w:jc w:val="center"/>
        <w:rPr>
          <w:rFonts w:cs="Times New Roman"/>
          <w:b/>
          <w:spacing w:val="16"/>
          <w:sz w:val="24"/>
        </w:rPr>
      </w:pPr>
      <w:r>
        <w:rPr>
          <w:rFonts w:cs="Times New Roman"/>
          <w:b/>
          <w:spacing w:val="16"/>
          <w:sz w:val="24"/>
        </w:rPr>
        <w:t>表</w:t>
      </w:r>
      <w:r>
        <w:rPr>
          <w:rFonts w:hint="eastAsia" w:cs="Times New Roman"/>
          <w:b/>
          <w:spacing w:val="16"/>
          <w:sz w:val="24"/>
        </w:rPr>
        <w:t>2</w:t>
      </w:r>
      <w:r>
        <w:rPr>
          <w:rFonts w:cs="Times New Roman"/>
          <w:b/>
          <w:spacing w:val="16"/>
          <w:sz w:val="24"/>
        </w:rPr>
        <w:t>-</w:t>
      </w:r>
      <w:r>
        <w:rPr>
          <w:rFonts w:hint="eastAsia" w:cs="Times New Roman"/>
          <w:b/>
          <w:spacing w:val="16"/>
          <w:sz w:val="24"/>
        </w:rPr>
        <w:t>32</w:t>
      </w:r>
      <w:r>
        <w:rPr>
          <w:rFonts w:cs="Times New Roman"/>
          <w:b/>
          <w:spacing w:val="16"/>
          <w:sz w:val="24"/>
        </w:rPr>
        <w:t xml:space="preserve">    淮北市城区工业用水统计表</w:t>
      </w:r>
    </w:p>
    <w:tbl>
      <w:tblPr>
        <w:tblStyle w:val="39"/>
        <w:tblW w:w="10326" w:type="dxa"/>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2828"/>
        <w:gridCol w:w="2710"/>
        <w:gridCol w:w="2047"/>
        <w:gridCol w:w="2741"/>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28" w:type="dxa"/>
            <w:vMerge w:val="restart"/>
            <w:tcBorders>
              <w:tl2br w:val="single" w:color="auto" w:sz="4" w:space="0"/>
            </w:tcBorders>
            <w:shd w:val="clear" w:color="000000" w:fill="FFFFFF"/>
            <w:vAlign w:val="center"/>
          </w:tcPr>
          <w:p>
            <w:pPr>
              <w:pStyle w:val="72"/>
              <w:jc w:val="left"/>
            </w:pPr>
            <w:r>
              <w:t xml:space="preserve">年份                          项目                                           </w:t>
            </w:r>
          </w:p>
        </w:tc>
        <w:tc>
          <w:tcPr>
            <w:tcW w:w="7498" w:type="dxa"/>
            <w:gridSpan w:val="3"/>
            <w:shd w:val="clear" w:color="000000" w:fill="FFFFFF"/>
            <w:vAlign w:val="center"/>
          </w:tcPr>
          <w:p>
            <w:pPr>
              <w:pStyle w:val="72"/>
            </w:pPr>
            <w:r>
              <w:t>工业用水新水取水量 （万立方米）</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28" w:type="dxa"/>
            <w:vMerge w:val="continue"/>
            <w:vAlign w:val="center"/>
          </w:tcPr>
          <w:p>
            <w:pPr>
              <w:pStyle w:val="72"/>
            </w:pPr>
          </w:p>
        </w:tc>
        <w:tc>
          <w:tcPr>
            <w:tcW w:w="2710" w:type="dxa"/>
            <w:shd w:val="clear" w:color="000000" w:fill="FFFFFF"/>
            <w:vAlign w:val="center"/>
          </w:tcPr>
          <w:p>
            <w:pPr>
              <w:pStyle w:val="72"/>
            </w:pPr>
            <w:r>
              <w:t>总供水量</w:t>
            </w:r>
          </w:p>
        </w:tc>
        <w:tc>
          <w:tcPr>
            <w:tcW w:w="2047" w:type="dxa"/>
            <w:shd w:val="clear" w:color="000000" w:fill="FFFFFF"/>
            <w:vAlign w:val="center"/>
          </w:tcPr>
          <w:p>
            <w:pPr>
              <w:pStyle w:val="72"/>
            </w:pPr>
            <w:r>
              <w:rPr>
                <w:rFonts w:hint="eastAsia"/>
              </w:rPr>
              <w:t>公共供水量</w:t>
            </w:r>
          </w:p>
        </w:tc>
        <w:tc>
          <w:tcPr>
            <w:tcW w:w="2741" w:type="dxa"/>
            <w:shd w:val="clear" w:color="000000" w:fill="FFFFFF"/>
            <w:vAlign w:val="center"/>
          </w:tcPr>
          <w:p>
            <w:pPr>
              <w:pStyle w:val="72"/>
            </w:pPr>
            <w:r>
              <w:rPr>
                <w:rFonts w:hint="eastAsia" w:eastAsiaTheme="minorEastAsia"/>
                <w:spacing w:val="15"/>
              </w:rPr>
              <w:t>自备用水量</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28" w:type="dxa"/>
            <w:shd w:val="clear" w:color="000000" w:fill="FFFFFF"/>
            <w:vAlign w:val="center"/>
          </w:tcPr>
          <w:p>
            <w:pPr>
              <w:pStyle w:val="72"/>
            </w:pPr>
            <w:r>
              <w:t>201</w:t>
            </w:r>
            <w:r>
              <w:rPr>
                <w:rFonts w:hint="eastAsia"/>
              </w:rPr>
              <w:t>3</w:t>
            </w:r>
            <w:r>
              <w:t>年</w:t>
            </w:r>
          </w:p>
        </w:tc>
        <w:tc>
          <w:tcPr>
            <w:tcW w:w="2710" w:type="dxa"/>
            <w:shd w:val="clear" w:color="000000" w:fill="FFFFFF"/>
            <w:vAlign w:val="center"/>
          </w:tcPr>
          <w:p>
            <w:pPr>
              <w:pStyle w:val="72"/>
            </w:pPr>
            <w:r>
              <w:rPr>
                <w:rFonts w:hint="eastAsia"/>
              </w:rPr>
              <w:t>1915.7</w:t>
            </w:r>
          </w:p>
        </w:tc>
        <w:tc>
          <w:tcPr>
            <w:tcW w:w="2047" w:type="dxa"/>
            <w:shd w:val="clear" w:color="000000" w:fill="FFFFFF"/>
            <w:vAlign w:val="center"/>
          </w:tcPr>
          <w:p>
            <w:pPr>
              <w:pStyle w:val="72"/>
            </w:pPr>
            <w:r>
              <w:rPr>
                <w:rFonts w:hint="eastAsia"/>
              </w:rPr>
              <w:t xml:space="preserve">736.20 </w:t>
            </w:r>
          </w:p>
        </w:tc>
        <w:tc>
          <w:tcPr>
            <w:tcW w:w="2741" w:type="dxa"/>
            <w:shd w:val="clear" w:color="000000" w:fill="FFFFFF"/>
            <w:vAlign w:val="center"/>
          </w:tcPr>
          <w:p>
            <w:pPr>
              <w:pStyle w:val="72"/>
            </w:pPr>
            <w:r>
              <w:rPr>
                <w:rFonts w:hint="eastAsia"/>
              </w:rPr>
              <w:t>1179.5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28" w:type="dxa"/>
            <w:shd w:val="clear" w:color="000000" w:fill="FFFFFF"/>
            <w:vAlign w:val="center"/>
          </w:tcPr>
          <w:p>
            <w:pPr>
              <w:pStyle w:val="72"/>
            </w:pPr>
            <w:r>
              <w:t>201</w:t>
            </w:r>
            <w:r>
              <w:rPr>
                <w:rFonts w:hint="eastAsia"/>
              </w:rPr>
              <w:t>4</w:t>
            </w:r>
            <w:r>
              <w:t>年</w:t>
            </w:r>
          </w:p>
        </w:tc>
        <w:tc>
          <w:tcPr>
            <w:tcW w:w="2710" w:type="dxa"/>
            <w:shd w:val="clear" w:color="000000" w:fill="FFFFFF"/>
            <w:vAlign w:val="center"/>
          </w:tcPr>
          <w:p>
            <w:pPr>
              <w:pStyle w:val="72"/>
            </w:pPr>
            <w:r>
              <w:rPr>
                <w:rFonts w:hint="eastAsia"/>
              </w:rPr>
              <w:t>2145.7</w:t>
            </w:r>
          </w:p>
        </w:tc>
        <w:tc>
          <w:tcPr>
            <w:tcW w:w="2047" w:type="dxa"/>
            <w:shd w:val="clear" w:color="000000" w:fill="FFFFFF"/>
            <w:vAlign w:val="center"/>
          </w:tcPr>
          <w:p>
            <w:pPr>
              <w:pStyle w:val="72"/>
            </w:pPr>
            <w:r>
              <w:rPr>
                <w:rFonts w:hint="eastAsia"/>
              </w:rPr>
              <w:t>746.00</w:t>
            </w:r>
          </w:p>
        </w:tc>
        <w:tc>
          <w:tcPr>
            <w:tcW w:w="2741" w:type="dxa"/>
            <w:shd w:val="clear" w:color="000000" w:fill="FFFFFF"/>
            <w:vAlign w:val="center"/>
          </w:tcPr>
          <w:p>
            <w:pPr>
              <w:pStyle w:val="72"/>
            </w:pPr>
            <w:r>
              <w:rPr>
                <w:rFonts w:hint="eastAsia"/>
              </w:rPr>
              <w:t>1399.7</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28" w:type="dxa"/>
            <w:shd w:val="clear" w:color="000000" w:fill="FFFFFF"/>
            <w:vAlign w:val="center"/>
          </w:tcPr>
          <w:p>
            <w:pPr>
              <w:pStyle w:val="72"/>
            </w:pPr>
            <w:r>
              <w:t>201</w:t>
            </w:r>
            <w:r>
              <w:rPr>
                <w:rFonts w:hint="eastAsia"/>
              </w:rPr>
              <w:t>5</w:t>
            </w:r>
            <w:r>
              <w:t>年</w:t>
            </w:r>
          </w:p>
        </w:tc>
        <w:tc>
          <w:tcPr>
            <w:tcW w:w="2710" w:type="dxa"/>
            <w:shd w:val="clear" w:color="000000" w:fill="FFFFFF"/>
            <w:vAlign w:val="center"/>
          </w:tcPr>
          <w:p>
            <w:pPr>
              <w:pStyle w:val="72"/>
            </w:pPr>
            <w:r>
              <w:rPr>
                <w:rFonts w:hint="eastAsia"/>
              </w:rPr>
              <w:t>2031.5</w:t>
            </w:r>
          </w:p>
        </w:tc>
        <w:tc>
          <w:tcPr>
            <w:tcW w:w="2047" w:type="dxa"/>
            <w:shd w:val="clear" w:color="000000" w:fill="FFFFFF"/>
            <w:vAlign w:val="center"/>
          </w:tcPr>
          <w:p>
            <w:pPr>
              <w:pStyle w:val="72"/>
            </w:pPr>
            <w:r>
              <w:rPr>
                <w:rFonts w:hint="eastAsia"/>
              </w:rPr>
              <w:t>753.00</w:t>
            </w:r>
          </w:p>
        </w:tc>
        <w:tc>
          <w:tcPr>
            <w:tcW w:w="2741" w:type="dxa"/>
            <w:shd w:val="clear" w:color="000000" w:fill="FFFFFF"/>
            <w:vAlign w:val="center"/>
          </w:tcPr>
          <w:p>
            <w:pPr>
              <w:pStyle w:val="72"/>
            </w:pPr>
            <w:r>
              <w:rPr>
                <w:rFonts w:hint="eastAsia"/>
              </w:rPr>
              <w:t>1278.5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828" w:type="dxa"/>
            <w:shd w:val="clear" w:color="000000" w:fill="FFFFFF"/>
            <w:vAlign w:val="center"/>
          </w:tcPr>
          <w:p>
            <w:pPr>
              <w:pStyle w:val="72"/>
            </w:pPr>
            <w:r>
              <w:t>201</w:t>
            </w:r>
            <w:r>
              <w:rPr>
                <w:rFonts w:hint="eastAsia"/>
              </w:rPr>
              <w:t>6</w:t>
            </w:r>
            <w:r>
              <w:t>年</w:t>
            </w:r>
          </w:p>
        </w:tc>
        <w:tc>
          <w:tcPr>
            <w:tcW w:w="2710" w:type="dxa"/>
            <w:shd w:val="clear" w:color="000000" w:fill="FFFFFF"/>
            <w:vAlign w:val="center"/>
          </w:tcPr>
          <w:p>
            <w:pPr>
              <w:pStyle w:val="72"/>
            </w:pPr>
            <w:r>
              <w:rPr>
                <w:rFonts w:hint="eastAsia"/>
              </w:rPr>
              <w:t>1927</w:t>
            </w:r>
          </w:p>
        </w:tc>
        <w:tc>
          <w:tcPr>
            <w:tcW w:w="2047" w:type="dxa"/>
            <w:shd w:val="clear" w:color="000000" w:fill="FFFFFF"/>
            <w:vAlign w:val="center"/>
          </w:tcPr>
          <w:p>
            <w:pPr>
              <w:pStyle w:val="72"/>
            </w:pPr>
            <w:r>
              <w:rPr>
                <w:rFonts w:hint="eastAsia"/>
              </w:rPr>
              <w:t>762.00</w:t>
            </w:r>
          </w:p>
        </w:tc>
        <w:tc>
          <w:tcPr>
            <w:tcW w:w="2741" w:type="dxa"/>
            <w:shd w:val="clear" w:color="000000" w:fill="FFFFFF"/>
            <w:vAlign w:val="center"/>
          </w:tcPr>
          <w:p>
            <w:pPr>
              <w:pStyle w:val="72"/>
            </w:pPr>
            <w:r>
              <w:rPr>
                <w:rFonts w:hint="eastAsia"/>
              </w:rPr>
              <w:t>1165.0</w:t>
            </w:r>
          </w:p>
        </w:tc>
      </w:tr>
    </w:tbl>
    <w:p>
      <w:pPr>
        <w:pStyle w:val="16"/>
        <w:spacing w:line="360" w:lineRule="auto"/>
        <w:ind w:firstLine="592"/>
        <w:rPr>
          <w:rFonts w:cs="Times New Roman"/>
          <w:spacing w:val="16"/>
        </w:rPr>
      </w:pPr>
      <w:bookmarkStart w:id="207" w:name="_Toc478634340"/>
      <w:r>
        <w:rPr>
          <w:rFonts w:cs="Times New Roman"/>
          <w:spacing w:val="16"/>
        </w:rPr>
        <w:t>3、工业废水排放达标率根据《</w:t>
      </w:r>
      <w:r>
        <w:rPr>
          <w:rFonts w:hint="eastAsia" w:cs="Times New Roman"/>
          <w:spacing w:val="16"/>
        </w:rPr>
        <w:t>淮北</w:t>
      </w:r>
      <w:r>
        <w:rPr>
          <w:rFonts w:cs="Times New Roman"/>
          <w:spacing w:val="16"/>
        </w:rPr>
        <w:t>统计年鉴》资料显示，</w:t>
      </w:r>
      <w:r>
        <w:rPr>
          <w:rFonts w:hint="eastAsia" w:cs="Times New Roman"/>
          <w:spacing w:val="16"/>
        </w:rPr>
        <w:t>淮北</w:t>
      </w:r>
      <w:r>
        <w:rPr>
          <w:rFonts w:cs="Times New Roman"/>
          <w:spacing w:val="16"/>
        </w:rPr>
        <w:t>市环境监测结果，全市工业企业排放达标率达9</w:t>
      </w:r>
      <w:r>
        <w:rPr>
          <w:rFonts w:hint="eastAsia" w:cs="Times New Roman"/>
          <w:spacing w:val="16"/>
        </w:rPr>
        <w:t>5</w:t>
      </w:r>
      <w:r>
        <w:rPr>
          <w:rFonts w:cs="Times New Roman"/>
          <w:spacing w:val="16"/>
        </w:rPr>
        <w:t>%以上，但未达到100%。</w:t>
      </w:r>
    </w:p>
    <w:p>
      <w:pPr>
        <w:pStyle w:val="5"/>
        <w:spacing w:before="120"/>
      </w:pPr>
      <w:bookmarkStart w:id="208" w:name="_Toc8032563"/>
      <w:r>
        <w:rPr>
          <w:rFonts w:hint="eastAsia"/>
        </w:rPr>
        <w:t>2.7.4.2</w:t>
      </w:r>
      <w:r>
        <w:t xml:space="preserve"> 工业用水节水潜力分析</w:t>
      </w:r>
      <w:bookmarkEnd w:id="207"/>
      <w:bookmarkEnd w:id="208"/>
    </w:p>
    <w:p>
      <w:pPr>
        <w:pStyle w:val="16"/>
        <w:spacing w:line="360" w:lineRule="auto"/>
        <w:ind w:firstLine="592"/>
        <w:rPr>
          <w:rFonts w:cs="Times New Roman"/>
          <w:spacing w:val="16"/>
        </w:rPr>
      </w:pPr>
      <w:r>
        <w:rPr>
          <w:rFonts w:cs="Times New Roman"/>
          <w:spacing w:val="16"/>
        </w:rPr>
        <w:t>根据以上工业节水现状介绍可总结如下：</w:t>
      </w:r>
    </w:p>
    <w:p>
      <w:pPr>
        <w:pStyle w:val="16"/>
        <w:spacing w:line="360" w:lineRule="auto"/>
        <w:ind w:firstLine="592"/>
        <w:rPr>
          <w:rFonts w:cs="Times New Roman"/>
          <w:spacing w:val="16"/>
        </w:rPr>
      </w:pPr>
      <w:r>
        <w:rPr>
          <w:rFonts w:cs="Times New Roman"/>
          <w:spacing w:val="16"/>
        </w:rPr>
        <w:t>1、现状万元工业增加值用水量近三年稳定在</w:t>
      </w:r>
      <w:r>
        <w:rPr>
          <w:rFonts w:hint="eastAsia" w:cs="Times New Roman"/>
          <w:spacing w:val="16"/>
        </w:rPr>
        <w:t>12.5</w:t>
      </w:r>
      <w:r>
        <w:rPr>
          <w:rFonts w:cs="Times New Roman"/>
          <w:spacing w:val="16"/>
        </w:rPr>
        <w:t>立方米/万元左右，同时低于全</w:t>
      </w:r>
      <w:r>
        <w:rPr>
          <w:rFonts w:hint="eastAsia" w:cs="Times New Roman"/>
          <w:spacing w:val="16"/>
        </w:rPr>
        <w:t>国</w:t>
      </w:r>
      <w:r>
        <w:rPr>
          <w:rFonts w:cs="Times New Roman"/>
          <w:spacing w:val="16"/>
        </w:rPr>
        <w:t>平均值（全</w:t>
      </w:r>
      <w:r>
        <w:rPr>
          <w:rFonts w:hint="eastAsia" w:cs="Times New Roman"/>
          <w:spacing w:val="16"/>
        </w:rPr>
        <w:t>国</w:t>
      </w:r>
      <w:r>
        <w:rPr>
          <w:rFonts w:cs="Times New Roman"/>
          <w:spacing w:val="16"/>
        </w:rPr>
        <w:t>平均值约</w:t>
      </w:r>
      <w:r>
        <w:rPr>
          <w:rFonts w:hint="eastAsia" w:cs="Times New Roman"/>
          <w:spacing w:val="16"/>
        </w:rPr>
        <w:t>52.8</w:t>
      </w:r>
      <w:r>
        <w:rPr>
          <w:rFonts w:cs="Times New Roman"/>
          <w:spacing w:val="16"/>
        </w:rPr>
        <w:t>立方米/万元）。</w:t>
      </w:r>
    </w:p>
    <w:p>
      <w:pPr>
        <w:pStyle w:val="16"/>
        <w:spacing w:line="360" w:lineRule="auto"/>
        <w:ind w:firstLine="592"/>
        <w:rPr>
          <w:rFonts w:cs="Times New Roman"/>
          <w:spacing w:val="16"/>
          <w:highlight w:val="yellow"/>
        </w:rPr>
      </w:pPr>
      <w:r>
        <w:rPr>
          <w:rFonts w:cs="Times New Roman"/>
          <w:spacing w:val="16"/>
        </w:rPr>
        <w:t>2、结合淮北市的工业节水现状，分析工业节水潜力如下：淮北市城区现状用水量较大的行业</w:t>
      </w:r>
      <w:r>
        <w:rPr>
          <w:rFonts w:hint="eastAsia" w:cs="Times New Roman"/>
          <w:spacing w:val="16"/>
        </w:rPr>
        <w:t>是火力发电、煤炭开采和选煤业、</w:t>
      </w:r>
      <w:r>
        <w:rPr>
          <w:rFonts w:cs="Times New Roman"/>
        </w:rPr>
        <w:t>饮料、生物制药业</w:t>
      </w:r>
      <w:r>
        <w:rPr>
          <w:rFonts w:hint="eastAsia" w:cs="Times New Roman"/>
        </w:rPr>
        <w:t>以及</w:t>
      </w:r>
      <w:r>
        <w:rPr>
          <w:rFonts w:cs="Times New Roman"/>
        </w:rPr>
        <w:t>机械设备制造业。</w:t>
      </w:r>
    </w:p>
    <w:p>
      <w:pPr>
        <w:pStyle w:val="16"/>
        <w:spacing w:line="360" w:lineRule="auto"/>
        <w:ind w:firstLine="592"/>
        <w:rPr>
          <w:rFonts w:cs="Times New Roman"/>
          <w:spacing w:val="16"/>
        </w:rPr>
      </w:pPr>
      <w:r>
        <w:rPr>
          <w:rFonts w:cs="Times New Roman"/>
          <w:spacing w:val="16"/>
        </w:rPr>
        <w:t>高耗水行业主要是</w:t>
      </w:r>
      <w:r>
        <w:rPr>
          <w:rFonts w:hint="eastAsia" w:cs="Times New Roman"/>
          <w:spacing w:val="16"/>
        </w:rPr>
        <w:t>火力发电、煤炭开采和选煤业、水泥厂</w:t>
      </w:r>
      <w:r>
        <w:rPr>
          <w:rFonts w:cs="Times New Roman"/>
          <w:spacing w:val="16"/>
        </w:rPr>
        <w:t>等，其余均为一般耗水企业，因此节水潜力分析如下：</w:t>
      </w:r>
    </w:p>
    <w:p>
      <w:pPr>
        <w:pStyle w:val="16"/>
        <w:numPr>
          <w:ilvl w:val="0"/>
          <w:numId w:val="3"/>
        </w:numPr>
        <w:spacing w:line="360" w:lineRule="auto"/>
        <w:ind w:firstLineChars="0"/>
        <w:rPr>
          <w:rFonts w:cs="Times New Roman"/>
          <w:spacing w:val="16"/>
        </w:rPr>
      </w:pPr>
      <w:r>
        <w:rPr>
          <w:rFonts w:cs="Times New Roman"/>
          <w:spacing w:val="16"/>
        </w:rPr>
        <w:t>一般性企业</w:t>
      </w:r>
    </w:p>
    <w:p>
      <w:pPr>
        <w:pStyle w:val="16"/>
        <w:spacing w:line="360" w:lineRule="auto"/>
        <w:ind w:firstLine="592"/>
        <w:rPr>
          <w:rFonts w:cs="Times New Roman"/>
          <w:spacing w:val="16"/>
        </w:rPr>
      </w:pPr>
      <w:r>
        <w:rPr>
          <w:rFonts w:cs="Times New Roman"/>
          <w:spacing w:val="16"/>
        </w:rPr>
        <w:t>一般性企业是淮北市主要工业企业，生产工艺用水量小，生活用水量大，节水措施主要是加强管理，防止跑、冒、滴、漏现象，推广节水型器具和做好水平衡测试工作；同时提高工艺用水的循环利用率、冷却水回收利用率及企业污水回收利用率等措施，节水潜力较大。</w:t>
      </w:r>
    </w:p>
    <w:p>
      <w:pPr>
        <w:pStyle w:val="16"/>
        <w:spacing w:line="360" w:lineRule="auto"/>
        <w:ind w:firstLine="592"/>
        <w:rPr>
          <w:rFonts w:cs="Times New Roman"/>
          <w:spacing w:val="16"/>
        </w:rPr>
      </w:pPr>
      <w:bookmarkStart w:id="209" w:name="_Toc480311601"/>
      <w:bookmarkStart w:id="210" w:name="_Toc477942060"/>
      <w:bookmarkStart w:id="211" w:name="_Toc478634341"/>
      <w:bookmarkStart w:id="212" w:name="_Toc478634635"/>
      <w:r>
        <w:rPr>
          <w:rFonts w:cs="Times New Roman"/>
          <w:spacing w:val="16"/>
        </w:rPr>
        <w:t>（2）</w:t>
      </w:r>
      <w:bookmarkEnd w:id="209"/>
      <w:bookmarkEnd w:id="210"/>
      <w:bookmarkEnd w:id="211"/>
      <w:bookmarkEnd w:id="212"/>
      <w:r>
        <w:rPr>
          <w:rFonts w:hint="eastAsia" w:cs="Times New Roman"/>
          <w:spacing w:val="16"/>
        </w:rPr>
        <w:t>火力发电</w:t>
      </w:r>
    </w:p>
    <w:p>
      <w:pPr>
        <w:pStyle w:val="16"/>
        <w:spacing w:line="360" w:lineRule="auto"/>
        <w:ind w:firstLine="592"/>
        <w:rPr>
          <w:rFonts w:cs="Times New Roman"/>
          <w:spacing w:val="16"/>
        </w:rPr>
      </w:pPr>
      <w:bookmarkStart w:id="213" w:name="_Toc478634342"/>
      <w:r>
        <w:rPr>
          <w:rFonts w:hint="eastAsia" w:cs="Times New Roman"/>
          <w:spacing w:val="16"/>
        </w:rPr>
        <w:t>未来火电厂节水应主要围绕加强汽机循环冷却水浓缩倍数和加强冲灰水系统节水研究与应用，此外，由于汽轮机组循环冷却水在电厂用水中占的比重很大，应加强汽轮机组空冷技术节水研究与应用。通过多种措施的实施，节水相当量的水资源，具有很大潜力。</w:t>
      </w:r>
    </w:p>
    <w:p>
      <w:pPr>
        <w:pStyle w:val="16"/>
        <w:spacing w:line="360" w:lineRule="auto"/>
        <w:ind w:firstLine="592"/>
        <w:rPr>
          <w:rFonts w:cs="Times New Roman"/>
          <w:spacing w:val="16"/>
        </w:rPr>
      </w:pPr>
      <w:r>
        <w:rPr>
          <w:rFonts w:cs="Times New Roman"/>
          <w:spacing w:val="16"/>
        </w:rPr>
        <w:t>（</w:t>
      </w:r>
      <w:r>
        <w:rPr>
          <w:rFonts w:hint="eastAsia" w:cs="Times New Roman"/>
          <w:spacing w:val="16"/>
        </w:rPr>
        <w:t>3</w:t>
      </w:r>
      <w:r>
        <w:rPr>
          <w:rFonts w:cs="Times New Roman"/>
          <w:spacing w:val="16"/>
        </w:rPr>
        <w:t>）</w:t>
      </w:r>
      <w:r>
        <w:rPr>
          <w:rFonts w:hint="eastAsia" w:cs="Times New Roman"/>
          <w:spacing w:val="16"/>
        </w:rPr>
        <w:t>煤炭开采和洗选业</w:t>
      </w:r>
    </w:p>
    <w:p>
      <w:pPr>
        <w:pStyle w:val="16"/>
        <w:spacing w:line="360" w:lineRule="auto"/>
        <w:ind w:firstLine="592"/>
        <w:rPr>
          <w:rFonts w:cs="Times New Roman"/>
          <w:spacing w:val="16"/>
        </w:rPr>
      </w:pPr>
      <w:r>
        <w:rPr>
          <w:rFonts w:hint="eastAsia" w:cs="Times New Roman"/>
          <w:spacing w:val="16"/>
        </w:rPr>
        <w:t>在选煤生产中，淮北洗选煤技术走在全国前列，水循环利用率较高，但随着煤炭开采机械化程度不断提高，煤质有变化，使得煤泥水问题依然严峻。由于干法选煤不需要使用水，大大节约了水资源，在以后的生产过程中应尽量采用干法选煤。</w:t>
      </w:r>
    </w:p>
    <w:bookmarkEnd w:id="137"/>
    <w:bookmarkEnd w:id="138"/>
    <w:bookmarkEnd w:id="139"/>
    <w:bookmarkEnd w:id="213"/>
    <w:p>
      <w:pPr>
        <w:pStyle w:val="3"/>
        <w:spacing w:before="120" w:after="60" w:line="360" w:lineRule="auto"/>
        <w:ind w:firstLine="602"/>
        <w:rPr>
          <w:rFonts w:ascii="Times New Roman" w:hAnsi="Times New Roman"/>
        </w:rPr>
      </w:pPr>
      <w:bookmarkStart w:id="214" w:name="_Toc8032564"/>
      <w:bookmarkStart w:id="215" w:name="_Toc531180076"/>
      <w:r>
        <w:rPr>
          <w:rFonts w:hint="eastAsia" w:ascii="Times New Roman" w:hAnsi="Times New Roman"/>
        </w:rPr>
        <w:t>2.8面临的问题</w:t>
      </w:r>
      <w:bookmarkEnd w:id="214"/>
      <w:bookmarkEnd w:id="215"/>
    </w:p>
    <w:p>
      <w:pPr>
        <w:pStyle w:val="4"/>
      </w:pPr>
      <w:bookmarkStart w:id="216" w:name="_Toc8032565"/>
      <w:bookmarkStart w:id="217" w:name="_Toc531180077"/>
      <w:r>
        <w:rPr>
          <w:rFonts w:hint="eastAsia"/>
        </w:rPr>
        <w:t>2.8.1非常规水资源利用工作待加强</w:t>
      </w:r>
      <w:bookmarkEnd w:id="216"/>
      <w:bookmarkEnd w:id="217"/>
    </w:p>
    <w:p>
      <w:pPr>
        <w:ind w:firstLine="562"/>
        <w:rPr>
          <w:b/>
        </w:rPr>
      </w:pPr>
      <w:r>
        <w:rPr>
          <w:b/>
        </w:rPr>
        <w:t>1）再生水利用不足</w:t>
      </w:r>
    </w:p>
    <w:p>
      <w:pPr>
        <w:ind w:firstLine="560"/>
      </w:pPr>
      <w:r>
        <w:t>目前</w:t>
      </w:r>
      <w:r>
        <w:rPr>
          <w:rFonts w:hint="eastAsia"/>
        </w:rPr>
        <w:t>淮北</w:t>
      </w:r>
      <w:r>
        <w:t>市再生水回用无论从用途范围还是水量都存在不足，分析其原因，主要包括以下几个方面：</w:t>
      </w:r>
    </w:p>
    <w:p>
      <w:pPr>
        <w:ind w:firstLine="560"/>
      </w:pPr>
      <w:r>
        <w:rPr>
          <w:rFonts w:hint="eastAsia"/>
        </w:rPr>
        <w:t>（1）</w:t>
      </w:r>
      <w:r>
        <w:t>再生水配套设施</w:t>
      </w:r>
      <w:r>
        <w:rPr>
          <w:rFonts w:hint="eastAsia"/>
        </w:rPr>
        <w:t>建设</w:t>
      </w:r>
      <w:r>
        <w:t>滞后。</w:t>
      </w:r>
    </w:p>
    <w:p>
      <w:pPr>
        <w:ind w:firstLine="560"/>
      </w:pPr>
      <w:r>
        <w:t>再生水利用管网设施的建设是推广利用再生水的必要条件，但是由于基础设施不完善，管网设施不配套，成为影响再生水推广利用的瓶颈问题。</w:t>
      </w:r>
    </w:p>
    <w:p>
      <w:pPr>
        <w:ind w:firstLine="560"/>
      </w:pPr>
      <w:r>
        <w:t>由于再生水必须通过厂外专用的再生水管网才能提供给更多的用户，而管网投资和使用均超越了城市污水处理厂的管辖范围。管网建设投资庞大，且要协调各级政府部门，污水处理厂本身是无力承担的。</w:t>
      </w:r>
    </w:p>
    <w:p>
      <w:pPr>
        <w:ind w:firstLine="560"/>
      </w:pPr>
      <w:r>
        <w:rPr>
          <w:rFonts w:hint="eastAsia"/>
        </w:rPr>
        <w:t>（2）</w:t>
      </w:r>
      <w:r>
        <w:t>公众对污水资源化认识不足，观念上难以接受对污水的资源化利用。长期以来，人们把使用过一次的水称为</w:t>
      </w:r>
      <w:r>
        <w:rPr>
          <w:rFonts w:hint="eastAsia"/>
        </w:rPr>
        <w:t>“</w:t>
      </w:r>
      <w:r>
        <w:t>污水</w:t>
      </w:r>
      <w:r>
        <w:rPr>
          <w:rFonts w:hint="eastAsia"/>
        </w:rPr>
        <w:t>”</w:t>
      </w:r>
      <w:r>
        <w:t>、</w:t>
      </w:r>
      <w:r>
        <w:rPr>
          <w:rFonts w:hint="eastAsia"/>
        </w:rPr>
        <w:t>“</w:t>
      </w:r>
      <w:r>
        <w:t>下水</w:t>
      </w:r>
      <w:r>
        <w:rPr>
          <w:rFonts w:hint="eastAsia"/>
        </w:rPr>
        <w:t>”</w:t>
      </w:r>
      <w:r>
        <w:t>、</w:t>
      </w:r>
      <w:r>
        <w:rPr>
          <w:rFonts w:hint="eastAsia"/>
        </w:rPr>
        <w:t>“</w:t>
      </w:r>
      <w:r>
        <w:t>阴沟水</w:t>
      </w:r>
      <w:r>
        <w:rPr>
          <w:rFonts w:hint="eastAsia"/>
        </w:rPr>
        <w:t>”</w:t>
      </w:r>
      <w:r>
        <w:t>、</w:t>
      </w:r>
      <w:r>
        <w:rPr>
          <w:rFonts w:hint="eastAsia"/>
        </w:rPr>
        <w:t>“</w:t>
      </w:r>
      <w:r>
        <w:t>废弃水</w:t>
      </w:r>
      <w:r>
        <w:rPr>
          <w:rFonts w:hint="eastAsia"/>
        </w:rPr>
        <w:t>”</w:t>
      </w:r>
      <w:r>
        <w:t>，总把这种水与</w:t>
      </w:r>
      <w:r>
        <w:rPr>
          <w:rFonts w:hint="eastAsia"/>
        </w:rPr>
        <w:t>“</w:t>
      </w:r>
      <w:r>
        <w:t>污垢的</w:t>
      </w:r>
      <w:r>
        <w:rPr>
          <w:rFonts w:hint="eastAsia"/>
        </w:rPr>
        <w:t>”</w:t>
      </w:r>
      <w:r>
        <w:t>、</w:t>
      </w:r>
      <w:r>
        <w:rPr>
          <w:rFonts w:hint="eastAsia"/>
        </w:rPr>
        <w:t>“</w:t>
      </w:r>
      <w:r>
        <w:t>肮脏的</w:t>
      </w:r>
      <w:r>
        <w:rPr>
          <w:rFonts w:hint="eastAsia"/>
        </w:rPr>
        <w:t>”</w:t>
      </w:r>
      <w:r>
        <w:t>形象相联系，难以相信它还能再利用。</w:t>
      </w:r>
    </w:p>
    <w:p>
      <w:pPr>
        <w:ind w:firstLine="560"/>
      </w:pPr>
      <w:r>
        <w:t>事实上人类使用过的水中杂质只占0.1%左右，比起海水的3.5%少了许多。其余绝大部分是可再回用的清水。污水经过适当地再生处理，将可重复利用，实现在自然界中的良性循环。城市污水就近可得，易于收集，易于处理，数量巨大，稳定可靠，不受制于自然变化和人为影响。</w:t>
      </w:r>
    </w:p>
    <w:p>
      <w:pPr>
        <w:ind w:firstLine="560"/>
      </w:pPr>
      <w:r>
        <w:t>再生水利用能否得到推广，关键在于用户能否从心理上接受，能否信任再生水水质和供水可靠性，政府决策部门是否认识到再生水利用的内在利益与外部效益。受传统观念的影响，公众对再生水的认识和接受程度还比较低，一定程度上影响了污水再生利用工作的推进。</w:t>
      </w:r>
    </w:p>
    <w:p>
      <w:pPr>
        <w:ind w:firstLine="560"/>
      </w:pPr>
      <w:r>
        <w:rPr>
          <w:rFonts w:hint="eastAsia"/>
        </w:rPr>
        <w:t>（3）</w:t>
      </w:r>
      <w:r>
        <w:t>配套法规不健全，缺乏鼓励再生水的政策。</w:t>
      </w:r>
    </w:p>
    <w:p>
      <w:pPr>
        <w:ind w:firstLine="560"/>
      </w:pPr>
      <w:r>
        <w:t>关于再生水的政策和法律并不完善，缺乏再生水水价机制，同时缺乏促进污水再生利用的鼓励政策和必要的惩罚手段，导致一方面是城市用水紧张，另一方面城市杂用、景观用水和工业用水仍在大量使用优质水资源。</w:t>
      </w:r>
    </w:p>
    <w:p>
      <w:pPr>
        <w:ind w:firstLine="560"/>
      </w:pPr>
      <w:r>
        <w:t>未来，在加强配套设施建设的基础上，主要应该从政策和观念上进行转变。首先应加大政策支持，加强中水回用的观念，建立一系列政策法规，强制性促进中水回用；实行优水优供政策，让可使用回用水的部门不得使用新鲜自来水，对违反规定的实行议价供水，制定合理的价格成本，对使用回用水的单位给予优惠政策；制定一系列水质标准，将中水回用纳入城市建设设计规范；在环境条件允许在情况下，要求规划设计部门按此设计规范进行规划设计；加强对污水、中水设施建设的审查；加强对中水的水质监测，确保中水安全使用。</w:t>
      </w:r>
    </w:p>
    <w:p>
      <w:pPr>
        <w:ind w:firstLine="560"/>
      </w:pPr>
      <w:r>
        <w:t>其次应该加强宣传教育，积极开展中水回用的宣传教育工作，改变原有观念。节约用水和中水回用关系着千家万户，不但要得到各有关部门的支持，同时还要得到广大人民群众的认同。要改变群众对节约用水和中水再用的偏见，有必要进行长期广泛的宣传教育，使广大群众树立良好的节水习惯，逐渐树立对污水资源化的科学认识。</w:t>
      </w:r>
    </w:p>
    <w:p>
      <w:pPr>
        <w:spacing w:before="120"/>
        <w:ind w:firstLine="562"/>
        <w:rPr>
          <w:b/>
        </w:rPr>
      </w:pPr>
      <w:r>
        <w:rPr>
          <w:b/>
        </w:rPr>
        <w:t>2）雨水回用工作亟待推进</w:t>
      </w:r>
    </w:p>
    <w:p>
      <w:pPr>
        <w:ind w:firstLine="560"/>
      </w:pPr>
      <w:r>
        <w:t>从</w:t>
      </w:r>
      <w:r>
        <w:rPr>
          <w:rFonts w:hint="eastAsia"/>
        </w:rPr>
        <w:t>淮北</w:t>
      </w:r>
      <w:r>
        <w:t>市已建的雨水利用项目来看，回用量很低，且用途主要为景观绿化，未来应依托海绵城市建设，进一步加强雨水的利用。通过</w:t>
      </w:r>
      <w:r>
        <w:rPr>
          <w:rFonts w:hint="eastAsia"/>
        </w:rPr>
        <w:t>“</w:t>
      </w:r>
      <w:r>
        <w:t>渗、滞、蓄、净、用、排</w:t>
      </w:r>
      <w:r>
        <w:rPr>
          <w:rFonts w:hint="eastAsia"/>
        </w:rPr>
        <w:t>”</w:t>
      </w:r>
      <w:r>
        <w:t>等措施，强化城市降雨径流的滞蓄利用、下渗补给地下水。收集雨水通常可用于景观用水、绿化用水、循环冷却系统补水、汽车冲洗用水、路面地面冲洗用水、冲厕、消防、地下水回灌等。雨水回收利用应执行国家现行规范《建筑与小区雨水利用工程技术规范》（GB50400）的有关规定。</w:t>
      </w:r>
    </w:p>
    <w:p>
      <w:pPr>
        <w:ind w:firstLine="560"/>
      </w:pPr>
      <w:r>
        <w:rPr>
          <w:rFonts w:hint="eastAsia"/>
        </w:rPr>
        <w:t>与</w:t>
      </w:r>
      <w:r>
        <w:t>再生水回用量不足的原因类似，雨水回用量低一方面是由于配套设施建设不足，另一方面则是缺乏相应的法律法规和政策。</w:t>
      </w:r>
    </w:p>
    <w:p>
      <w:pPr>
        <w:pStyle w:val="4"/>
      </w:pPr>
      <w:bookmarkStart w:id="218" w:name="_Toc531180078"/>
      <w:bookmarkStart w:id="219" w:name="_Toc8032566"/>
      <w:r>
        <w:rPr>
          <w:rFonts w:hint="eastAsia"/>
        </w:rPr>
        <w:t>2.8.2</w:t>
      </w:r>
      <w:r>
        <w:t>亟待</w:t>
      </w:r>
      <w:r>
        <w:rPr>
          <w:rFonts w:hint="eastAsia"/>
        </w:rPr>
        <w:t>开展</w:t>
      </w:r>
      <w:r>
        <w:t>供水管网</w:t>
      </w:r>
      <w:r>
        <w:rPr>
          <w:rFonts w:hint="eastAsia"/>
        </w:rPr>
        <w:t>分区计量</w:t>
      </w:r>
      <w:bookmarkEnd w:id="218"/>
      <w:bookmarkEnd w:id="219"/>
    </w:p>
    <w:p>
      <w:pPr>
        <w:ind w:firstLine="560"/>
      </w:pPr>
      <w:r>
        <w:t>应在普查基础上建立公共供水管网信息系统，鼓励开展管网独立分区计量体系的建设，并完成相应的管网分区局部改造、泵站改造、分区阀门及计量设备安装等工程</w:t>
      </w:r>
      <w:r>
        <w:rPr>
          <w:rFonts w:hint="eastAsia"/>
        </w:rPr>
        <w:t>；此外，</w:t>
      </w:r>
      <w:r>
        <w:t>结合小区二次供水设施改造，有计划的同步实施小区漏损管网改造</w:t>
      </w:r>
      <w:r>
        <w:rPr>
          <w:rFonts w:hint="eastAsia"/>
        </w:rPr>
        <w:t>，</w:t>
      </w:r>
      <w:r>
        <w:t>强化居住小区计量管理，</w:t>
      </w:r>
      <w:r>
        <w:rPr>
          <w:rFonts w:hint="eastAsia"/>
        </w:rPr>
        <w:t>淮北市已开展</w:t>
      </w:r>
      <w:r>
        <w:t>DMA</w:t>
      </w:r>
      <w:r>
        <w:rPr>
          <w:rFonts w:hint="eastAsia"/>
        </w:rPr>
        <w:t>分区管理试点，取得了良好效果，未来应进一步推进，</w:t>
      </w:r>
      <w:r>
        <w:t>鼓励建立小区DMA管理模式，健全总分表匹配和分析机制，实施三级计量防漏措施。逐步更新改造不符合要求的小区。</w:t>
      </w:r>
    </w:p>
    <w:p>
      <w:pPr>
        <w:ind w:firstLine="560"/>
      </w:pPr>
      <w:r>
        <w:rPr>
          <w:rFonts w:hint="eastAsia"/>
        </w:rPr>
        <w:t>对于企业和单位内部管网，针对</w:t>
      </w:r>
      <w:r>
        <w:t>城市建成区内用水量达到一定标准的公共机构和工业企业用水大户，应当在抓好水平衡测试的前提下，严控使用环节漏损，主要包括内部管网漏损检查与修复、计量水表三级或二级改造等。</w:t>
      </w:r>
    </w:p>
    <w:p>
      <w:pPr>
        <w:pStyle w:val="4"/>
      </w:pPr>
      <w:bookmarkStart w:id="220" w:name="_Toc8032567"/>
      <w:bookmarkStart w:id="221" w:name="_Toc531180079"/>
      <w:r>
        <w:rPr>
          <w:rFonts w:hint="eastAsia"/>
        </w:rPr>
        <w:t>2.8.3</w:t>
      </w:r>
      <w:r>
        <w:t>公共机构和工业企业节水潜力仍需挖掘</w:t>
      </w:r>
      <w:bookmarkEnd w:id="220"/>
      <w:bookmarkEnd w:id="221"/>
    </w:p>
    <w:p>
      <w:pPr>
        <w:ind w:firstLine="560"/>
      </w:pPr>
      <w:r>
        <w:t>（1）公共机构和单位水平衡测试率不足</w:t>
      </w:r>
    </w:p>
    <w:p>
      <w:pPr>
        <w:ind w:firstLine="560"/>
      </w:pPr>
      <w:r>
        <w:t>从水平衡测试指标来看，</w:t>
      </w:r>
      <w:r>
        <w:rPr>
          <w:rFonts w:hint="eastAsia"/>
        </w:rPr>
        <w:t>淮北</w:t>
      </w:r>
      <w:r>
        <w:t>市非工业企业，即公共机构和公共建筑的水平衡测试率</w:t>
      </w:r>
      <w:r>
        <w:rPr>
          <w:rFonts w:hint="eastAsia"/>
        </w:rPr>
        <w:t>较低</w:t>
      </w:r>
      <w:r>
        <w:t>。另外，从现状来看，</w:t>
      </w:r>
      <w:r>
        <w:rPr>
          <w:rFonts w:hint="eastAsia"/>
        </w:rPr>
        <w:t>淮北</w:t>
      </w:r>
      <w:r>
        <w:t>市公共结构和公共建筑的节水潜力巨大，通过加强水平衡测试，可以及时了解单位的用水定额、节水潜力，找出节水的薄弱环节，有的放矢的进行节水改造，并由此提高领导和员工的节水意识，提高节水管理水平。</w:t>
      </w:r>
    </w:p>
    <w:p>
      <w:pPr>
        <w:ind w:firstLine="560"/>
      </w:pPr>
      <w:r>
        <w:t>此外，提高公共机构和公共建筑的内部水的循环与循序利用，如中水利用、空调冷却循环水系统、水景、游泳池、生活热水、锅炉供水等可在很大程度上节水。</w:t>
      </w:r>
    </w:p>
    <w:p>
      <w:pPr>
        <w:ind w:firstLine="560"/>
      </w:pPr>
      <w:r>
        <w:t>（2）工业企业取水定额仍有较大下降空间</w:t>
      </w:r>
    </w:p>
    <w:p>
      <w:pPr>
        <w:ind w:firstLine="560"/>
      </w:pPr>
      <w:r>
        <w:rPr>
          <w:rFonts w:hint="eastAsia"/>
        </w:rPr>
        <w:t>淮北</w:t>
      </w:r>
      <w:r>
        <w:t>市由于发展起步较晚，城市发展的模式呈现出较大的对外依赖性。建市以来，</w:t>
      </w:r>
      <w:r>
        <w:rPr>
          <w:rFonts w:hint="eastAsia"/>
        </w:rPr>
        <w:t>淮北</w:t>
      </w:r>
      <w:r>
        <w:t>市强力推进招商引资，以实现工业经济的迅猛发展，在此过程中，不可避免进入了很多高耗能、高耗水和高污染的企业项目。</w:t>
      </w:r>
    </w:p>
    <w:p>
      <w:pPr>
        <w:ind w:firstLine="560"/>
      </w:pPr>
      <w:r>
        <w:t>另一方面，从</w:t>
      </w:r>
      <w:r>
        <w:rPr>
          <w:rFonts w:hint="eastAsia"/>
        </w:rPr>
        <w:t>淮北</w:t>
      </w:r>
      <w:r>
        <w:t>市工业用地来看，存在工业用地总量偏大、布局分散，工业包围城市等特点，现状工业用地布局总体上均在城市外围布局，老城区尚有少量早期工业用地与生活用地混杂。中心城区由于发展主体较多，形成了众多工业园区，这些园区在城市各个方向上均有分布，有包围城市的态势；此外各个园区内部的工业企业布局，存在布局分散，与农村居民点混杂的问题。</w:t>
      </w:r>
    </w:p>
    <w:p>
      <w:pPr>
        <w:ind w:firstLine="560"/>
      </w:pPr>
      <w:r>
        <w:t>根据总规要求，未来通过整合现有工业园区，采用</w:t>
      </w:r>
      <w:r>
        <w:rPr>
          <w:rFonts w:hint="eastAsia"/>
        </w:rPr>
        <w:t>“</w:t>
      </w:r>
      <w:r>
        <w:t>一区多园</w:t>
      </w:r>
      <w:r>
        <w:rPr>
          <w:rFonts w:hint="eastAsia"/>
        </w:rPr>
        <w:t>”</w:t>
      </w:r>
      <w:r>
        <w:t>的建设方式，构建合力发展平台，减少各发展主体之间的内部竞耗，集聚节约利用土地，形成良性可持续发展格局；逐步搬迁位于老城区内的工业用地，逐步向外围工业园区集聚，转变工业用地粗放的使用模式，加强现状工业用地的整合，以节能减排促进产业层次提升，提高工业用地使用效率，设置工业企业准入门槛，限制高耗水行业进入，并逐步淘汰高污染高耗能高耗水企业。通过园区整合，推动企业尤其是高耗水企业向工业园区集中，推广串联式循环用水布局；利用再生水的企业与城市污水处理厂、再生水厂就近布局等一系列措施，降低新水取水量，提高用水重复利用率。</w:t>
      </w:r>
    </w:p>
    <w:p>
      <w:pPr>
        <w:ind w:firstLine="560"/>
      </w:pPr>
      <w:r>
        <w:t>目前</w:t>
      </w:r>
      <w:r>
        <w:rPr>
          <w:rFonts w:hint="eastAsia"/>
        </w:rPr>
        <w:t>淮北</w:t>
      </w:r>
      <w:r>
        <w:t>市区内的</w:t>
      </w:r>
      <w:r>
        <w:rPr>
          <w:rFonts w:hint="eastAsia"/>
        </w:rPr>
        <w:t>部分</w:t>
      </w:r>
      <w:r>
        <w:t>用水大户</w:t>
      </w:r>
      <w:r>
        <w:rPr>
          <w:rFonts w:hint="eastAsia"/>
        </w:rPr>
        <w:t>已</w:t>
      </w:r>
      <w:r>
        <w:t>通过水平衡分析和用水审计，实现了节水技改，未来通过园区整合可以继续挖掘节水潜力。此外，结合海绵城市建设，提高雨水回用率，同样可以节省新水取水量。随着科学技术的进步，各种节水设备和节水工艺的不断涌现，未来工业企业的取水定额势必继续降低。</w:t>
      </w:r>
    </w:p>
    <w:p>
      <w:pPr>
        <w:pStyle w:val="4"/>
      </w:pPr>
      <w:bookmarkStart w:id="222" w:name="_Toc8032568"/>
      <w:bookmarkStart w:id="223" w:name="_Toc531180080"/>
      <w:r>
        <w:rPr>
          <w:rFonts w:hint="eastAsia"/>
        </w:rPr>
        <w:t>2</w:t>
      </w:r>
      <w:r>
        <w:t>.</w:t>
      </w:r>
      <w:r>
        <w:rPr>
          <w:rFonts w:hint="eastAsia"/>
        </w:rPr>
        <w:t>8</w:t>
      </w:r>
      <w:r>
        <w:t>.</w:t>
      </w:r>
      <w:r>
        <w:rPr>
          <w:rFonts w:hint="eastAsia"/>
        </w:rPr>
        <w:t>4社会公众的节约用水意识尚需加强</w:t>
      </w:r>
      <w:bookmarkEnd w:id="222"/>
      <w:bookmarkEnd w:id="223"/>
    </w:p>
    <w:p>
      <w:pPr>
        <w:ind w:firstLine="560"/>
      </w:pPr>
      <w:bookmarkStart w:id="224" w:name="_Toc531180081"/>
      <w:r>
        <w:rPr>
          <w:rFonts w:hint="eastAsia"/>
        </w:rPr>
        <w:t>近年来，淮北市通过开展一系列节水宣传教育活动，公众的节约用水和水忧患意识得到明显提高。但是，长久以来根深蒂固的用水习惯和思维方式，使得广大市民节水减排的意识仍需要进一步加强，公众的水忧患意识与建设节水型城市的要求还有一定差距，严重的缺水现状使得淮北市必须转变用水方式和用水理念。宣传教育工作仍是今后淮北市推进节水型社会建设的“重头戏”，全民水形势教育和节水宣传工作亟需进一步加强和引向深入。</w:t>
      </w:r>
    </w:p>
    <w:p>
      <w:pPr>
        <w:pStyle w:val="4"/>
      </w:pPr>
      <w:bookmarkStart w:id="225" w:name="_Toc8032569"/>
      <w:r>
        <w:rPr>
          <w:rFonts w:hint="eastAsia"/>
        </w:rPr>
        <w:t>2.8.5法律监督机制需进一步健全，节水执法力度需强化</w:t>
      </w:r>
      <w:bookmarkEnd w:id="224"/>
      <w:bookmarkEnd w:id="225"/>
    </w:p>
    <w:p>
      <w:pPr>
        <w:ind w:firstLine="560"/>
      </w:pPr>
      <w:bookmarkStart w:id="226" w:name="_Toc531180082"/>
      <w:r>
        <w:rPr>
          <w:rFonts w:hint="eastAsia"/>
        </w:rPr>
        <w:t>近年来，淮北市先后出台了《淮北市水资源管理办法》、《淮北市节约用水管理办法》、《淮北市水价管理暂行办法》等规范性文件和标准，节水型城市的制度体系框架基本建成，全市水资源管理和节水型城市建设有法可依、有章可循。但现有制度在执行过程中尚不能严格落实，如建设项目节水“三同时”、节水产品认证和市场准入等制度执行力度仍显不足，不能适应全面推进节水型城市建设的需要。制度建设执行力度以及可操作性仍需进一步强化。</w:t>
      </w:r>
    </w:p>
    <w:p>
      <w:pPr>
        <w:pStyle w:val="4"/>
      </w:pPr>
      <w:bookmarkStart w:id="227" w:name="_Toc472328384"/>
      <w:bookmarkStart w:id="228" w:name="_Toc8032570"/>
      <w:r>
        <w:rPr>
          <w:rFonts w:hint="eastAsia"/>
        </w:rPr>
        <w:t>2.8.6水资源供需矛盾突出，需推进引水配水等水资源工程。</w:t>
      </w:r>
      <w:bookmarkEnd w:id="227"/>
      <w:bookmarkEnd w:id="228"/>
    </w:p>
    <w:p>
      <w:pPr>
        <w:ind w:firstLine="560"/>
      </w:pPr>
      <w:r>
        <w:rPr>
          <w:rFonts w:hint="eastAsia"/>
        </w:rPr>
        <w:t>淮北市是全国</w:t>
      </w:r>
      <w:r>
        <w:t>114</w:t>
      </w:r>
      <w:r>
        <w:rPr>
          <w:rFonts w:hint="eastAsia"/>
        </w:rPr>
        <w:t>个严重缺水城市之一，区域水资源总量少，人均水资源量不足</w:t>
      </w:r>
      <w:r>
        <w:t>400m</w:t>
      </w:r>
      <w:r>
        <w:rPr>
          <w:vertAlign w:val="superscript"/>
        </w:rPr>
        <w:t>3</w:t>
      </w:r>
      <w:r>
        <w:rPr>
          <w:rFonts w:hint="eastAsia"/>
        </w:rPr>
        <w:t>，水资源短缺形势更加严峻。近年来，通过实施调水工程和雨洪资源利用工程，部分缓解了缺水压力，但总体上仍存在水资源配置体系不完善，水资源配置能力不足等问题。</w:t>
      </w:r>
    </w:p>
    <w:p>
      <w:pPr>
        <w:pStyle w:val="4"/>
      </w:pPr>
      <w:bookmarkStart w:id="229" w:name="_Toc8032571"/>
      <w:r>
        <w:rPr>
          <w:rFonts w:hint="eastAsia"/>
        </w:rPr>
        <w:t>2.8.</w:t>
      </w:r>
      <w:r>
        <w:t>7</w:t>
      </w:r>
      <w:r>
        <w:rPr>
          <w:rFonts w:hint="eastAsia"/>
        </w:rPr>
        <w:t>企业水平衡测试工作有待进一步加强</w:t>
      </w:r>
      <w:bookmarkEnd w:id="226"/>
      <w:bookmarkEnd w:id="229"/>
    </w:p>
    <w:p>
      <w:pPr>
        <w:ind w:firstLine="560"/>
      </w:pPr>
      <w:r>
        <w:rPr>
          <w:rFonts w:hint="eastAsia"/>
        </w:rPr>
        <w:t>水平衡测试是城市加强节约用水管理的最直接、行之有效的方法之一，通过水平衡测试可以反映企业的用水水平，便于分类合理的制定用水定额，定期进行用水情况分析，督促用水单位采取措施。加强水平衡测试是今后几年工作的重点，淮北市将通过多途径筹集经费，进一步在本规划涉及的范围内加快水平衡测试工作，努力提高工业水平衡测试率，帮助和促使企业提高节水水平。</w:t>
      </w:r>
    </w:p>
    <w:p>
      <w:pPr>
        <w:pStyle w:val="4"/>
      </w:pPr>
      <w:bookmarkStart w:id="230" w:name="_Toc8032572"/>
      <w:r>
        <w:rPr>
          <w:rFonts w:hint="eastAsia"/>
        </w:rPr>
        <w:t>2.8.</w:t>
      </w:r>
      <w:r>
        <w:t>8</w:t>
      </w:r>
      <w:r>
        <w:rPr>
          <w:rFonts w:hint="eastAsia"/>
        </w:rPr>
        <w:t>自备井管理不足</w:t>
      </w:r>
      <w:bookmarkEnd w:id="230"/>
    </w:p>
    <w:p>
      <w:pPr>
        <w:ind w:firstLine="560"/>
      </w:pPr>
      <w:r>
        <w:rPr>
          <w:rFonts w:hint="eastAsia"/>
        </w:rPr>
        <w:t>淮北市属于资源型、水质型、工程型缺水地区。自备井</w:t>
      </w:r>
      <w:r>
        <w:t>多</w:t>
      </w:r>
      <w:r>
        <w:rPr>
          <w:rFonts w:hint="eastAsia"/>
        </w:rPr>
        <w:t>为</w:t>
      </w:r>
      <w:r>
        <w:t>工业企业自建设施用水，少量用于医院学校生活用水。取水许可批准水量大于实际取水量。近几年无取水许可自建设施为主的取水自备水源取水已逐步关停，</w:t>
      </w:r>
      <w:r>
        <w:rPr>
          <w:rFonts w:hint="eastAsia"/>
        </w:rPr>
        <w:t>但</w:t>
      </w:r>
      <w:r>
        <w:t>根据</w:t>
      </w:r>
      <w:r>
        <w:rPr>
          <w:rFonts w:hint="eastAsia"/>
        </w:rPr>
        <w:t>淮北</w:t>
      </w:r>
      <w:r>
        <w:t>市自来水厂的统计，截止至2017年，</w:t>
      </w:r>
      <w:r>
        <w:rPr>
          <w:rFonts w:hint="eastAsia"/>
        </w:rPr>
        <w:t>淮北</w:t>
      </w:r>
      <w:r>
        <w:t>市城区供水管网覆盖范围内的自备水井</w:t>
      </w:r>
      <w:r>
        <w:rPr>
          <w:rFonts w:hint="eastAsia"/>
        </w:rPr>
        <w:t>仍未</w:t>
      </w:r>
      <w:r>
        <w:t>全部关停。总体来讲，</w:t>
      </w:r>
      <w:r>
        <w:rPr>
          <w:rFonts w:hint="eastAsia"/>
        </w:rPr>
        <w:t>淮北</w:t>
      </w:r>
      <w:r>
        <w:t>市自备水源取水量占总用水量的比重仍较大，有关部门应进一步加强对取水许可的审批及自备水源的管理。</w:t>
      </w:r>
      <w:r>
        <w:rPr>
          <w:rFonts w:hint="eastAsia"/>
        </w:rPr>
        <w:t>以淮水北调水源置换工业企业地下水，分期分批实施地下水取水井关闭工作，有效保护和涵养地下水资源，实现地下水资源可持续利用。</w:t>
      </w:r>
    </w:p>
    <w:p>
      <w:pPr>
        <w:pStyle w:val="4"/>
      </w:pPr>
      <w:bookmarkStart w:id="231" w:name="_Toc8032573"/>
      <w:r>
        <w:rPr>
          <w:rFonts w:hint="eastAsia"/>
        </w:rPr>
        <w:t>2.8.</w:t>
      </w:r>
      <w:r>
        <w:t>9</w:t>
      </w:r>
      <w:r>
        <w:rPr>
          <w:rFonts w:hint="eastAsia"/>
        </w:rPr>
        <w:t>需加大自备井管理</w:t>
      </w:r>
      <w:bookmarkEnd w:id="231"/>
    </w:p>
    <w:p>
      <w:pPr>
        <w:ind w:firstLine="560"/>
      </w:pPr>
      <w:r>
        <w:rPr>
          <w:rFonts w:hint="eastAsia"/>
        </w:rPr>
        <w:t>淮北市属于资源型、水质型、工程型缺水地区。自备井</w:t>
      </w:r>
      <w:r>
        <w:t>多</w:t>
      </w:r>
      <w:r>
        <w:rPr>
          <w:rFonts w:hint="eastAsia"/>
        </w:rPr>
        <w:t>为</w:t>
      </w:r>
      <w:r>
        <w:t>工业企业自建设施用水，少量用于医院学校生活用水。取水许可批准水量大于实际取水量。近几年无取水许可自建设施为主的取水自备水源取水已逐步关停，</w:t>
      </w:r>
      <w:r>
        <w:rPr>
          <w:rFonts w:hint="eastAsia"/>
        </w:rPr>
        <w:t>但</w:t>
      </w:r>
      <w:r>
        <w:t>根据</w:t>
      </w:r>
      <w:r>
        <w:rPr>
          <w:rFonts w:hint="eastAsia"/>
        </w:rPr>
        <w:t>淮北</w:t>
      </w:r>
      <w:r>
        <w:t>市自来水厂的统计，截止至2017年，</w:t>
      </w:r>
      <w:r>
        <w:rPr>
          <w:rFonts w:hint="eastAsia"/>
        </w:rPr>
        <w:t>淮北</w:t>
      </w:r>
      <w:r>
        <w:t>市城区供水管网覆盖范围内的自备水井</w:t>
      </w:r>
      <w:r>
        <w:rPr>
          <w:rFonts w:hint="eastAsia"/>
        </w:rPr>
        <w:t>仍未</w:t>
      </w:r>
      <w:r>
        <w:t>全部关停。总体来讲，</w:t>
      </w:r>
      <w:r>
        <w:rPr>
          <w:rFonts w:hint="eastAsia"/>
        </w:rPr>
        <w:t>淮北</w:t>
      </w:r>
      <w:r>
        <w:t>市自备水源取水量占总用水量的比重仍较大，有关部门应进一步加强对取水许可的审批及自备水源的管理。</w:t>
      </w:r>
      <w:r>
        <w:rPr>
          <w:rFonts w:hint="eastAsia"/>
        </w:rPr>
        <w:t>以淮水北调水源置换工业企业地下水，分期分批实施地下水取水井关闭工作，有效保护和涵养地下水资源，实现地下水资源可持续利用。</w:t>
      </w:r>
    </w:p>
    <w:p>
      <w:pPr>
        <w:ind w:firstLine="560"/>
      </w:pPr>
    </w:p>
    <w:p>
      <w:pPr>
        <w:ind w:firstLine="560"/>
      </w:pPr>
    </w:p>
    <w:p>
      <w:pPr>
        <w:ind w:firstLine="560"/>
      </w:pPr>
    </w:p>
    <w:p>
      <w:pPr>
        <w:ind w:firstLine="560"/>
      </w:pPr>
    </w:p>
    <w:p>
      <w:pPr>
        <w:ind w:firstLine="560"/>
      </w:pPr>
    </w:p>
    <w:p>
      <w:pPr>
        <w:widowControl/>
        <w:autoSpaceDE/>
        <w:autoSpaceDN/>
        <w:adjustRightInd/>
        <w:spacing w:line="240" w:lineRule="auto"/>
        <w:ind w:firstLine="0" w:firstLineChars="0"/>
      </w:pPr>
      <w:r>
        <w:br w:type="page"/>
      </w:r>
    </w:p>
    <w:p>
      <w:pPr>
        <w:pStyle w:val="2"/>
        <w:spacing w:before="120"/>
        <w:ind w:left="592" w:firstLine="0" w:firstLineChars="0"/>
        <w:rPr>
          <w:spacing w:val="19"/>
        </w:rPr>
      </w:pPr>
      <w:bookmarkStart w:id="232" w:name="_Toc8032574"/>
      <w:r>
        <w:rPr>
          <w:rFonts w:hint="eastAsia"/>
          <w:spacing w:val="19"/>
        </w:rPr>
        <w:t>第三章   规划</w:t>
      </w:r>
      <w:r>
        <w:rPr>
          <w:spacing w:val="19"/>
        </w:rPr>
        <w:t>总则</w:t>
      </w:r>
      <w:bookmarkEnd w:id="232"/>
    </w:p>
    <w:p>
      <w:pPr>
        <w:pStyle w:val="3"/>
        <w:spacing w:before="120" w:after="60" w:line="360" w:lineRule="auto"/>
        <w:ind w:firstLine="602"/>
        <w:rPr>
          <w:rFonts w:ascii="Times New Roman" w:hAnsi="Times New Roman"/>
        </w:rPr>
      </w:pPr>
      <w:bookmarkStart w:id="233" w:name="_Toc8032575"/>
      <w:r>
        <w:rPr>
          <w:rFonts w:hint="eastAsia" w:ascii="Times New Roman" w:hAnsi="Times New Roman"/>
        </w:rPr>
        <w:t>3</w:t>
      </w:r>
      <w:r>
        <w:rPr>
          <w:rFonts w:ascii="Times New Roman" w:hAnsi="Times New Roman"/>
        </w:rPr>
        <w:t xml:space="preserve">.1 </w:t>
      </w:r>
      <w:r>
        <w:rPr>
          <w:rFonts w:ascii="Times New Roman" w:hAnsi="Times New Roman"/>
          <w:spacing w:val="52"/>
        </w:rPr>
        <w:t xml:space="preserve"> </w:t>
      </w:r>
      <w:r>
        <w:rPr>
          <w:rFonts w:ascii="Times New Roman" w:hAnsi="Times New Roman"/>
          <w:spacing w:val="16"/>
        </w:rPr>
        <w:t>规划目的</w:t>
      </w:r>
      <w:bookmarkEnd w:id="233"/>
    </w:p>
    <w:p>
      <w:pPr>
        <w:pStyle w:val="16"/>
        <w:spacing w:line="360" w:lineRule="auto"/>
        <w:ind w:firstLine="560"/>
        <w:rPr>
          <w:rFonts w:cs="Times New Roman"/>
        </w:rPr>
      </w:pPr>
      <w:r>
        <w:rPr>
          <w:rFonts w:cs="Times New Roman"/>
        </w:rPr>
        <w:t>规划以“</w:t>
      </w:r>
      <w:r>
        <w:rPr>
          <w:rFonts w:hint="eastAsia" w:cs="Times New Roman"/>
        </w:rPr>
        <w:t>城市的可持续发展</w:t>
      </w:r>
      <w:r>
        <w:rPr>
          <w:rFonts w:cs="Times New Roman"/>
        </w:rPr>
        <w:t xml:space="preserve">”为基本出发点，以国家、省、市政府颁发的有关保护供水资源、节约用水的法律、法规、规章为依据，在淮北市城市总体规划及各项专业规划的基础上，以提高淮北市的节水水平，全面建成节水型城市为目标，编制淮北市城市节约用水专项规划， 以期为淮北市未来的节水工作提供指导，使淮北市的节水水平在目前的基础上有一个大的发展，以水资源的可持续利用和水环境的改善来支持淮北市经济社会的可持续发展。   </w:t>
      </w:r>
      <w:r>
        <w:rPr>
          <w:rFonts w:hint="eastAsia" w:cs="Times New Roman"/>
        </w:rPr>
        <w:t xml:space="preserve"> </w:t>
      </w:r>
    </w:p>
    <w:p>
      <w:pPr>
        <w:pStyle w:val="3"/>
        <w:spacing w:before="120" w:after="60" w:line="360" w:lineRule="auto"/>
        <w:ind w:firstLine="602"/>
        <w:rPr>
          <w:rFonts w:ascii="Times New Roman" w:hAnsi="Times New Roman"/>
        </w:rPr>
      </w:pPr>
      <w:bookmarkStart w:id="234" w:name="_Toc8032576"/>
      <w:r>
        <w:rPr>
          <w:rFonts w:hint="eastAsia" w:ascii="Times New Roman" w:hAnsi="Times New Roman"/>
        </w:rPr>
        <w:t>3</w:t>
      </w:r>
      <w:r>
        <w:rPr>
          <w:rFonts w:ascii="Times New Roman" w:hAnsi="Times New Roman"/>
        </w:rPr>
        <w:t>.2</w:t>
      </w:r>
      <w:r>
        <w:rPr>
          <w:rFonts w:ascii="Times New Roman" w:hAnsi="Times New Roman"/>
          <w:spacing w:val="47"/>
        </w:rPr>
        <w:t xml:space="preserve"> </w:t>
      </w:r>
      <w:r>
        <w:rPr>
          <w:rFonts w:ascii="Times New Roman" w:hAnsi="Times New Roman"/>
          <w:spacing w:val="18"/>
        </w:rPr>
        <w:t>规划指导思想</w:t>
      </w:r>
      <w:bookmarkEnd w:id="234"/>
    </w:p>
    <w:p>
      <w:pPr>
        <w:pStyle w:val="16"/>
        <w:spacing w:line="360" w:lineRule="auto"/>
        <w:ind w:firstLine="560"/>
        <w:rPr>
          <w:rFonts w:cs="Times New Roman"/>
        </w:rPr>
      </w:pPr>
      <w:r>
        <w:rPr>
          <w:rFonts w:hint="eastAsia" w:cs="Times New Roman"/>
        </w:rPr>
        <w:t>根据淮北市经济社会总体规划发展的要求，按照十九大提出的五位一体的生态文明发展战略和习</w:t>
      </w:r>
      <w:r>
        <w:rPr>
          <w:rFonts w:hint="eastAsia" w:cs="Times New Roman"/>
          <w:lang w:val="en-US" w:eastAsia="zh-CN"/>
        </w:rPr>
        <w:t>近平</w:t>
      </w:r>
      <w:bookmarkStart w:id="594" w:name="_GoBack"/>
      <w:bookmarkEnd w:id="594"/>
      <w:r>
        <w:rPr>
          <w:rFonts w:hint="eastAsia" w:cs="Times New Roman"/>
        </w:rPr>
        <w:t>总书记提出的“节水优先、空间平衡、系统治理、两手发力”和“以水定城、以水定地、以水定人、以水定产”的战略思想，以“提高水资源利用率为核心，以节水优先、开源节流”为技术路线的城市节水方略，以“促进居民生活品质提升，保持水生态良性发展为目标”的可持续发展理念。</w:t>
      </w:r>
    </w:p>
    <w:p>
      <w:pPr>
        <w:pStyle w:val="16"/>
        <w:spacing w:line="360" w:lineRule="auto"/>
        <w:ind w:firstLine="560"/>
        <w:rPr>
          <w:rFonts w:cs="Times New Roman"/>
        </w:rPr>
      </w:pPr>
      <w:r>
        <w:rPr>
          <w:rFonts w:hint="eastAsia" w:cs="Times New Roman"/>
        </w:rPr>
        <w:t>贯彻新时期节水方针政策、法律法规、标准规范，以提高用水效率为核心，以落实城市节水管理制度为着力点，强化科学发展、节水减排的理念，把节约用水惯穿经济社会发展和群众生活的全过程，实现人水和诣，协调发展。</w:t>
      </w:r>
    </w:p>
    <w:p>
      <w:pPr>
        <w:pStyle w:val="16"/>
        <w:spacing w:line="360" w:lineRule="auto"/>
        <w:ind w:firstLine="560"/>
        <w:rPr>
          <w:rFonts w:cs="Times New Roman"/>
        </w:rPr>
      </w:pPr>
      <w:r>
        <w:rPr>
          <w:rFonts w:hint="eastAsia" w:cs="Times New Roman"/>
        </w:rPr>
        <w:t>以国务院发布的《水污染防治行动计划》和《国家节水型城市考核标准》（建城[2018]25号）为导向，推动淮北市节水型城市的建设工作，保障和促进经济社会的协调发展，构建美好的社会主义和谐社会。</w:t>
      </w:r>
    </w:p>
    <w:p>
      <w:pPr>
        <w:pStyle w:val="3"/>
        <w:spacing w:before="120" w:after="60" w:line="360" w:lineRule="auto"/>
        <w:ind w:firstLine="602"/>
        <w:rPr>
          <w:rFonts w:ascii="Times New Roman" w:hAnsi="Times New Roman"/>
        </w:rPr>
      </w:pPr>
      <w:bookmarkStart w:id="235" w:name="_Toc8032577"/>
      <w:r>
        <w:rPr>
          <w:rFonts w:hint="eastAsia" w:ascii="Times New Roman" w:hAnsi="Times New Roman"/>
        </w:rPr>
        <w:t>3</w:t>
      </w:r>
      <w:r>
        <w:rPr>
          <w:rFonts w:ascii="Times New Roman" w:hAnsi="Times New Roman"/>
        </w:rPr>
        <w:t>.</w:t>
      </w:r>
      <w:r>
        <w:rPr>
          <w:rFonts w:hint="eastAsia" w:ascii="Times New Roman" w:hAnsi="Times New Roman"/>
        </w:rPr>
        <w:t>3</w:t>
      </w:r>
      <w:r>
        <w:rPr>
          <w:rFonts w:ascii="Times New Roman" w:hAnsi="Times New Roman"/>
          <w:spacing w:val="52"/>
        </w:rPr>
        <w:t xml:space="preserve"> </w:t>
      </w:r>
      <w:r>
        <w:rPr>
          <w:rFonts w:ascii="Times New Roman" w:hAnsi="Times New Roman"/>
          <w:spacing w:val="16"/>
        </w:rPr>
        <w:t>规划原则</w:t>
      </w:r>
      <w:bookmarkEnd w:id="235"/>
    </w:p>
    <w:p>
      <w:pPr>
        <w:pStyle w:val="16"/>
        <w:spacing w:line="360" w:lineRule="auto"/>
        <w:ind w:firstLine="560"/>
        <w:rPr>
          <w:rFonts w:cs="Times New Roman"/>
        </w:rPr>
      </w:pPr>
      <w:r>
        <w:rPr>
          <w:rFonts w:hint="eastAsia" w:cs="Times New Roman"/>
        </w:rPr>
        <w:t>（1）坚持开源节流并重，</w:t>
      </w:r>
      <w:r>
        <w:rPr>
          <w:rFonts w:cs="Times New Roman"/>
        </w:rPr>
        <w:t>红线控制原则</w:t>
      </w:r>
    </w:p>
    <w:p>
      <w:pPr>
        <w:pStyle w:val="16"/>
        <w:spacing w:line="360" w:lineRule="auto"/>
        <w:ind w:firstLine="560"/>
        <w:rPr>
          <w:rFonts w:cs="Times New Roman"/>
        </w:rPr>
      </w:pPr>
      <w:r>
        <w:rPr>
          <w:rFonts w:cs="Times New Roman"/>
        </w:rPr>
        <w:t>以水资源禀赋为发展前提的红线总控原则是践行习</w:t>
      </w:r>
      <w:r>
        <w:rPr>
          <w:rFonts w:hint="eastAsia" w:cs="Times New Roman"/>
          <w:lang w:val="en-US" w:eastAsia="zh-CN"/>
        </w:rPr>
        <w:t>近平</w:t>
      </w:r>
      <w:r>
        <w:rPr>
          <w:rFonts w:cs="Times New Roman"/>
        </w:rPr>
        <w:t>主席提出的“以水定城、以水定地、以水定人、以水定产”的发展理念。</w:t>
      </w:r>
    </w:p>
    <w:p>
      <w:pPr>
        <w:pStyle w:val="16"/>
        <w:spacing w:line="360" w:lineRule="auto"/>
        <w:ind w:firstLine="560"/>
        <w:rPr>
          <w:rFonts w:cs="Times New Roman"/>
        </w:rPr>
      </w:pPr>
      <w:r>
        <w:rPr>
          <w:rFonts w:cs="Times New Roman"/>
        </w:rPr>
        <w:t>水，是生命之源、生产之要、生态之基；水，是人类依赖生存依赖的重要资源，因此城市的发展应以水作为资源禀赋来确定规模。通过水资源的分析研究，以水作为标准来确定城市的规模，确定城市的人口、产业构成，并以此来制定城市节水的管理和技术政策。</w:t>
      </w:r>
    </w:p>
    <w:p>
      <w:pPr>
        <w:pStyle w:val="16"/>
        <w:spacing w:line="360" w:lineRule="auto"/>
        <w:ind w:firstLine="560"/>
        <w:rPr>
          <w:rFonts w:cs="Times New Roman"/>
        </w:rPr>
      </w:pPr>
      <w:r>
        <w:rPr>
          <w:rFonts w:cs="Times New Roman"/>
        </w:rPr>
        <w:t>2011年中共中央1号文件提出了，用水总量、用水效率、水功能区限制纳污的三条红线管理制度，是防洪安全、供水安全、粮食安全、经济安全、生态安全、地方长治久安的基石，</w:t>
      </w:r>
      <w:r>
        <w:rPr>
          <w:rFonts w:hint="eastAsia" w:cs="Times New Roman"/>
        </w:rPr>
        <w:t>淮北市</w:t>
      </w:r>
      <w:r>
        <w:rPr>
          <w:rFonts w:cs="Times New Roman"/>
        </w:rPr>
        <w:t>应坚持三条红线制度，实施严格的节水措施。</w:t>
      </w:r>
    </w:p>
    <w:p>
      <w:pPr>
        <w:pStyle w:val="16"/>
        <w:spacing w:line="360" w:lineRule="auto"/>
        <w:ind w:firstLine="560"/>
        <w:rPr>
          <w:rFonts w:cs="Times New Roman"/>
        </w:rPr>
      </w:pPr>
      <w:r>
        <w:rPr>
          <w:rFonts w:hint="eastAsia" w:cs="Times New Roman"/>
        </w:rPr>
        <w:t>（2）坚持</w:t>
      </w:r>
      <w:r>
        <w:rPr>
          <w:rFonts w:cs="Times New Roman"/>
        </w:rPr>
        <w:t>推进</w:t>
      </w:r>
      <w:r>
        <w:rPr>
          <w:rFonts w:hint="eastAsia" w:cs="Times New Roman"/>
        </w:rPr>
        <w:t>“</w:t>
      </w:r>
      <w:r>
        <w:rPr>
          <w:rFonts w:cs="Times New Roman"/>
        </w:rPr>
        <w:t>两型社会</w:t>
      </w:r>
      <w:r>
        <w:rPr>
          <w:rFonts w:hint="eastAsia" w:cs="Times New Roman"/>
        </w:rPr>
        <w:t>”</w:t>
      </w:r>
      <w:r>
        <w:rPr>
          <w:rFonts w:cs="Times New Roman"/>
        </w:rPr>
        <w:t>和生态文明建设原则</w:t>
      </w:r>
    </w:p>
    <w:p>
      <w:pPr>
        <w:pStyle w:val="16"/>
        <w:spacing w:line="360" w:lineRule="auto"/>
        <w:ind w:firstLine="560"/>
        <w:rPr>
          <w:rFonts w:cs="Times New Roman"/>
        </w:rPr>
      </w:pPr>
      <w:r>
        <w:rPr>
          <w:rFonts w:cs="Times New Roman"/>
        </w:rPr>
        <w:t>积极推进资源节约型和环境友好型两型社会建设，积极推进十</w:t>
      </w:r>
      <w:r>
        <w:rPr>
          <w:rFonts w:hint="eastAsia" w:cs="Times New Roman"/>
        </w:rPr>
        <w:t>九</w:t>
      </w:r>
      <w:r>
        <w:rPr>
          <w:rFonts w:cs="Times New Roman"/>
        </w:rPr>
        <w:t>大中央提出的五位一体生态文明建设原则，节水，就是减排，就是节约资源，就是保护环境， 就是推进生态发展。</w:t>
      </w:r>
      <w:r>
        <w:rPr>
          <w:rFonts w:hint="eastAsia" w:cs="Times New Roman"/>
        </w:rPr>
        <w:t>党的十九大明确提出绿色生活新要求，要求推进资源全面节约和循环利用，实施国家节水行动，降低能耗、物耗。</w:t>
      </w:r>
      <w:r>
        <w:rPr>
          <w:rFonts w:cs="Times New Roman"/>
        </w:rPr>
        <w:t>通过节水政策标准、节水宣传和节水措施在</w:t>
      </w:r>
      <w:r>
        <w:rPr>
          <w:rFonts w:hint="eastAsia" w:cs="Times New Roman"/>
        </w:rPr>
        <w:t>淮北</w:t>
      </w:r>
      <w:r>
        <w:rPr>
          <w:rFonts w:cs="Times New Roman"/>
        </w:rPr>
        <w:t>市全面实施， 以节水为抓手，在全社会形成良好的节俭风尚，全面推进节约型环境友好型两型社会和生态文明建设，全面建成小康社会的</w:t>
      </w:r>
      <w:r>
        <w:rPr>
          <w:rFonts w:hint="eastAsia" w:cs="Times New Roman"/>
        </w:rPr>
        <w:t>淮北</w:t>
      </w:r>
      <w:r>
        <w:rPr>
          <w:rFonts w:cs="Times New Roman"/>
        </w:rPr>
        <w:t>。</w:t>
      </w:r>
    </w:p>
    <w:p>
      <w:pPr>
        <w:pStyle w:val="16"/>
        <w:spacing w:line="360" w:lineRule="auto"/>
        <w:ind w:firstLine="560"/>
        <w:rPr>
          <w:rFonts w:cs="Times New Roman"/>
        </w:rPr>
      </w:pPr>
      <w:r>
        <w:rPr>
          <w:rFonts w:hint="eastAsia" w:cs="Times New Roman"/>
        </w:rPr>
        <w:t>（3）</w:t>
      </w:r>
      <w:r>
        <w:rPr>
          <w:rFonts w:cs="Times New Roman"/>
        </w:rPr>
        <w:t>坚持依法、依规</w:t>
      </w:r>
      <w:r>
        <w:rPr>
          <w:rFonts w:hint="eastAsia" w:cs="Times New Roman"/>
        </w:rPr>
        <w:t>促节水</w:t>
      </w:r>
      <w:r>
        <w:rPr>
          <w:rFonts w:cs="Times New Roman"/>
        </w:rPr>
        <w:t>原则</w:t>
      </w:r>
    </w:p>
    <w:p>
      <w:pPr>
        <w:pStyle w:val="16"/>
        <w:spacing w:line="360" w:lineRule="auto"/>
        <w:ind w:firstLine="560"/>
        <w:rPr>
          <w:rFonts w:cs="Times New Roman"/>
        </w:rPr>
      </w:pPr>
      <w:r>
        <w:rPr>
          <w:rFonts w:cs="Times New Roman"/>
        </w:rPr>
        <w:t>坚持综合运用法律、规范性文件、标准、行政、经济、科技和宣传教育等多措并举的原则</w:t>
      </w:r>
      <w:r>
        <w:rPr>
          <w:rFonts w:hint="eastAsia" w:cs="Times New Roman"/>
        </w:rPr>
        <w:t>。</w:t>
      </w:r>
      <w:r>
        <w:rPr>
          <w:rFonts w:cs="Times New Roman"/>
        </w:rPr>
        <w:t>推进</w:t>
      </w:r>
      <w:r>
        <w:rPr>
          <w:rFonts w:hint="eastAsia" w:cs="Times New Roman"/>
        </w:rPr>
        <w:t>淮北市</w:t>
      </w:r>
      <w:r>
        <w:rPr>
          <w:rFonts w:cs="Times New Roman"/>
        </w:rPr>
        <w:t>节水</w:t>
      </w:r>
      <w:r>
        <w:rPr>
          <w:rFonts w:hint="eastAsia" w:cs="Times New Roman"/>
        </w:rPr>
        <w:t>引导政策和</w:t>
      </w:r>
      <w:r>
        <w:rPr>
          <w:rFonts w:cs="Times New Roman"/>
        </w:rPr>
        <w:t>经济政策研究和推行，</w:t>
      </w:r>
      <w:r>
        <w:rPr>
          <w:rFonts w:hint="eastAsia" w:cs="Times New Roman"/>
        </w:rPr>
        <w:t>加强节水政策宣传，</w:t>
      </w:r>
      <w:r>
        <w:rPr>
          <w:rFonts w:cs="Times New Roman"/>
        </w:rPr>
        <w:t>节水宣传成为常态，进一步促进企业、单位和广大市民的自觉</w:t>
      </w:r>
      <w:r>
        <w:rPr>
          <w:rFonts w:hint="eastAsia" w:cs="Times New Roman"/>
        </w:rPr>
        <w:t>依法依规</w:t>
      </w:r>
      <w:r>
        <w:rPr>
          <w:rFonts w:cs="Times New Roman"/>
        </w:rPr>
        <w:t>节水。使</w:t>
      </w:r>
      <w:r>
        <w:rPr>
          <w:rFonts w:hint="eastAsia" w:cs="Times New Roman"/>
        </w:rPr>
        <w:t>淮北市</w:t>
      </w:r>
      <w:r>
        <w:rPr>
          <w:rFonts w:cs="Times New Roman"/>
        </w:rPr>
        <w:t>的节水从理念、政策、行为上</w:t>
      </w:r>
      <w:r>
        <w:rPr>
          <w:rFonts w:hint="eastAsia" w:cs="Times New Roman"/>
        </w:rPr>
        <w:t>统一起来</w:t>
      </w:r>
      <w:r>
        <w:rPr>
          <w:rFonts w:cs="Times New Roman"/>
        </w:rPr>
        <w:t>，促使</w:t>
      </w:r>
      <w:r>
        <w:rPr>
          <w:rFonts w:hint="eastAsia" w:cs="Times New Roman"/>
        </w:rPr>
        <w:t>淮北市</w:t>
      </w:r>
      <w:r>
        <w:rPr>
          <w:rFonts w:cs="Times New Roman"/>
        </w:rPr>
        <w:t>经济社会可持续发展。</w:t>
      </w:r>
    </w:p>
    <w:p>
      <w:pPr>
        <w:pStyle w:val="16"/>
        <w:spacing w:line="360" w:lineRule="auto"/>
        <w:ind w:firstLine="560"/>
        <w:rPr>
          <w:rFonts w:cs="Times New Roman"/>
        </w:rPr>
      </w:pPr>
      <w:r>
        <w:rPr>
          <w:rFonts w:hint="eastAsia" w:cs="Times New Roman"/>
        </w:rPr>
        <w:t>（4）</w:t>
      </w:r>
      <w:r>
        <w:rPr>
          <w:rFonts w:cs="Times New Roman"/>
        </w:rPr>
        <w:t>坚持可持续发展原则</w:t>
      </w:r>
    </w:p>
    <w:p>
      <w:pPr>
        <w:pStyle w:val="16"/>
        <w:spacing w:line="360" w:lineRule="auto"/>
        <w:ind w:firstLine="560"/>
        <w:rPr>
          <w:rFonts w:cs="Times New Roman"/>
        </w:rPr>
      </w:pPr>
      <w:r>
        <w:rPr>
          <w:rFonts w:cs="Times New Roman"/>
        </w:rPr>
        <w:t>坚持可持续发展原则，就是节水优先、治污为本、科学开源、综合利用的原则。</w:t>
      </w:r>
    </w:p>
    <w:p>
      <w:pPr>
        <w:pStyle w:val="16"/>
        <w:spacing w:line="360" w:lineRule="auto"/>
        <w:ind w:firstLine="560"/>
        <w:rPr>
          <w:rFonts w:cs="Times New Roman"/>
        </w:rPr>
      </w:pPr>
      <w:r>
        <w:rPr>
          <w:rFonts w:cs="Times New Roman"/>
        </w:rPr>
        <w:t>《1992 年世界发展的报告》提出“把发展建立在成本效益比较谨慎的客观分析基础上，它能加强环境保护，并且能够导致福利水平的提高和维系”。1987年联合国《我们共同的未来》战略和策略文件提出“既满足当代人的需要，又不牺牲后代人的满足自身需要的发展”。1991 年 IUCN 在《保护地球》的报告中提出“可持续发展的定义是：改善人类的生活质量，同时又使生活保持在支持生态系统的能力之内”。可持续发展的三个层次，一是经济合理性，二是人类自身传宗接代发展的延续性，三是生态可支撑的连续性，更是近远期经济合理性和生态系统可支持的连续发展。</w:t>
      </w:r>
    </w:p>
    <w:p>
      <w:pPr>
        <w:pStyle w:val="16"/>
        <w:spacing w:line="360" w:lineRule="auto"/>
        <w:ind w:firstLine="560"/>
        <w:rPr>
          <w:rFonts w:cs="Times New Roman"/>
        </w:rPr>
      </w:pPr>
      <w:r>
        <w:rPr>
          <w:rFonts w:hint="eastAsia" w:cs="Times New Roman"/>
        </w:rPr>
        <w:t>淮北市一方面应合理控制地下水资源的开采规模，提高利用效率；另一方面</w:t>
      </w:r>
      <w:r>
        <w:rPr>
          <w:rFonts w:cs="Times New Roman"/>
        </w:rPr>
        <w:t>从经济合理性和保护生态出发，合理规划开发</w:t>
      </w:r>
      <w:r>
        <w:rPr>
          <w:rFonts w:hint="eastAsia" w:cs="Times New Roman"/>
        </w:rPr>
        <w:t>地表</w:t>
      </w:r>
      <w:r>
        <w:rPr>
          <w:rFonts w:cs="Times New Roman"/>
        </w:rPr>
        <w:t>水，封停超采和地面下沉区域的地下水井，全面实施地下水位水质检测和监控。</w:t>
      </w:r>
    </w:p>
    <w:p>
      <w:pPr>
        <w:pStyle w:val="16"/>
        <w:spacing w:line="360" w:lineRule="auto"/>
        <w:ind w:firstLine="560"/>
        <w:rPr>
          <w:rFonts w:cs="Times New Roman"/>
        </w:rPr>
      </w:pPr>
      <w:bookmarkStart w:id="236" w:name="_Toc514062564"/>
      <w:bookmarkStart w:id="237" w:name="_Toc514651466"/>
      <w:r>
        <w:rPr>
          <w:rFonts w:hint="eastAsia" w:cs="Times New Roman"/>
        </w:rPr>
        <w:t>此外，</w:t>
      </w:r>
      <w:r>
        <w:rPr>
          <w:rFonts w:cs="Times New Roman"/>
        </w:rPr>
        <w:t>实施</w:t>
      </w:r>
      <w:r>
        <w:rPr>
          <w:rFonts w:hint="eastAsia" w:cs="Times New Roman"/>
        </w:rPr>
        <w:t>截污工程和水环境保护工程</w:t>
      </w:r>
      <w:r>
        <w:rPr>
          <w:rFonts w:cs="Times New Roman"/>
        </w:rPr>
        <w:t>，</w:t>
      </w:r>
      <w:r>
        <w:rPr>
          <w:rFonts w:hint="eastAsia" w:cs="Times New Roman"/>
        </w:rPr>
        <w:t>把节水减排、节水防污作为重点，推进节水技术进步，加大高效节水技术设备推广力度。坚持源头控制与末端控制相结合，</w:t>
      </w:r>
      <w:r>
        <w:rPr>
          <w:rFonts w:cs="Times New Roman"/>
        </w:rPr>
        <w:t>强化城市和工业污水处理，有效控制面源污染，治污为本策略，促进城市水环境改善，保护水源地，确保供水水源地安全可靠。</w:t>
      </w:r>
      <w:r>
        <w:rPr>
          <w:rFonts w:hint="eastAsia" w:cs="Times New Roman"/>
        </w:rPr>
        <w:t>以节水促减排，以限排促节水，减少废污水排放量，减少农业面源污染，改善水生态环境，走生态优先、绿色发展之路。</w:t>
      </w:r>
    </w:p>
    <w:p>
      <w:pPr>
        <w:pStyle w:val="16"/>
        <w:spacing w:line="360" w:lineRule="auto"/>
        <w:ind w:firstLine="560"/>
        <w:rPr>
          <w:rFonts w:cs="Times New Roman"/>
        </w:rPr>
      </w:pPr>
      <w:r>
        <w:rPr>
          <w:rFonts w:hint="eastAsia" w:cs="Times New Roman"/>
        </w:rPr>
        <w:t>（5）</w:t>
      </w:r>
      <w:bookmarkEnd w:id="236"/>
      <w:bookmarkEnd w:id="237"/>
      <w:r>
        <w:rPr>
          <w:rFonts w:hint="eastAsia" w:cs="Times New Roman"/>
        </w:rPr>
        <w:t>坚持政府引导，社会参与原则</w:t>
      </w:r>
    </w:p>
    <w:p>
      <w:pPr>
        <w:pStyle w:val="16"/>
        <w:spacing w:line="360" w:lineRule="auto"/>
        <w:ind w:firstLine="560"/>
        <w:rPr>
          <w:rFonts w:cs="Times New Roman"/>
        </w:rPr>
      </w:pPr>
      <w:r>
        <w:rPr>
          <w:rFonts w:hint="eastAsia" w:cs="Times New Roman"/>
        </w:rPr>
        <w:t>充分发挥政府的职能，强化政府对节水防污的引导和规划作用，通过健全制度和监督体制、构建系统完备、科学规范、运行高效的节水减排制度体系。通过各种传播媒介节水宣传，鼓励社会公众广泛参与水资源管理及用水监督，使建设节水防污型社会成为全社会的共识。</w:t>
      </w:r>
    </w:p>
    <w:p>
      <w:pPr>
        <w:pStyle w:val="3"/>
        <w:spacing w:before="120" w:after="60" w:line="360" w:lineRule="auto"/>
        <w:ind w:firstLine="602"/>
        <w:rPr>
          <w:rFonts w:ascii="Times New Roman" w:hAnsi="Times New Roman"/>
        </w:rPr>
      </w:pPr>
      <w:bookmarkStart w:id="238" w:name="_Toc8032578"/>
      <w:r>
        <w:rPr>
          <w:rFonts w:hint="eastAsia" w:ascii="Times New Roman" w:hAnsi="Times New Roman"/>
        </w:rPr>
        <w:t>3</w:t>
      </w:r>
      <w:r>
        <w:rPr>
          <w:rFonts w:ascii="Times New Roman" w:hAnsi="Times New Roman"/>
        </w:rPr>
        <w:t>.</w:t>
      </w:r>
      <w:r>
        <w:rPr>
          <w:rFonts w:hint="eastAsia" w:ascii="Times New Roman" w:hAnsi="Times New Roman"/>
        </w:rPr>
        <w:t>4</w:t>
      </w:r>
      <w:r>
        <w:rPr>
          <w:rFonts w:ascii="Times New Roman" w:hAnsi="Times New Roman"/>
        </w:rPr>
        <w:t xml:space="preserve"> </w:t>
      </w:r>
      <w:r>
        <w:rPr>
          <w:rFonts w:ascii="Times New Roman" w:hAnsi="Times New Roman"/>
          <w:spacing w:val="52"/>
        </w:rPr>
        <w:t xml:space="preserve"> </w:t>
      </w:r>
      <w:r>
        <w:rPr>
          <w:rFonts w:ascii="Times New Roman" w:hAnsi="Times New Roman"/>
          <w:spacing w:val="16"/>
        </w:rPr>
        <w:t>编制依据</w:t>
      </w:r>
      <w:bookmarkEnd w:id="238"/>
    </w:p>
    <w:p>
      <w:pPr>
        <w:pStyle w:val="4"/>
        <w:rPr>
          <w:spacing w:val="17"/>
        </w:rPr>
      </w:pPr>
      <w:bookmarkStart w:id="239" w:name="_Toc8032579"/>
      <w:r>
        <w:rPr>
          <w:rFonts w:hint="eastAsia"/>
        </w:rPr>
        <w:t>3</w:t>
      </w:r>
      <w:r>
        <w:t>.</w:t>
      </w:r>
      <w:r>
        <w:rPr>
          <w:rFonts w:hint="eastAsia"/>
        </w:rPr>
        <w:t>4</w:t>
      </w:r>
      <w:r>
        <w:t>.1</w:t>
      </w:r>
      <w:r>
        <w:rPr>
          <w:spacing w:val="35"/>
        </w:rPr>
        <w:t xml:space="preserve"> </w:t>
      </w:r>
      <w:r>
        <w:rPr>
          <w:spacing w:val="17"/>
        </w:rPr>
        <w:t>国家及地方有关法规、文件</w:t>
      </w:r>
      <w:bookmarkEnd w:id="239"/>
    </w:p>
    <w:p>
      <w:pPr>
        <w:pStyle w:val="16"/>
        <w:ind w:firstLine="560"/>
        <w:rPr>
          <w:rFonts w:cs="Times New Roman"/>
        </w:rPr>
      </w:pPr>
      <w:r>
        <w:rPr>
          <w:rFonts w:hint="eastAsia" w:cs="Times New Roman"/>
        </w:rPr>
        <w:t>1.《中华人民共和国城乡规划法》（2019 年）</w:t>
      </w:r>
      <w:r>
        <w:rPr>
          <w:rFonts w:cs="Times New Roman"/>
        </w:rPr>
        <w:t>；</w:t>
      </w:r>
    </w:p>
    <w:p>
      <w:pPr>
        <w:pStyle w:val="16"/>
        <w:ind w:firstLine="560"/>
        <w:rPr>
          <w:rFonts w:cs="Times New Roman"/>
        </w:rPr>
      </w:pPr>
      <w:r>
        <w:rPr>
          <w:rFonts w:hint="eastAsia" w:cs="Times New Roman"/>
        </w:rPr>
        <w:t>2</w:t>
      </w:r>
      <w:r>
        <w:rPr>
          <w:rFonts w:cs="Times New Roman"/>
        </w:rPr>
        <w:t>.《中华人民共和国水法》（2016</w:t>
      </w:r>
      <w:r>
        <w:rPr>
          <w:rFonts w:hint="eastAsia" w:cs="Times New Roman"/>
        </w:rPr>
        <w:t>年</w:t>
      </w:r>
      <w:r>
        <w:rPr>
          <w:rFonts w:cs="Times New Roman"/>
        </w:rPr>
        <w:t>）；</w:t>
      </w:r>
    </w:p>
    <w:p>
      <w:pPr>
        <w:pStyle w:val="16"/>
        <w:ind w:firstLine="560"/>
        <w:rPr>
          <w:rFonts w:cs="Times New Roman"/>
        </w:rPr>
      </w:pPr>
      <w:r>
        <w:rPr>
          <w:rFonts w:hint="eastAsia" w:cs="Times New Roman"/>
        </w:rPr>
        <w:t>3</w:t>
      </w:r>
      <w:r>
        <w:rPr>
          <w:rFonts w:cs="Times New Roman"/>
        </w:rPr>
        <w:t>.《中华人民共和国水污染防治法》（</w:t>
      </w:r>
      <w:r>
        <w:rPr>
          <w:rFonts w:hint="eastAsia" w:cs="Times New Roman"/>
        </w:rPr>
        <w:t>2017年</w:t>
      </w:r>
      <w:r>
        <w:rPr>
          <w:rFonts w:cs="Times New Roman"/>
        </w:rPr>
        <w:t>）；</w:t>
      </w:r>
    </w:p>
    <w:p>
      <w:pPr>
        <w:pStyle w:val="16"/>
        <w:ind w:firstLine="560"/>
        <w:rPr>
          <w:rFonts w:cs="Times New Roman"/>
        </w:rPr>
      </w:pPr>
      <w:r>
        <w:rPr>
          <w:rFonts w:hint="eastAsia" w:cs="Times New Roman"/>
        </w:rPr>
        <w:t>4.</w:t>
      </w:r>
      <w:r>
        <w:rPr>
          <w:rFonts w:cs="Times New Roman"/>
        </w:rPr>
        <w:t xml:space="preserve"> 《</w:t>
      </w:r>
      <w:r>
        <w:rPr>
          <w:rFonts w:hint="eastAsia" w:cs="Times New Roman"/>
        </w:rPr>
        <w:t>安徽省实施&lt;</w:t>
      </w:r>
      <w:r>
        <w:rPr>
          <w:rFonts w:cs="Times New Roman"/>
        </w:rPr>
        <w:t>中华人民共和国水法</w:t>
      </w:r>
      <w:r>
        <w:rPr>
          <w:rFonts w:hint="eastAsia" w:cs="Times New Roman"/>
        </w:rPr>
        <w:t>&gt;办法</w:t>
      </w:r>
      <w:r>
        <w:rPr>
          <w:rFonts w:cs="Times New Roman"/>
        </w:rPr>
        <w:t>》（2018</w:t>
      </w:r>
      <w:r>
        <w:rPr>
          <w:rFonts w:hint="eastAsia" w:cs="Times New Roman"/>
        </w:rPr>
        <w:t>年</w:t>
      </w:r>
      <w:r>
        <w:rPr>
          <w:rFonts w:cs="Times New Roman"/>
        </w:rPr>
        <w:t>）；</w:t>
      </w:r>
    </w:p>
    <w:p>
      <w:pPr>
        <w:pStyle w:val="16"/>
        <w:ind w:firstLine="560"/>
        <w:rPr>
          <w:rFonts w:cs="Times New Roman"/>
        </w:rPr>
      </w:pPr>
      <w:r>
        <w:rPr>
          <w:rFonts w:hint="eastAsia" w:cs="Times New Roman"/>
        </w:rPr>
        <w:t>5</w:t>
      </w:r>
      <w:r>
        <w:rPr>
          <w:rFonts w:cs="Times New Roman"/>
        </w:rPr>
        <w:t>.《国务院关于实行最严格水资源管理制度的意见》（国发【2012】3 号）；</w:t>
      </w:r>
    </w:p>
    <w:p>
      <w:pPr>
        <w:pStyle w:val="16"/>
        <w:ind w:firstLine="560"/>
        <w:rPr>
          <w:rFonts w:cs="Times New Roman"/>
        </w:rPr>
      </w:pPr>
      <w:r>
        <w:rPr>
          <w:rFonts w:hint="eastAsia" w:cs="Times New Roman"/>
        </w:rPr>
        <w:t>6</w:t>
      </w:r>
      <w:r>
        <w:rPr>
          <w:rFonts w:cs="Times New Roman"/>
        </w:rPr>
        <w:t>.《国务院办公厅关于开展资源节约活动的通知》（2004 年4月1日国办发【2004】30 号）；</w:t>
      </w:r>
    </w:p>
    <w:p>
      <w:pPr>
        <w:pStyle w:val="16"/>
        <w:ind w:firstLine="560"/>
        <w:rPr>
          <w:rFonts w:cs="Times New Roman"/>
        </w:rPr>
      </w:pPr>
      <w:r>
        <w:rPr>
          <w:rFonts w:hint="eastAsia" w:cs="Times New Roman"/>
        </w:rPr>
        <w:t>7</w:t>
      </w:r>
      <w:r>
        <w:rPr>
          <w:rFonts w:cs="Times New Roman"/>
        </w:rPr>
        <w:t>.《国务院办公厅关于推进水价改革促进节约用水保护水资源的通知》（2004 年4月19日国办发【2004】36号）；</w:t>
      </w:r>
    </w:p>
    <w:p>
      <w:pPr>
        <w:pStyle w:val="16"/>
        <w:ind w:firstLine="560"/>
        <w:rPr>
          <w:rFonts w:cs="Times New Roman"/>
        </w:rPr>
      </w:pPr>
      <w:r>
        <w:rPr>
          <w:rFonts w:hint="eastAsia" w:cs="Times New Roman"/>
        </w:rPr>
        <w:t>8.</w:t>
      </w:r>
      <w:r>
        <w:rPr>
          <w:rFonts w:cs="Times New Roman"/>
        </w:rPr>
        <w:t>《中国节水技术政策大纲》（2005 年4月20日国家发展改革委、科技部、水利部、建设部、农业部2005年第17号）；</w:t>
      </w:r>
    </w:p>
    <w:p>
      <w:pPr>
        <w:pStyle w:val="16"/>
        <w:ind w:firstLine="560"/>
        <w:rPr>
          <w:rFonts w:cs="Times New Roman"/>
          <w:spacing w:val="10"/>
        </w:rPr>
      </w:pPr>
      <w:r>
        <w:rPr>
          <w:rFonts w:hint="eastAsia" w:cs="Times New Roman"/>
        </w:rPr>
        <w:t>9</w:t>
      </w:r>
      <w:r>
        <w:rPr>
          <w:rFonts w:cs="Times New Roman"/>
        </w:rPr>
        <w:t>.</w:t>
      </w:r>
      <w:r>
        <w:rPr>
          <w:rFonts w:hint="eastAsia" w:cs="Times New Roman"/>
        </w:rPr>
        <w:t>《住房城乡建设部  国家发展改革委关于印发&lt;国家节水型城市申报与考核办法&gt;和&lt;国家节水型城市考核标准&gt;的通知》（建城[2018]25号）</w:t>
      </w:r>
      <w:r>
        <w:rPr>
          <w:rFonts w:cs="Times New Roman"/>
        </w:rPr>
        <w:t>；</w:t>
      </w:r>
    </w:p>
    <w:p>
      <w:pPr>
        <w:pStyle w:val="16"/>
        <w:ind w:firstLine="560"/>
        <w:rPr>
          <w:rFonts w:cs="Times New Roman"/>
        </w:rPr>
      </w:pPr>
      <w:r>
        <w:rPr>
          <w:rFonts w:hint="eastAsia" w:cs="Times New Roman"/>
        </w:rPr>
        <w:t>10</w:t>
      </w:r>
      <w:r>
        <w:rPr>
          <w:rFonts w:cs="Times New Roman"/>
        </w:rPr>
        <w:t>.《</w:t>
      </w:r>
      <w:r>
        <w:rPr>
          <w:rFonts w:hint="eastAsia" w:cs="Times New Roman"/>
        </w:rPr>
        <w:t>住房城乡建设部、</w:t>
      </w:r>
      <w:r>
        <w:rPr>
          <w:rFonts w:cs="Times New Roman"/>
        </w:rPr>
        <w:t>国家发展改革委关于进一步加强城市节水工作的通知》</w:t>
      </w:r>
      <w:r>
        <w:rPr>
          <w:rFonts w:hint="eastAsia" w:cs="Times New Roman"/>
        </w:rPr>
        <w:t>（</w:t>
      </w:r>
      <w:r>
        <w:rPr>
          <w:rFonts w:cs="Times New Roman"/>
        </w:rPr>
        <w:t>建城[2014]114号</w:t>
      </w:r>
      <w:r>
        <w:rPr>
          <w:rFonts w:hint="eastAsia" w:cs="Times New Roman"/>
        </w:rPr>
        <w:t>）</w:t>
      </w:r>
      <w:r>
        <w:rPr>
          <w:rFonts w:cs="Times New Roman"/>
        </w:rPr>
        <w:t>；</w:t>
      </w:r>
    </w:p>
    <w:p>
      <w:pPr>
        <w:pStyle w:val="16"/>
        <w:ind w:firstLine="560"/>
        <w:rPr>
          <w:rFonts w:cs="Times New Roman"/>
        </w:rPr>
      </w:pPr>
      <w:r>
        <w:rPr>
          <w:rFonts w:hint="eastAsia" w:cs="Times New Roman"/>
        </w:rPr>
        <w:t>11</w:t>
      </w:r>
      <w:r>
        <w:rPr>
          <w:rFonts w:cs="Times New Roman"/>
        </w:rPr>
        <w:t>.水利部、国家机关事务管理局、全国节约用水办公室《关于开展公共机构节水型单位建设工作的通知》（水资源〔2013〕389 号）；</w:t>
      </w:r>
    </w:p>
    <w:p>
      <w:pPr>
        <w:pStyle w:val="16"/>
        <w:ind w:firstLine="560"/>
        <w:rPr>
          <w:rFonts w:cs="Times New Roman"/>
        </w:rPr>
      </w:pPr>
      <w:r>
        <w:rPr>
          <w:rFonts w:cs="Times New Roman"/>
        </w:rPr>
        <w:t>1</w:t>
      </w:r>
      <w:r>
        <w:rPr>
          <w:rFonts w:hint="eastAsia" w:cs="Times New Roman"/>
        </w:rPr>
        <w:t>2</w:t>
      </w:r>
      <w:r>
        <w:rPr>
          <w:rFonts w:cs="Times New Roman"/>
        </w:rPr>
        <w:t>.《关于加强工业节水工作的意见》（国家经贸委、水利部、建设部、科学技术部、国家环保总局、国家税务总局 2000 年10月25日国经贸资源【2000】1015号）；</w:t>
      </w:r>
    </w:p>
    <w:p>
      <w:pPr>
        <w:pStyle w:val="16"/>
        <w:ind w:firstLine="560"/>
        <w:rPr>
          <w:rFonts w:cs="Times New Roman"/>
        </w:rPr>
      </w:pPr>
      <w:r>
        <w:rPr>
          <w:rFonts w:cs="Times New Roman"/>
        </w:rPr>
        <w:t>1</w:t>
      </w:r>
      <w:r>
        <w:rPr>
          <w:rFonts w:hint="eastAsia" w:cs="Times New Roman"/>
        </w:rPr>
        <w:t>3</w:t>
      </w:r>
      <w:r>
        <w:rPr>
          <w:rFonts w:cs="Times New Roman"/>
        </w:rPr>
        <w:t>.《关于进一步推进城市供水价格改革工作的通知》（国家发展计划委员会、财政部、建设部、水利部、国家环境保护总局2002年4月1日计价格【2002】515号）；</w:t>
      </w:r>
    </w:p>
    <w:p>
      <w:pPr>
        <w:pStyle w:val="16"/>
        <w:ind w:firstLine="560"/>
        <w:rPr>
          <w:rFonts w:cs="Times New Roman"/>
        </w:rPr>
      </w:pPr>
      <w:r>
        <w:rPr>
          <w:rFonts w:cs="Times New Roman"/>
        </w:rPr>
        <w:t>1</w:t>
      </w:r>
      <w:r>
        <w:rPr>
          <w:rFonts w:hint="eastAsia" w:cs="Times New Roman"/>
        </w:rPr>
        <w:t>4</w:t>
      </w:r>
      <w:r>
        <w:rPr>
          <w:rFonts w:cs="Times New Roman"/>
        </w:rPr>
        <w:t>.《关于进一步加强城市节约用水和保证供水安全工作的通知》（建设部 2003年8月22日建城【2003】171 号）；</w:t>
      </w:r>
    </w:p>
    <w:p>
      <w:pPr>
        <w:pStyle w:val="16"/>
        <w:ind w:firstLine="560"/>
        <w:rPr>
          <w:rFonts w:cs="Times New Roman"/>
        </w:rPr>
      </w:pPr>
      <w:r>
        <w:rPr>
          <w:rFonts w:cs="Times New Roman"/>
        </w:rPr>
        <w:t>1</w:t>
      </w:r>
      <w:r>
        <w:rPr>
          <w:rFonts w:hint="eastAsia" w:cs="Times New Roman"/>
        </w:rPr>
        <w:t>5</w:t>
      </w:r>
      <w:r>
        <w:rPr>
          <w:rFonts w:cs="Times New Roman"/>
        </w:rPr>
        <w:t>.《关于加快城市供水管网改造的意见》（建设部、国家发展和改革委员会、财政部2003年9月14日建城【2003】188 号）；</w:t>
      </w:r>
    </w:p>
    <w:p>
      <w:pPr>
        <w:pStyle w:val="16"/>
        <w:ind w:firstLine="560"/>
        <w:rPr>
          <w:rFonts w:cs="Times New Roman"/>
        </w:rPr>
      </w:pPr>
      <w:r>
        <w:rPr>
          <w:rFonts w:cs="Times New Roman"/>
        </w:rPr>
        <w:t>1</w:t>
      </w:r>
      <w:r>
        <w:rPr>
          <w:rFonts w:hint="eastAsia" w:cs="Times New Roman"/>
        </w:rPr>
        <w:t>6</w:t>
      </w:r>
      <w:r>
        <w:rPr>
          <w:rFonts w:cs="Times New Roman"/>
        </w:rPr>
        <w:t>.《住房城乡建设部、国家发展改革委关于印发城镇节水工作指南的通知》（建城函【2016】251 号）；</w:t>
      </w:r>
    </w:p>
    <w:p>
      <w:pPr>
        <w:pStyle w:val="16"/>
        <w:ind w:firstLine="560"/>
        <w:rPr>
          <w:rFonts w:cs="Times New Roman"/>
        </w:rPr>
      </w:pPr>
      <w:r>
        <w:rPr>
          <w:rFonts w:cs="Times New Roman"/>
        </w:rPr>
        <w:t>1</w:t>
      </w:r>
      <w:r>
        <w:rPr>
          <w:rFonts w:hint="eastAsia" w:cs="Times New Roman"/>
        </w:rPr>
        <w:t>7</w:t>
      </w:r>
      <w:r>
        <w:rPr>
          <w:rFonts w:cs="Times New Roman"/>
        </w:rPr>
        <w:t>.《 住房城乡建设部关于印发海绵城市建设技术指南— 低影响开发雨水系统构建（试行）的通知》；</w:t>
      </w:r>
    </w:p>
    <w:p>
      <w:pPr>
        <w:pStyle w:val="16"/>
        <w:ind w:firstLine="560"/>
        <w:rPr>
          <w:rFonts w:cs="Times New Roman"/>
        </w:rPr>
      </w:pPr>
      <w:r>
        <w:rPr>
          <w:rFonts w:cs="Times New Roman"/>
        </w:rPr>
        <w:t>1</w:t>
      </w:r>
      <w:r>
        <w:rPr>
          <w:rFonts w:hint="eastAsia" w:cs="Times New Roman"/>
        </w:rPr>
        <w:t>8</w:t>
      </w:r>
      <w:r>
        <w:rPr>
          <w:rFonts w:cs="Times New Roman"/>
        </w:rPr>
        <w:t>.《安徽省城市节约用水管理办法》（2010年12月23日修正版）；</w:t>
      </w:r>
    </w:p>
    <w:p>
      <w:pPr>
        <w:pStyle w:val="16"/>
        <w:ind w:firstLine="560"/>
        <w:rPr>
          <w:rFonts w:cs="Times New Roman"/>
        </w:rPr>
      </w:pPr>
      <w:r>
        <w:rPr>
          <w:rFonts w:cs="Times New Roman"/>
        </w:rPr>
        <w:t>1</w:t>
      </w:r>
      <w:r>
        <w:rPr>
          <w:rFonts w:hint="eastAsia" w:cs="Times New Roman"/>
        </w:rPr>
        <w:t>9</w:t>
      </w:r>
      <w:r>
        <w:rPr>
          <w:rFonts w:cs="Times New Roman"/>
        </w:rPr>
        <w:t>.《安徽省节约用水条例》（2015年10月1日起施行）；</w:t>
      </w:r>
    </w:p>
    <w:p>
      <w:pPr>
        <w:pStyle w:val="16"/>
        <w:ind w:firstLine="560"/>
        <w:rPr>
          <w:rFonts w:cs="Times New Roman"/>
        </w:rPr>
      </w:pPr>
      <w:r>
        <w:rPr>
          <w:rFonts w:hint="eastAsia" w:cs="Times New Roman"/>
        </w:rPr>
        <w:t>20</w:t>
      </w:r>
      <w:r>
        <w:rPr>
          <w:rFonts w:cs="Times New Roman"/>
        </w:rPr>
        <w:t>.《安徽省饮用水水源环境保护条例》（2016年12月1日起施行）；</w:t>
      </w:r>
    </w:p>
    <w:p>
      <w:pPr>
        <w:pStyle w:val="16"/>
        <w:ind w:firstLine="560"/>
        <w:rPr>
          <w:rFonts w:cs="Times New Roman"/>
        </w:rPr>
      </w:pPr>
      <w:r>
        <w:rPr>
          <w:rFonts w:cs="Times New Roman"/>
        </w:rPr>
        <w:t>2</w:t>
      </w:r>
      <w:r>
        <w:rPr>
          <w:rFonts w:hint="eastAsia" w:cs="Times New Roman"/>
        </w:rPr>
        <w:t>1</w:t>
      </w:r>
      <w:r>
        <w:rPr>
          <w:rFonts w:cs="Times New Roman"/>
        </w:rPr>
        <w:t>.《安徽省人民政府关于实行最严格水资源管理制度的意见》皖政[2013]15 号；</w:t>
      </w:r>
    </w:p>
    <w:p>
      <w:pPr>
        <w:pStyle w:val="16"/>
        <w:ind w:firstLine="560"/>
        <w:rPr>
          <w:rFonts w:cs="Times New Roman"/>
        </w:rPr>
      </w:pPr>
      <w:r>
        <w:rPr>
          <w:rFonts w:cs="Times New Roman"/>
        </w:rPr>
        <w:t>2</w:t>
      </w:r>
      <w:r>
        <w:rPr>
          <w:rFonts w:hint="eastAsia" w:cs="Times New Roman"/>
        </w:rPr>
        <w:t>2</w:t>
      </w:r>
      <w:r>
        <w:rPr>
          <w:rFonts w:cs="Times New Roman"/>
        </w:rPr>
        <w:t>.《安徽省水功能区划》（安徽省水利厅、安徽省环保厅2004年3月）；</w:t>
      </w:r>
    </w:p>
    <w:p>
      <w:pPr>
        <w:pStyle w:val="16"/>
        <w:ind w:firstLine="560"/>
        <w:rPr>
          <w:rFonts w:cs="Times New Roman"/>
        </w:rPr>
      </w:pPr>
      <w:r>
        <w:rPr>
          <w:rFonts w:cs="Times New Roman"/>
        </w:rPr>
        <w:t>2</w:t>
      </w:r>
      <w:r>
        <w:rPr>
          <w:rFonts w:hint="eastAsia" w:cs="Times New Roman"/>
        </w:rPr>
        <w:t>3</w:t>
      </w:r>
      <w:r>
        <w:rPr>
          <w:rFonts w:cs="Times New Roman"/>
        </w:rPr>
        <w:t>.《安徽省国民经济和社会发展“十三五”规划纲要》；</w:t>
      </w:r>
    </w:p>
    <w:p>
      <w:pPr>
        <w:pStyle w:val="16"/>
        <w:ind w:firstLine="560"/>
        <w:rPr>
          <w:rFonts w:cs="Times New Roman"/>
        </w:rPr>
      </w:pPr>
      <w:r>
        <w:rPr>
          <w:rFonts w:cs="Times New Roman"/>
        </w:rPr>
        <w:t>2</w:t>
      </w:r>
      <w:r>
        <w:rPr>
          <w:rFonts w:hint="eastAsia" w:cs="Times New Roman"/>
        </w:rPr>
        <w:t>4</w:t>
      </w:r>
      <w:r>
        <w:rPr>
          <w:rFonts w:cs="Times New Roman"/>
        </w:rPr>
        <w:t>. 《“十三五”全国城镇污水处理及再生利用设施建设规划》</w:t>
      </w:r>
    </w:p>
    <w:p>
      <w:pPr>
        <w:pStyle w:val="16"/>
        <w:ind w:firstLine="560"/>
        <w:rPr>
          <w:rFonts w:cs="Times New Roman"/>
        </w:rPr>
      </w:pPr>
      <w:r>
        <w:rPr>
          <w:rFonts w:cs="Times New Roman"/>
        </w:rPr>
        <w:t>2</w:t>
      </w:r>
      <w:r>
        <w:rPr>
          <w:rFonts w:hint="eastAsia" w:cs="Times New Roman"/>
        </w:rPr>
        <w:t>5</w:t>
      </w:r>
      <w:r>
        <w:rPr>
          <w:rFonts w:cs="Times New Roman"/>
        </w:rPr>
        <w:t>. 《节水型社会建设“十三五”规划》；</w:t>
      </w:r>
    </w:p>
    <w:p>
      <w:pPr>
        <w:pStyle w:val="16"/>
        <w:ind w:firstLine="560"/>
        <w:rPr>
          <w:rFonts w:cs="Times New Roman"/>
        </w:rPr>
      </w:pPr>
      <w:r>
        <w:rPr>
          <w:rFonts w:cs="Times New Roman"/>
        </w:rPr>
        <w:t>2</w:t>
      </w:r>
      <w:r>
        <w:rPr>
          <w:rFonts w:hint="eastAsia" w:cs="Times New Roman"/>
        </w:rPr>
        <w:t>6</w:t>
      </w:r>
      <w:r>
        <w:rPr>
          <w:rFonts w:cs="Times New Roman"/>
        </w:rPr>
        <w:t>.《安徽省城镇污水处理及再生利用设施建设“十三五”规划》</w:t>
      </w:r>
    </w:p>
    <w:p>
      <w:pPr>
        <w:pStyle w:val="16"/>
        <w:ind w:firstLine="560"/>
        <w:rPr>
          <w:rFonts w:cs="Times New Roman"/>
        </w:rPr>
      </w:pPr>
      <w:r>
        <w:rPr>
          <w:rFonts w:cs="Times New Roman"/>
        </w:rPr>
        <w:t>2</w:t>
      </w:r>
      <w:r>
        <w:rPr>
          <w:rFonts w:hint="eastAsia" w:cs="Times New Roman"/>
        </w:rPr>
        <w:t>7</w:t>
      </w:r>
      <w:r>
        <w:rPr>
          <w:rFonts w:cs="Times New Roman"/>
        </w:rPr>
        <w:t>.《安徽省“十三五”生态保护与建设规划》；</w:t>
      </w:r>
    </w:p>
    <w:p>
      <w:pPr>
        <w:pStyle w:val="16"/>
        <w:ind w:firstLine="560"/>
        <w:rPr>
          <w:rFonts w:cs="Times New Roman"/>
        </w:rPr>
      </w:pPr>
      <w:r>
        <w:rPr>
          <w:rFonts w:cs="Times New Roman"/>
        </w:rPr>
        <w:t>2</w:t>
      </w:r>
      <w:r>
        <w:rPr>
          <w:rFonts w:hint="eastAsia" w:cs="Times New Roman"/>
        </w:rPr>
        <w:t>8</w:t>
      </w:r>
      <w:r>
        <w:rPr>
          <w:rFonts w:cs="Times New Roman"/>
        </w:rPr>
        <w:t>.《中国城市建设统计年鉴（201</w:t>
      </w:r>
      <w:r>
        <w:rPr>
          <w:rFonts w:hint="eastAsia" w:cs="Times New Roman"/>
        </w:rPr>
        <w:t>3</w:t>
      </w:r>
      <w:r>
        <w:rPr>
          <w:rFonts w:cs="Times New Roman"/>
        </w:rPr>
        <w:t>~201</w:t>
      </w:r>
      <w:r>
        <w:rPr>
          <w:rFonts w:hint="eastAsia" w:cs="Times New Roman"/>
        </w:rPr>
        <w:t>6</w:t>
      </w:r>
      <w:r>
        <w:rPr>
          <w:rFonts w:cs="Times New Roman"/>
        </w:rPr>
        <w:t>年）》；</w:t>
      </w:r>
    </w:p>
    <w:p>
      <w:pPr>
        <w:pStyle w:val="16"/>
        <w:ind w:firstLine="560"/>
        <w:rPr>
          <w:rFonts w:cs="Times New Roman"/>
        </w:rPr>
      </w:pPr>
      <w:r>
        <w:rPr>
          <w:rFonts w:cs="Times New Roman"/>
        </w:rPr>
        <w:t>2</w:t>
      </w:r>
      <w:r>
        <w:rPr>
          <w:rFonts w:hint="eastAsia" w:cs="Times New Roman"/>
        </w:rPr>
        <w:t>9</w:t>
      </w:r>
      <w:r>
        <w:rPr>
          <w:rFonts w:cs="Times New Roman"/>
        </w:rPr>
        <w:t>.《</w:t>
      </w:r>
      <w:r>
        <w:rPr>
          <w:rFonts w:hint="eastAsia" w:cs="Times New Roman"/>
        </w:rPr>
        <w:t>淮北市</w:t>
      </w:r>
      <w:r>
        <w:rPr>
          <w:rFonts w:cs="Times New Roman"/>
        </w:rPr>
        <w:t>统计年鉴（201</w:t>
      </w:r>
      <w:r>
        <w:rPr>
          <w:rFonts w:hint="eastAsia" w:cs="Times New Roman"/>
        </w:rPr>
        <w:t>3</w:t>
      </w:r>
      <w:r>
        <w:rPr>
          <w:rFonts w:cs="Times New Roman"/>
        </w:rPr>
        <w:t>~201</w:t>
      </w:r>
      <w:r>
        <w:rPr>
          <w:rFonts w:hint="eastAsia" w:cs="Times New Roman"/>
        </w:rPr>
        <w:t>7</w:t>
      </w:r>
      <w:r>
        <w:rPr>
          <w:rFonts w:cs="Times New Roman"/>
        </w:rPr>
        <w:t>年）》；</w:t>
      </w:r>
    </w:p>
    <w:p>
      <w:pPr>
        <w:pStyle w:val="16"/>
        <w:ind w:firstLine="560"/>
        <w:rPr>
          <w:rFonts w:cs="Times New Roman"/>
        </w:rPr>
      </w:pPr>
      <w:r>
        <w:rPr>
          <w:rFonts w:hint="eastAsia" w:cs="Times New Roman"/>
        </w:rPr>
        <w:t>30</w:t>
      </w:r>
      <w:r>
        <w:rPr>
          <w:rFonts w:cs="Times New Roman"/>
        </w:rPr>
        <w:t>. 《淮北市排水</w:t>
      </w:r>
      <w:r>
        <w:rPr>
          <w:rFonts w:hint="eastAsia" w:cs="Times New Roman"/>
        </w:rPr>
        <w:t>专项</w:t>
      </w:r>
      <w:r>
        <w:rPr>
          <w:rFonts w:cs="Times New Roman"/>
        </w:rPr>
        <w:t>规划》（20</w:t>
      </w:r>
      <w:r>
        <w:rPr>
          <w:rFonts w:hint="eastAsia" w:cs="Times New Roman"/>
        </w:rPr>
        <w:t>12</w:t>
      </w:r>
      <w:r>
        <w:rPr>
          <w:rFonts w:cs="Times New Roman"/>
        </w:rPr>
        <w:t>-20</w:t>
      </w:r>
      <w:r>
        <w:rPr>
          <w:rFonts w:hint="eastAsia" w:cs="Times New Roman"/>
        </w:rPr>
        <w:t>2</w:t>
      </w:r>
      <w:r>
        <w:rPr>
          <w:rFonts w:cs="Times New Roman"/>
        </w:rPr>
        <w:t>0）</w:t>
      </w:r>
      <w:r>
        <w:rPr>
          <w:rFonts w:hint="eastAsia" w:cs="Times New Roman"/>
        </w:rPr>
        <w:t>；</w:t>
      </w:r>
    </w:p>
    <w:p>
      <w:pPr>
        <w:pStyle w:val="16"/>
        <w:ind w:firstLine="560"/>
        <w:rPr>
          <w:rFonts w:cs="Times New Roman"/>
        </w:rPr>
      </w:pPr>
      <w:r>
        <w:rPr>
          <w:rFonts w:cs="Times New Roman"/>
        </w:rPr>
        <w:t>3</w:t>
      </w:r>
      <w:r>
        <w:rPr>
          <w:rFonts w:hint="eastAsia" w:cs="Times New Roman"/>
        </w:rPr>
        <w:t>1</w:t>
      </w:r>
      <w:r>
        <w:rPr>
          <w:rFonts w:cs="Times New Roman"/>
        </w:rPr>
        <w:t>.《淮北市城</w:t>
      </w:r>
      <w:r>
        <w:rPr>
          <w:rFonts w:hint="eastAsia" w:cs="Times New Roman"/>
        </w:rPr>
        <w:t>区供水</w:t>
      </w:r>
      <w:r>
        <w:rPr>
          <w:rFonts w:cs="Times New Roman"/>
        </w:rPr>
        <w:t>专</w:t>
      </w:r>
      <w:r>
        <w:rPr>
          <w:rFonts w:hint="eastAsia" w:cs="Times New Roman"/>
        </w:rPr>
        <w:t>项</w:t>
      </w:r>
      <w:r>
        <w:rPr>
          <w:rFonts w:cs="Times New Roman"/>
        </w:rPr>
        <w:t>规划》（201</w:t>
      </w:r>
      <w:r>
        <w:rPr>
          <w:rFonts w:hint="eastAsia" w:cs="Times New Roman"/>
        </w:rPr>
        <w:t>1</w:t>
      </w:r>
      <w:r>
        <w:rPr>
          <w:rFonts w:cs="Times New Roman"/>
        </w:rPr>
        <w:t>-20</w:t>
      </w:r>
      <w:r>
        <w:rPr>
          <w:rFonts w:hint="eastAsia" w:cs="Times New Roman"/>
        </w:rPr>
        <w:t>2</w:t>
      </w:r>
      <w:r>
        <w:rPr>
          <w:rFonts w:cs="Times New Roman"/>
        </w:rPr>
        <w:t>0）</w:t>
      </w:r>
      <w:r>
        <w:rPr>
          <w:rFonts w:hint="eastAsia" w:cs="Times New Roman"/>
        </w:rPr>
        <w:t>；</w:t>
      </w:r>
    </w:p>
    <w:p>
      <w:pPr>
        <w:pStyle w:val="16"/>
        <w:ind w:firstLine="560"/>
        <w:rPr>
          <w:rFonts w:cs="Times New Roman"/>
        </w:rPr>
      </w:pPr>
      <w:r>
        <w:rPr>
          <w:rFonts w:cs="Times New Roman"/>
        </w:rPr>
        <w:t>3</w:t>
      </w:r>
      <w:r>
        <w:rPr>
          <w:rFonts w:hint="eastAsia" w:cs="Times New Roman"/>
        </w:rPr>
        <w:t>2</w:t>
      </w:r>
      <w:r>
        <w:rPr>
          <w:rFonts w:cs="Times New Roman"/>
        </w:rPr>
        <w:t>. 《淮北市排水防涝综合规划》（2013~20</w:t>
      </w:r>
      <w:r>
        <w:rPr>
          <w:rFonts w:hint="eastAsia" w:cs="Times New Roman"/>
        </w:rPr>
        <w:t>2</w:t>
      </w:r>
      <w:r>
        <w:rPr>
          <w:rFonts w:cs="Times New Roman"/>
        </w:rPr>
        <w:t>0）；</w:t>
      </w:r>
    </w:p>
    <w:p>
      <w:pPr>
        <w:pStyle w:val="16"/>
        <w:ind w:firstLine="560"/>
        <w:rPr>
          <w:rFonts w:cs="Times New Roman"/>
        </w:rPr>
      </w:pPr>
      <w:r>
        <w:rPr>
          <w:rFonts w:cs="Times New Roman"/>
        </w:rPr>
        <w:t>3</w:t>
      </w:r>
      <w:r>
        <w:rPr>
          <w:rFonts w:hint="eastAsia" w:cs="Times New Roman"/>
        </w:rPr>
        <w:t>3</w:t>
      </w:r>
      <w:r>
        <w:rPr>
          <w:rFonts w:cs="Times New Roman"/>
        </w:rPr>
        <w:t>. 《淮北市城市绿地系统规划</w:t>
      </w:r>
      <w:r>
        <w:rPr>
          <w:rFonts w:hint="eastAsia" w:cs="Times New Roman"/>
        </w:rPr>
        <w:t>修编</w:t>
      </w:r>
      <w:r>
        <w:rPr>
          <w:rFonts w:cs="Times New Roman"/>
        </w:rPr>
        <w:t>》（20</w:t>
      </w:r>
      <w:r>
        <w:rPr>
          <w:rFonts w:hint="eastAsia" w:cs="Times New Roman"/>
        </w:rPr>
        <w:t>12</w:t>
      </w:r>
      <w:r>
        <w:rPr>
          <w:rFonts w:cs="Times New Roman"/>
        </w:rPr>
        <w:t>~20</w:t>
      </w:r>
      <w:r>
        <w:rPr>
          <w:rFonts w:hint="eastAsia" w:cs="Times New Roman"/>
        </w:rPr>
        <w:t>2</w:t>
      </w:r>
      <w:r>
        <w:rPr>
          <w:rFonts w:cs="Times New Roman"/>
        </w:rPr>
        <w:t>0）；</w:t>
      </w:r>
    </w:p>
    <w:p>
      <w:pPr>
        <w:pStyle w:val="16"/>
        <w:ind w:firstLine="560"/>
        <w:rPr>
          <w:rFonts w:cs="Times New Roman"/>
        </w:rPr>
      </w:pPr>
      <w:r>
        <w:rPr>
          <w:rFonts w:hint="eastAsia" w:cs="Times New Roman"/>
        </w:rPr>
        <w:t>34.</w:t>
      </w:r>
      <w:r>
        <w:rPr>
          <w:rFonts w:cs="Times New Roman"/>
        </w:rPr>
        <w:t xml:space="preserve"> 《淮北市</w:t>
      </w:r>
      <w:r>
        <w:rPr>
          <w:rFonts w:hint="eastAsia" w:cs="Times New Roman"/>
        </w:rPr>
        <w:t>海绵城市专项规划</w:t>
      </w:r>
      <w:r>
        <w:rPr>
          <w:rFonts w:cs="Times New Roman"/>
        </w:rPr>
        <w:t>》（201</w:t>
      </w:r>
      <w:r>
        <w:rPr>
          <w:rFonts w:hint="eastAsia" w:cs="Times New Roman"/>
        </w:rPr>
        <w:t>6</w:t>
      </w:r>
      <w:r>
        <w:rPr>
          <w:rFonts w:cs="Times New Roman"/>
        </w:rPr>
        <w:t>~2035）</w:t>
      </w:r>
      <w:r>
        <w:rPr>
          <w:rFonts w:hint="eastAsia" w:cs="Times New Roman"/>
        </w:rPr>
        <w:t>；</w:t>
      </w:r>
    </w:p>
    <w:p>
      <w:pPr>
        <w:pStyle w:val="16"/>
        <w:ind w:firstLine="560"/>
        <w:rPr>
          <w:rFonts w:cs="Times New Roman"/>
        </w:rPr>
      </w:pPr>
      <w:r>
        <w:rPr>
          <w:rFonts w:hint="eastAsia" w:cs="Times New Roman"/>
        </w:rPr>
        <w:t>35.</w:t>
      </w:r>
      <w:r>
        <w:rPr>
          <w:rFonts w:cs="Times New Roman"/>
        </w:rPr>
        <w:t xml:space="preserve"> 《淮北市</w:t>
      </w:r>
      <w:r>
        <w:rPr>
          <w:rFonts w:hint="eastAsia" w:cs="Times New Roman"/>
        </w:rPr>
        <w:t>水资源综合规划</w:t>
      </w:r>
      <w:r>
        <w:rPr>
          <w:rFonts w:cs="Times New Roman"/>
        </w:rPr>
        <w:t>》（20</w:t>
      </w:r>
      <w:r>
        <w:rPr>
          <w:rFonts w:hint="eastAsia" w:cs="Times New Roman"/>
        </w:rPr>
        <w:t>04</w:t>
      </w:r>
      <w:r>
        <w:rPr>
          <w:rFonts w:cs="Times New Roman"/>
        </w:rPr>
        <w:t>~20</w:t>
      </w:r>
      <w:r>
        <w:rPr>
          <w:rFonts w:hint="eastAsia" w:cs="Times New Roman"/>
        </w:rPr>
        <w:t>20</w:t>
      </w:r>
      <w:r>
        <w:rPr>
          <w:rFonts w:cs="Times New Roman"/>
        </w:rPr>
        <w:t>）</w:t>
      </w:r>
      <w:r>
        <w:rPr>
          <w:rFonts w:hint="eastAsia" w:cs="Times New Roman"/>
        </w:rPr>
        <w:t>；</w:t>
      </w:r>
    </w:p>
    <w:p>
      <w:pPr>
        <w:pStyle w:val="16"/>
        <w:ind w:firstLine="560"/>
        <w:rPr>
          <w:rFonts w:cs="Times New Roman"/>
        </w:rPr>
      </w:pPr>
      <w:r>
        <w:rPr>
          <w:rFonts w:cs="Times New Roman"/>
        </w:rPr>
        <w:t>3</w:t>
      </w:r>
      <w:r>
        <w:rPr>
          <w:rFonts w:hint="eastAsia" w:cs="Times New Roman"/>
        </w:rPr>
        <w:t>6</w:t>
      </w:r>
      <w:r>
        <w:rPr>
          <w:rFonts w:cs="Times New Roman"/>
        </w:rPr>
        <w:t>. 《淮北市创建国家节水型城市实施方案》；</w:t>
      </w:r>
    </w:p>
    <w:p>
      <w:pPr>
        <w:pStyle w:val="16"/>
        <w:ind w:firstLine="560"/>
        <w:rPr>
          <w:rFonts w:cs="Times New Roman"/>
        </w:rPr>
      </w:pPr>
      <w:r>
        <w:rPr>
          <w:rFonts w:hint="eastAsia" w:cs="Times New Roman"/>
        </w:rPr>
        <w:t>37</w:t>
      </w:r>
      <w:r>
        <w:rPr>
          <w:rFonts w:cs="Times New Roman"/>
        </w:rPr>
        <w:t>. 淮北市其他节约用水相关法规、文件。</w:t>
      </w:r>
    </w:p>
    <w:p>
      <w:pPr>
        <w:pStyle w:val="4"/>
      </w:pPr>
      <w:bookmarkStart w:id="240" w:name="_Toc8032580"/>
      <w:r>
        <w:rPr>
          <w:rFonts w:hint="eastAsia"/>
        </w:rPr>
        <w:t>3</w:t>
      </w:r>
      <w:r>
        <w:t>.</w:t>
      </w:r>
      <w:r>
        <w:rPr>
          <w:rFonts w:hint="eastAsia"/>
        </w:rPr>
        <w:t>4</w:t>
      </w:r>
      <w:r>
        <w:t>.2</w:t>
      </w:r>
      <w:r>
        <w:rPr>
          <w:spacing w:val="35"/>
        </w:rPr>
        <w:t xml:space="preserve"> </w:t>
      </w:r>
      <w:r>
        <w:rPr>
          <w:spacing w:val="17"/>
        </w:rPr>
        <w:t>有关规范、技术标准、文件</w:t>
      </w:r>
      <w:bookmarkEnd w:id="240"/>
    </w:p>
    <w:p>
      <w:pPr>
        <w:pStyle w:val="16"/>
        <w:ind w:firstLine="560"/>
        <w:rPr>
          <w:rFonts w:cs="Times New Roman"/>
        </w:rPr>
      </w:pPr>
      <w:r>
        <w:rPr>
          <w:rFonts w:cs="Times New Roman"/>
        </w:rPr>
        <w:t>1.《取水定额》（GB/T18916.1~16）；</w:t>
      </w:r>
    </w:p>
    <w:p>
      <w:pPr>
        <w:pStyle w:val="16"/>
        <w:ind w:firstLine="560"/>
        <w:rPr>
          <w:rFonts w:cs="Times New Roman"/>
        </w:rPr>
      </w:pPr>
      <w:r>
        <w:rPr>
          <w:rFonts w:cs="Times New Roman"/>
        </w:rPr>
        <w:t>2.《城市居民生活用水量标准》（GB/T50331—2002）；</w:t>
      </w:r>
    </w:p>
    <w:p>
      <w:pPr>
        <w:pStyle w:val="16"/>
        <w:ind w:firstLine="560"/>
        <w:rPr>
          <w:rFonts w:cs="Times New Roman"/>
        </w:rPr>
      </w:pPr>
      <w:r>
        <w:rPr>
          <w:rFonts w:cs="Times New Roman"/>
        </w:rPr>
        <w:t>3.《建筑中水设计规范》（GB50336-2002）；</w:t>
      </w:r>
    </w:p>
    <w:p>
      <w:pPr>
        <w:pStyle w:val="16"/>
        <w:ind w:firstLine="560"/>
        <w:rPr>
          <w:rFonts w:cs="Times New Roman"/>
        </w:rPr>
      </w:pPr>
      <w:r>
        <w:rPr>
          <w:rFonts w:cs="Times New Roman"/>
        </w:rPr>
        <w:t>4.《民用建筑节水设计标准》（GB50555-2010）；</w:t>
      </w:r>
    </w:p>
    <w:p>
      <w:pPr>
        <w:pStyle w:val="16"/>
        <w:ind w:firstLine="560"/>
        <w:rPr>
          <w:rFonts w:cs="Times New Roman"/>
        </w:rPr>
      </w:pPr>
      <w:r>
        <w:rPr>
          <w:rFonts w:cs="Times New Roman"/>
        </w:rPr>
        <w:t>5.《建筑与小区雨水利用工程技术规范》（GB50400-2006）；</w:t>
      </w:r>
    </w:p>
    <w:p>
      <w:pPr>
        <w:pStyle w:val="16"/>
        <w:ind w:firstLine="560"/>
        <w:rPr>
          <w:rFonts w:cs="Times New Roman"/>
        </w:rPr>
      </w:pPr>
      <w:r>
        <w:rPr>
          <w:rFonts w:cs="Times New Roman"/>
        </w:rPr>
        <w:t>6.《海绵城市建设技术指南—低影响开发雨水系统构</w:t>
      </w:r>
      <w:r>
        <w:rPr>
          <w:rFonts w:hint="eastAsia" w:cs="Times New Roman"/>
        </w:rPr>
        <w:t>建</w:t>
      </w:r>
      <w:r>
        <w:rPr>
          <w:rFonts w:cs="Times New Roman"/>
        </w:rPr>
        <w:t>》（试</w:t>
      </w:r>
      <w:r>
        <w:rPr>
          <w:rFonts w:hint="eastAsia" w:cs="Times New Roman"/>
        </w:rPr>
        <w:t>行</w:t>
      </w:r>
      <w:r>
        <w:rPr>
          <w:rFonts w:cs="Times New Roman"/>
        </w:rPr>
        <w:t>）；</w:t>
      </w:r>
    </w:p>
    <w:p>
      <w:pPr>
        <w:pStyle w:val="16"/>
        <w:ind w:firstLine="560"/>
        <w:rPr>
          <w:rFonts w:cs="Times New Roman"/>
        </w:rPr>
      </w:pPr>
      <w:r>
        <w:rPr>
          <w:rFonts w:cs="Times New Roman"/>
        </w:rPr>
        <w:t>7.《污水再生利用工程设计规范》（GB50335-20</w:t>
      </w:r>
      <w:r>
        <w:rPr>
          <w:rFonts w:hint="eastAsia" w:cs="Times New Roman"/>
        </w:rPr>
        <w:t>16</w:t>
      </w:r>
      <w:r>
        <w:rPr>
          <w:rFonts w:cs="Times New Roman"/>
        </w:rPr>
        <w:t>）；</w:t>
      </w:r>
    </w:p>
    <w:p>
      <w:pPr>
        <w:pStyle w:val="16"/>
        <w:ind w:firstLine="560"/>
        <w:rPr>
          <w:rFonts w:cs="Times New Roman"/>
        </w:rPr>
      </w:pPr>
      <w:r>
        <w:rPr>
          <w:rFonts w:cs="Times New Roman"/>
        </w:rPr>
        <w:t>8.《城市污水再生利用城市杂用水水质》（GB/T 18920—2002）；</w:t>
      </w:r>
    </w:p>
    <w:p>
      <w:pPr>
        <w:pStyle w:val="16"/>
        <w:ind w:firstLine="560"/>
        <w:rPr>
          <w:rFonts w:cs="Times New Roman"/>
        </w:rPr>
      </w:pPr>
      <w:r>
        <w:rPr>
          <w:rFonts w:cs="Times New Roman"/>
        </w:rPr>
        <w:t>9.《城市污水再生利用景观环境用水水质》（GB/T 18921—2002）；</w:t>
      </w:r>
    </w:p>
    <w:p>
      <w:pPr>
        <w:pStyle w:val="16"/>
        <w:ind w:firstLine="560"/>
        <w:rPr>
          <w:rFonts w:cs="Times New Roman"/>
        </w:rPr>
      </w:pPr>
      <w:r>
        <w:rPr>
          <w:rFonts w:cs="Times New Roman"/>
        </w:rPr>
        <w:t>10. 《城市污水再生利用绿地灌溉水质》（GB/T 25499—2010）；</w:t>
      </w:r>
    </w:p>
    <w:p>
      <w:pPr>
        <w:pStyle w:val="16"/>
        <w:ind w:firstLine="560"/>
        <w:rPr>
          <w:rFonts w:cs="Times New Roman"/>
        </w:rPr>
      </w:pPr>
      <w:r>
        <w:rPr>
          <w:rFonts w:cs="Times New Roman"/>
        </w:rPr>
        <w:t>11. 《城市给水工程规划规范》（GB50282—</w:t>
      </w:r>
      <w:r>
        <w:rPr>
          <w:rFonts w:hint="eastAsia" w:cs="Times New Roman"/>
        </w:rPr>
        <w:t>2016</w:t>
      </w:r>
      <w:r>
        <w:rPr>
          <w:rFonts w:cs="Times New Roman"/>
        </w:rPr>
        <w:t>）；</w:t>
      </w:r>
    </w:p>
    <w:p>
      <w:pPr>
        <w:pStyle w:val="16"/>
        <w:ind w:firstLine="560"/>
        <w:rPr>
          <w:rFonts w:cs="Times New Roman"/>
        </w:rPr>
      </w:pPr>
      <w:r>
        <w:rPr>
          <w:rFonts w:cs="Times New Roman"/>
        </w:rPr>
        <w:t>12. 《室外给水设计规范》（GB50013—2006）；</w:t>
      </w:r>
    </w:p>
    <w:p>
      <w:pPr>
        <w:pStyle w:val="16"/>
        <w:ind w:firstLine="560"/>
        <w:rPr>
          <w:rFonts w:cs="Times New Roman"/>
        </w:rPr>
      </w:pPr>
      <w:r>
        <w:rPr>
          <w:rFonts w:cs="Times New Roman"/>
        </w:rPr>
        <w:t>13. 《城市排水工程规划规范》（GB50318—20</w:t>
      </w:r>
      <w:r>
        <w:rPr>
          <w:rFonts w:hint="eastAsia" w:cs="Times New Roman"/>
        </w:rPr>
        <w:t>17</w:t>
      </w:r>
      <w:r>
        <w:rPr>
          <w:rFonts w:cs="Times New Roman"/>
        </w:rPr>
        <w:t>）；</w:t>
      </w:r>
    </w:p>
    <w:p>
      <w:pPr>
        <w:pStyle w:val="16"/>
        <w:ind w:firstLine="560"/>
        <w:rPr>
          <w:rFonts w:cs="Times New Roman"/>
        </w:rPr>
      </w:pPr>
      <w:r>
        <w:rPr>
          <w:rFonts w:cs="Times New Roman"/>
        </w:rPr>
        <w:t>14. 《室外排水设计规范》（GB50014—2006）（2016 版）；</w:t>
      </w:r>
    </w:p>
    <w:p>
      <w:pPr>
        <w:pStyle w:val="16"/>
        <w:ind w:firstLine="560"/>
        <w:rPr>
          <w:rFonts w:cs="Times New Roman"/>
        </w:rPr>
      </w:pPr>
      <w:r>
        <w:rPr>
          <w:rFonts w:cs="Times New Roman"/>
        </w:rPr>
        <w:t>15. 《地表水环境质量标准》（GB838—2002）；</w:t>
      </w:r>
    </w:p>
    <w:p>
      <w:pPr>
        <w:pStyle w:val="16"/>
        <w:ind w:firstLine="560"/>
        <w:rPr>
          <w:rFonts w:cs="Times New Roman"/>
        </w:rPr>
      </w:pPr>
      <w:r>
        <w:rPr>
          <w:rFonts w:cs="Times New Roman"/>
        </w:rPr>
        <w:t>16. 《生</w:t>
      </w:r>
      <w:r>
        <w:rPr>
          <w:rFonts w:hint="eastAsia" w:cs="Times New Roman"/>
        </w:rPr>
        <w:t>3408</w:t>
      </w:r>
      <w:r>
        <w:rPr>
          <w:rFonts w:cs="Times New Roman"/>
        </w:rPr>
        <w:t>活饮用水水源水质标准》（CJ3020—93）；</w:t>
      </w:r>
    </w:p>
    <w:p>
      <w:pPr>
        <w:pStyle w:val="16"/>
        <w:ind w:firstLine="560"/>
        <w:rPr>
          <w:rFonts w:cs="Times New Roman"/>
        </w:rPr>
      </w:pPr>
      <w:r>
        <w:rPr>
          <w:rFonts w:cs="Times New Roman"/>
        </w:rPr>
        <w:t>17. 《生活饮用水卫生标准》（GB5749—2006）；</w:t>
      </w:r>
    </w:p>
    <w:p>
      <w:pPr>
        <w:pStyle w:val="16"/>
        <w:ind w:firstLine="560"/>
        <w:rPr>
          <w:rFonts w:cs="Times New Roman"/>
        </w:rPr>
      </w:pPr>
      <w:r>
        <w:rPr>
          <w:rFonts w:cs="Times New Roman"/>
        </w:rPr>
        <w:t>18. 《城</w:t>
      </w:r>
      <w:r>
        <w:rPr>
          <w:rFonts w:hint="eastAsia" w:cs="Times New Roman"/>
        </w:rPr>
        <w:t>镇</w:t>
      </w:r>
      <w:r>
        <w:rPr>
          <w:rFonts w:cs="Times New Roman"/>
        </w:rPr>
        <w:t>供水管网漏损控制及评定标准》（CJJ92-20</w:t>
      </w:r>
      <w:r>
        <w:rPr>
          <w:rFonts w:hint="eastAsia" w:cs="Times New Roman"/>
        </w:rPr>
        <w:t>16</w:t>
      </w:r>
      <w:r>
        <w:rPr>
          <w:rFonts w:cs="Times New Roman"/>
        </w:rPr>
        <w:t>）</w:t>
      </w:r>
    </w:p>
    <w:p>
      <w:pPr>
        <w:pStyle w:val="16"/>
        <w:ind w:firstLine="560"/>
        <w:rPr>
          <w:rFonts w:cs="Times New Roman"/>
        </w:rPr>
      </w:pPr>
      <w:r>
        <w:rPr>
          <w:rFonts w:cs="Times New Roman"/>
        </w:rPr>
        <w:t>19. 《企业水平衡测试通则》（GB/T 12452-2008）；</w:t>
      </w:r>
    </w:p>
    <w:p>
      <w:pPr>
        <w:pStyle w:val="16"/>
        <w:ind w:firstLine="560"/>
        <w:rPr>
          <w:rFonts w:cs="Times New Roman"/>
        </w:rPr>
      </w:pPr>
      <w:r>
        <w:rPr>
          <w:rFonts w:cs="Times New Roman"/>
        </w:rPr>
        <w:t>20. 《节水型企业评价导则》（GB/T 7119-2006）；</w:t>
      </w:r>
    </w:p>
    <w:p>
      <w:pPr>
        <w:pStyle w:val="16"/>
        <w:ind w:firstLine="560"/>
        <w:rPr>
          <w:rFonts w:cs="Times New Roman"/>
        </w:rPr>
      </w:pPr>
      <w:r>
        <w:rPr>
          <w:rFonts w:cs="Times New Roman"/>
        </w:rPr>
        <w:t>21. 《节水型产品通用技术条件》（GB/T 18870-2011）；</w:t>
      </w:r>
    </w:p>
    <w:p>
      <w:pPr>
        <w:pStyle w:val="16"/>
        <w:ind w:firstLine="560"/>
        <w:rPr>
          <w:rFonts w:cs="Times New Roman"/>
        </w:rPr>
      </w:pPr>
      <w:r>
        <w:rPr>
          <w:rFonts w:cs="Times New Roman"/>
        </w:rPr>
        <w:t>22. 《节水型生活用水器具》（CJ/T164-2014）；</w:t>
      </w:r>
    </w:p>
    <w:p>
      <w:pPr>
        <w:pStyle w:val="16"/>
        <w:ind w:firstLine="560"/>
        <w:rPr>
          <w:rFonts w:cs="Times New Roman"/>
        </w:rPr>
      </w:pPr>
      <w:r>
        <w:rPr>
          <w:rFonts w:hint="eastAsia" w:cs="Times New Roman"/>
        </w:rPr>
        <w:t>23</w:t>
      </w:r>
      <w:r>
        <w:rPr>
          <w:rFonts w:cs="Times New Roman"/>
        </w:rPr>
        <w:t>. 《</w:t>
      </w:r>
      <w:r>
        <w:rPr>
          <w:rFonts w:hint="eastAsia" w:cs="Times New Roman"/>
        </w:rPr>
        <w:t>城市节水评价标准》</w:t>
      </w:r>
      <w:r>
        <w:rPr>
          <w:rFonts w:cs="Times New Roman"/>
        </w:rPr>
        <w:t>（</w:t>
      </w:r>
      <w:r>
        <w:rPr>
          <w:rFonts w:hint="eastAsia" w:cs="Times New Roman"/>
        </w:rPr>
        <w:t>GB/T51083-2015</w:t>
      </w:r>
      <w:r>
        <w:rPr>
          <w:rFonts w:cs="Times New Roman"/>
        </w:rPr>
        <w:t>）；</w:t>
      </w:r>
    </w:p>
    <w:p>
      <w:pPr>
        <w:pStyle w:val="16"/>
        <w:ind w:firstLine="560"/>
        <w:rPr>
          <w:rFonts w:cs="Times New Roman"/>
        </w:rPr>
      </w:pPr>
      <w:r>
        <w:rPr>
          <w:rFonts w:cs="Times New Roman"/>
        </w:rPr>
        <w:t>2</w:t>
      </w:r>
      <w:r>
        <w:rPr>
          <w:rFonts w:hint="eastAsia" w:cs="Times New Roman"/>
        </w:rPr>
        <w:t>4</w:t>
      </w:r>
      <w:r>
        <w:rPr>
          <w:rFonts w:cs="Times New Roman"/>
        </w:rPr>
        <w:t>.《安徽省行业用水定额》（DB34/T679-20</w:t>
      </w:r>
      <w:r>
        <w:rPr>
          <w:rFonts w:hint="eastAsia" w:cs="Times New Roman"/>
        </w:rPr>
        <w:t>14</w:t>
      </w:r>
      <w:r>
        <w:rPr>
          <w:rFonts w:cs="Times New Roman"/>
        </w:rPr>
        <w:t>）。</w:t>
      </w:r>
    </w:p>
    <w:p>
      <w:pPr>
        <w:pStyle w:val="3"/>
        <w:spacing w:before="120" w:after="60" w:line="360" w:lineRule="auto"/>
        <w:ind w:firstLine="602"/>
        <w:rPr>
          <w:rFonts w:ascii="Times New Roman" w:hAnsi="Times New Roman"/>
        </w:rPr>
      </w:pPr>
      <w:bookmarkStart w:id="241" w:name="_Toc8032581"/>
      <w:r>
        <w:rPr>
          <w:rFonts w:hint="eastAsia" w:ascii="Times New Roman" w:hAnsi="Times New Roman"/>
        </w:rPr>
        <w:t>3</w:t>
      </w:r>
      <w:r>
        <w:rPr>
          <w:rFonts w:ascii="Times New Roman" w:hAnsi="Times New Roman"/>
        </w:rPr>
        <w:t xml:space="preserve">.5 </w:t>
      </w:r>
      <w:r>
        <w:rPr>
          <w:rFonts w:ascii="Times New Roman" w:hAnsi="Times New Roman"/>
          <w:spacing w:val="45"/>
        </w:rPr>
        <w:t xml:space="preserve"> </w:t>
      </w:r>
      <w:r>
        <w:rPr>
          <w:rFonts w:ascii="Times New Roman" w:hAnsi="Times New Roman"/>
          <w:spacing w:val="17"/>
        </w:rPr>
        <w:t>规划范围和期限</w:t>
      </w:r>
      <w:bookmarkEnd w:id="241"/>
    </w:p>
    <w:p>
      <w:pPr>
        <w:pStyle w:val="4"/>
      </w:pPr>
      <w:bookmarkStart w:id="242" w:name="_Toc8032582"/>
      <w:r>
        <w:rPr>
          <w:rFonts w:hint="eastAsia"/>
        </w:rPr>
        <w:t>3</w:t>
      </w:r>
      <w:r>
        <w:t>.5.1</w:t>
      </w:r>
      <w:r>
        <w:rPr>
          <w:spacing w:val="54"/>
        </w:rPr>
        <w:t xml:space="preserve"> </w:t>
      </w:r>
      <w:r>
        <w:t>规划范围</w:t>
      </w:r>
      <w:bookmarkEnd w:id="242"/>
    </w:p>
    <w:p>
      <w:pPr>
        <w:pStyle w:val="16"/>
        <w:spacing w:line="360" w:lineRule="auto"/>
        <w:ind w:firstLine="560"/>
        <w:rPr>
          <w:rFonts w:cs="Times New Roman"/>
        </w:rPr>
      </w:pPr>
      <w:r>
        <w:rPr>
          <w:rFonts w:cs="Times New Roman"/>
        </w:rPr>
        <w:t>规划范围为总体规划确定的淮北市中心城区范围，总面积</w:t>
      </w:r>
      <w:r>
        <w:rPr>
          <w:rFonts w:hint="eastAsia" w:cs="Times New Roman"/>
        </w:rPr>
        <w:t>130</w:t>
      </w:r>
      <w:r>
        <w:rPr>
          <w:rFonts w:cs="Times New Roman"/>
        </w:rPr>
        <w:t>平方公里</w:t>
      </w:r>
      <w:r>
        <w:rPr>
          <w:rFonts w:hint="eastAsia" w:cs="Times New Roman"/>
        </w:rPr>
        <w:t>。</w:t>
      </w:r>
      <w:r>
        <w:rPr>
          <w:rFonts w:cs="Times New Roman"/>
        </w:rPr>
        <w:t xml:space="preserve"> </w:t>
      </w:r>
    </w:p>
    <w:p>
      <w:pPr>
        <w:pStyle w:val="4"/>
      </w:pPr>
      <w:bookmarkStart w:id="243" w:name="_Toc8032583"/>
      <w:r>
        <w:rPr>
          <w:rFonts w:hint="eastAsia"/>
        </w:rPr>
        <w:t>3</w:t>
      </w:r>
      <w:r>
        <w:t>.5.2 规划期限</w:t>
      </w:r>
      <w:bookmarkEnd w:id="243"/>
    </w:p>
    <w:p>
      <w:pPr>
        <w:pStyle w:val="16"/>
        <w:spacing w:line="360" w:lineRule="auto"/>
        <w:ind w:firstLine="560"/>
        <w:rPr>
          <w:rFonts w:cs="Times New Roman"/>
        </w:rPr>
      </w:pPr>
      <w:r>
        <w:rPr>
          <w:rFonts w:cs="Times New Roman"/>
        </w:rPr>
        <w:t>本规划</w:t>
      </w:r>
      <w:r>
        <w:rPr>
          <w:rFonts w:hint="eastAsia" w:cs="Times New Roman"/>
        </w:rPr>
        <w:t>现</w:t>
      </w:r>
      <w:r>
        <w:rPr>
          <w:rFonts w:cs="Times New Roman"/>
        </w:rPr>
        <w:t>年为201</w:t>
      </w:r>
      <w:r>
        <w:rPr>
          <w:rFonts w:hint="eastAsia" w:cs="Times New Roman"/>
        </w:rPr>
        <w:t>8</w:t>
      </w:r>
      <w:r>
        <w:rPr>
          <w:rFonts w:cs="Times New Roman"/>
        </w:rPr>
        <w:t>年，基础数据收集至201</w:t>
      </w:r>
      <w:r>
        <w:rPr>
          <w:rFonts w:hint="eastAsia" w:cs="Times New Roman"/>
        </w:rPr>
        <w:t>7</w:t>
      </w:r>
      <w:r>
        <w:rPr>
          <w:rFonts w:cs="Times New Roman"/>
        </w:rPr>
        <w:t xml:space="preserve"> 年，《淮北市城市总体规划》近期至 2020 年，远期至203</w:t>
      </w:r>
      <w:r>
        <w:rPr>
          <w:rFonts w:hint="eastAsia" w:cs="Times New Roman"/>
        </w:rPr>
        <w:t>5</w:t>
      </w:r>
      <w:r>
        <w:rPr>
          <w:rFonts w:cs="Times New Roman"/>
        </w:rPr>
        <w:t>年。</w:t>
      </w:r>
      <w:r>
        <w:rPr>
          <w:rFonts w:hint="eastAsia" w:cs="Times New Roman"/>
        </w:rPr>
        <w:t>本</w:t>
      </w:r>
      <w:r>
        <w:rPr>
          <w:rFonts w:cs="Times New Roman"/>
        </w:rPr>
        <w:t>规划期限如下：</w:t>
      </w:r>
    </w:p>
    <w:p>
      <w:pPr>
        <w:pStyle w:val="16"/>
        <w:spacing w:line="360" w:lineRule="auto"/>
        <w:ind w:firstLine="560"/>
        <w:rPr>
          <w:rFonts w:cs="Times New Roman"/>
        </w:rPr>
      </w:pPr>
      <w:r>
        <w:rPr>
          <w:rFonts w:cs="Times New Roman"/>
        </w:rPr>
        <w:t>近期：201</w:t>
      </w:r>
      <w:r>
        <w:rPr>
          <w:rFonts w:hint="eastAsia" w:cs="Times New Roman"/>
        </w:rPr>
        <w:t>8</w:t>
      </w:r>
      <w:r>
        <w:rPr>
          <w:rFonts w:cs="Times New Roman"/>
        </w:rPr>
        <w:t>~2020 年；</w:t>
      </w:r>
    </w:p>
    <w:p>
      <w:pPr>
        <w:pStyle w:val="16"/>
        <w:spacing w:line="360" w:lineRule="auto"/>
        <w:ind w:firstLine="560"/>
        <w:rPr>
          <w:rFonts w:cs="Times New Roman"/>
        </w:rPr>
      </w:pPr>
      <w:r>
        <w:rPr>
          <w:rFonts w:cs="Times New Roman"/>
        </w:rPr>
        <w:t>远期：202</w:t>
      </w:r>
      <w:r>
        <w:rPr>
          <w:rFonts w:hint="eastAsia" w:cs="Times New Roman"/>
        </w:rPr>
        <w:t>1</w:t>
      </w:r>
      <w:r>
        <w:rPr>
          <w:rFonts w:cs="Times New Roman"/>
        </w:rPr>
        <w:t>~203</w:t>
      </w:r>
      <w:r>
        <w:rPr>
          <w:rFonts w:hint="eastAsia" w:cs="Times New Roman"/>
        </w:rPr>
        <w:t>5</w:t>
      </w:r>
      <w:r>
        <w:rPr>
          <w:rFonts w:cs="Times New Roman"/>
        </w:rPr>
        <w:t xml:space="preserve"> 年。</w:t>
      </w:r>
    </w:p>
    <w:p>
      <w:pPr>
        <w:pStyle w:val="3"/>
        <w:spacing w:before="120" w:after="60" w:line="360" w:lineRule="auto"/>
        <w:ind w:firstLine="602"/>
        <w:rPr>
          <w:rFonts w:ascii="Times New Roman" w:hAnsi="Times New Roman"/>
        </w:rPr>
      </w:pPr>
      <w:bookmarkStart w:id="244" w:name="_Toc8032584"/>
      <w:r>
        <w:rPr>
          <w:rFonts w:hint="eastAsia" w:ascii="Times New Roman" w:hAnsi="Times New Roman"/>
        </w:rPr>
        <w:t>3</w:t>
      </w:r>
      <w:r>
        <w:rPr>
          <w:rFonts w:ascii="Times New Roman" w:hAnsi="Times New Roman"/>
        </w:rPr>
        <w:t>.6</w:t>
      </w:r>
      <w:r>
        <w:rPr>
          <w:rFonts w:ascii="Times New Roman" w:hAnsi="Times New Roman"/>
          <w:spacing w:val="52"/>
        </w:rPr>
        <w:t xml:space="preserve"> </w:t>
      </w:r>
      <w:r>
        <w:rPr>
          <w:rFonts w:ascii="Times New Roman" w:hAnsi="Times New Roman"/>
          <w:spacing w:val="16"/>
        </w:rPr>
        <w:t>规划目标</w:t>
      </w:r>
      <w:bookmarkEnd w:id="244"/>
    </w:p>
    <w:p>
      <w:pPr>
        <w:pStyle w:val="4"/>
      </w:pPr>
      <w:bookmarkStart w:id="245" w:name="_Toc8032585"/>
      <w:r>
        <w:rPr>
          <w:rFonts w:hint="eastAsia"/>
        </w:rPr>
        <w:t>3</w:t>
      </w:r>
      <w:r>
        <w:t>.6.1 总体目标</w:t>
      </w:r>
      <w:bookmarkEnd w:id="245"/>
    </w:p>
    <w:p>
      <w:pPr>
        <w:pStyle w:val="16"/>
        <w:spacing w:line="360" w:lineRule="auto"/>
        <w:ind w:firstLine="560"/>
        <w:rPr>
          <w:rFonts w:cs="Times New Roman"/>
        </w:rPr>
      </w:pPr>
      <w:r>
        <w:rPr>
          <w:rFonts w:hint="eastAsia" w:cs="Times New Roman"/>
        </w:rPr>
        <w:t>根据淮北市人均水资源量和淮北市总体规划及国民经济、社会发展对用水需求，在全面分析城市水资源、用水效率和节水潜力的基础上，明确未来一段时期的节水目标、任务、措施和保障机制，优化用水结构，对供、排、节水等方面统筹安排，制定不同时期的节水管理和节水技术政策方案，以期达到节水目的，满足淮北市经济社会可持续发展的要求。</w:t>
      </w:r>
    </w:p>
    <w:p>
      <w:pPr>
        <w:pStyle w:val="16"/>
        <w:spacing w:line="360" w:lineRule="auto"/>
        <w:ind w:firstLine="560"/>
        <w:rPr>
          <w:rFonts w:cs="Times New Roman"/>
        </w:rPr>
      </w:pPr>
      <w:r>
        <w:rPr>
          <w:rFonts w:hint="eastAsia" w:cs="Times New Roman"/>
        </w:rPr>
        <w:t>根据国家节水型城市评价指标和淮北市社会经济发展、生态文明建设及节能减排等相关要求，确定近、远期</w:t>
      </w:r>
      <w:r>
        <w:rPr>
          <w:rFonts w:cs="Times New Roman"/>
        </w:rPr>
        <w:t>万元地区生产总值用水量</w:t>
      </w:r>
      <w:r>
        <w:rPr>
          <w:rFonts w:hint="eastAsia" w:cs="Times New Roman"/>
        </w:rPr>
        <w:t>、</w:t>
      </w:r>
      <w:r>
        <w:rPr>
          <w:rFonts w:cs="Times New Roman"/>
        </w:rPr>
        <w:t>城市非常规水资源利用率</w:t>
      </w:r>
      <w:r>
        <w:rPr>
          <w:rFonts w:hint="eastAsia" w:cs="Times New Roman"/>
        </w:rPr>
        <w:t>、</w:t>
      </w:r>
      <w:r>
        <w:rPr>
          <w:rFonts w:cs="Times New Roman"/>
        </w:rPr>
        <w:t>城市供水管网漏失率</w:t>
      </w:r>
      <w:r>
        <w:rPr>
          <w:rFonts w:hint="eastAsia" w:cs="Times New Roman"/>
        </w:rPr>
        <w:t>、节水型居民小区覆盖率、节水型单位覆盖率、</w:t>
      </w:r>
      <w:r>
        <w:rPr>
          <w:rFonts w:cs="Times New Roman"/>
        </w:rPr>
        <w:t>城市居民生活用水量（平均日）</w:t>
      </w:r>
      <w:r>
        <w:rPr>
          <w:rFonts w:hint="eastAsia" w:cs="Times New Roman"/>
        </w:rPr>
        <w:t>、节水型生活用水器具普及率、特种行业用水计量收费率、</w:t>
      </w:r>
      <w:r>
        <w:rPr>
          <w:rFonts w:cs="Times New Roman"/>
        </w:rPr>
        <w:t>万元工业增加值用水量</w:t>
      </w:r>
      <w:r>
        <w:rPr>
          <w:rFonts w:hint="eastAsia" w:cs="Times New Roman"/>
        </w:rPr>
        <w:t>、</w:t>
      </w:r>
      <w:r>
        <w:rPr>
          <w:rFonts w:cs="Times New Roman"/>
        </w:rPr>
        <w:t>工业用水重复利用率（不含电厂）</w:t>
      </w:r>
      <w:r>
        <w:rPr>
          <w:rFonts w:hint="eastAsia" w:cs="Times New Roman"/>
        </w:rPr>
        <w:t>、工业企业单位产品用水量、节水型企业覆盖率、</w:t>
      </w:r>
      <w:r>
        <w:rPr>
          <w:rFonts w:cs="Times New Roman"/>
        </w:rPr>
        <w:t>水环境质量达标率</w:t>
      </w:r>
      <w:r>
        <w:rPr>
          <w:rFonts w:hint="eastAsia" w:cs="Times New Roman"/>
        </w:rPr>
        <w:t>，并通过合理的政策和工程规划措施实施实现相关指标的达标途径。</w:t>
      </w:r>
    </w:p>
    <w:p>
      <w:pPr>
        <w:pStyle w:val="4"/>
      </w:pPr>
      <w:bookmarkStart w:id="246" w:name="_Toc8032586"/>
      <w:r>
        <w:rPr>
          <w:rFonts w:hint="eastAsia"/>
        </w:rPr>
        <w:t>3</w:t>
      </w:r>
      <w:r>
        <w:t>.6.2. 具体目标</w:t>
      </w:r>
      <w:bookmarkEnd w:id="246"/>
    </w:p>
    <w:p>
      <w:pPr>
        <w:pStyle w:val="16"/>
        <w:spacing w:line="360" w:lineRule="auto"/>
        <w:ind w:firstLine="592"/>
        <w:rPr>
          <w:rFonts w:cs="Times New Roman"/>
          <w:spacing w:val="16"/>
        </w:rPr>
      </w:pPr>
      <w:r>
        <w:rPr>
          <w:rFonts w:cs="Times New Roman"/>
          <w:spacing w:val="16"/>
        </w:rPr>
        <w:t>根据淮北市目前的节约用水现状，通过规划措施的实施，淮北市未来不同水平年各项主要指标拟达到如下目标：</w:t>
      </w:r>
    </w:p>
    <w:p>
      <w:pPr>
        <w:pStyle w:val="16"/>
        <w:spacing w:line="360" w:lineRule="auto"/>
        <w:ind w:firstLine="592"/>
        <w:rPr>
          <w:rFonts w:cs="Times New Roman"/>
          <w:spacing w:val="16"/>
        </w:rPr>
      </w:pPr>
    </w:p>
    <w:p>
      <w:pPr>
        <w:pStyle w:val="16"/>
        <w:spacing w:line="360" w:lineRule="auto"/>
        <w:ind w:firstLine="592"/>
        <w:rPr>
          <w:rFonts w:cs="Times New Roman"/>
          <w:spacing w:val="16"/>
        </w:rPr>
      </w:pPr>
    </w:p>
    <w:p>
      <w:pPr>
        <w:pStyle w:val="16"/>
        <w:spacing w:line="360" w:lineRule="auto"/>
        <w:ind w:firstLine="592"/>
        <w:rPr>
          <w:rFonts w:cs="Times New Roman"/>
          <w:spacing w:val="16"/>
        </w:rPr>
      </w:pPr>
    </w:p>
    <w:p>
      <w:pPr>
        <w:pStyle w:val="16"/>
        <w:spacing w:line="360" w:lineRule="auto"/>
        <w:ind w:firstLine="592"/>
        <w:rPr>
          <w:rFonts w:cs="Times New Roman"/>
          <w:spacing w:val="16"/>
        </w:rPr>
      </w:pPr>
    </w:p>
    <w:p>
      <w:pPr>
        <w:pStyle w:val="16"/>
        <w:spacing w:line="360" w:lineRule="auto"/>
        <w:ind w:firstLineChars="83"/>
        <w:jc w:val="center"/>
        <w:rPr>
          <w:rFonts w:ascii="宋体" w:hAnsi="宋体" w:cs="Tahoma"/>
          <w:b/>
          <w:color w:val="000000"/>
          <w:sz w:val="24"/>
          <w:szCs w:val="21"/>
        </w:rPr>
      </w:pPr>
      <w:r>
        <w:rPr>
          <w:rFonts w:ascii="宋体" w:hAnsi="宋体" w:cs="Tahoma"/>
          <w:b/>
          <w:color w:val="000000"/>
          <w:sz w:val="24"/>
          <w:szCs w:val="21"/>
        </w:rPr>
        <w:t>表</w:t>
      </w:r>
      <w:r>
        <w:rPr>
          <w:rFonts w:hint="eastAsia" w:ascii="宋体" w:hAnsi="宋体" w:cs="Tahoma"/>
          <w:b/>
          <w:color w:val="000000"/>
          <w:sz w:val="24"/>
          <w:szCs w:val="21"/>
        </w:rPr>
        <w:t>3</w:t>
      </w:r>
      <w:r>
        <w:rPr>
          <w:rFonts w:ascii="宋体" w:hAnsi="宋体" w:cs="Tahoma"/>
          <w:b/>
          <w:color w:val="000000"/>
          <w:sz w:val="24"/>
          <w:szCs w:val="21"/>
        </w:rPr>
        <w:t>-1  淮北市市节约用水规划主要指标目标值</w:t>
      </w:r>
      <w:r>
        <w:rPr>
          <w:rFonts w:hint="eastAsia" w:ascii="宋体" w:hAnsi="宋体" w:cs="Tahoma"/>
          <w:b/>
          <w:color w:val="000000"/>
          <w:sz w:val="24"/>
          <w:szCs w:val="21"/>
        </w:rPr>
        <w:t>（基准年2017年）</w:t>
      </w:r>
    </w:p>
    <w:tbl>
      <w:tblPr>
        <w:tblStyle w:val="39"/>
        <w:tblW w:w="10080" w:type="dxa"/>
        <w:tblInd w:w="0" w:type="dxa"/>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534"/>
        <w:gridCol w:w="4836"/>
        <w:gridCol w:w="1738"/>
        <w:gridCol w:w="798"/>
        <w:gridCol w:w="1081"/>
        <w:gridCol w:w="1093"/>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75" w:hRule="exact"/>
        </w:trPr>
        <w:tc>
          <w:tcPr>
            <w:tcW w:w="534" w:type="dxa"/>
            <w:vAlign w:val="center"/>
          </w:tcPr>
          <w:p>
            <w:pPr>
              <w:spacing w:line="276" w:lineRule="auto"/>
              <w:ind w:firstLine="0" w:firstLineChars="0"/>
              <w:jc w:val="center"/>
              <w:rPr>
                <w:sz w:val="21"/>
                <w:szCs w:val="21"/>
              </w:rPr>
            </w:pPr>
            <w:r>
              <w:rPr>
                <w:sz w:val="21"/>
                <w:szCs w:val="21"/>
              </w:rPr>
              <w:t>序号</w:t>
            </w:r>
          </w:p>
        </w:tc>
        <w:tc>
          <w:tcPr>
            <w:tcW w:w="4836" w:type="dxa"/>
            <w:vAlign w:val="center"/>
          </w:tcPr>
          <w:p>
            <w:pPr>
              <w:spacing w:line="276" w:lineRule="auto"/>
              <w:ind w:firstLine="0" w:firstLineChars="0"/>
              <w:jc w:val="center"/>
              <w:rPr>
                <w:sz w:val="21"/>
                <w:szCs w:val="21"/>
              </w:rPr>
            </w:pPr>
            <w:r>
              <w:rPr>
                <w:sz w:val="21"/>
                <w:szCs w:val="21"/>
              </w:rPr>
              <w:t>指标名称</w:t>
            </w:r>
          </w:p>
        </w:tc>
        <w:tc>
          <w:tcPr>
            <w:tcW w:w="1738" w:type="dxa"/>
            <w:vAlign w:val="center"/>
          </w:tcPr>
          <w:p>
            <w:pPr>
              <w:spacing w:line="276" w:lineRule="auto"/>
              <w:ind w:firstLine="0" w:firstLineChars="0"/>
              <w:jc w:val="center"/>
              <w:rPr>
                <w:sz w:val="21"/>
                <w:szCs w:val="21"/>
              </w:rPr>
            </w:pPr>
            <w:r>
              <w:rPr>
                <w:sz w:val="21"/>
                <w:szCs w:val="21"/>
              </w:rPr>
              <w:t>单位</w:t>
            </w:r>
          </w:p>
        </w:tc>
        <w:tc>
          <w:tcPr>
            <w:tcW w:w="798" w:type="dxa"/>
            <w:vAlign w:val="center"/>
          </w:tcPr>
          <w:p>
            <w:pPr>
              <w:spacing w:line="276" w:lineRule="auto"/>
              <w:ind w:firstLine="0" w:firstLineChars="0"/>
              <w:jc w:val="center"/>
              <w:rPr>
                <w:sz w:val="21"/>
                <w:szCs w:val="21"/>
              </w:rPr>
            </w:pPr>
            <w:r>
              <w:rPr>
                <w:rFonts w:hint="eastAsia"/>
                <w:sz w:val="21"/>
                <w:szCs w:val="21"/>
              </w:rPr>
              <w:t>现状</w:t>
            </w:r>
          </w:p>
        </w:tc>
        <w:tc>
          <w:tcPr>
            <w:tcW w:w="1081" w:type="dxa"/>
            <w:vAlign w:val="center"/>
          </w:tcPr>
          <w:p>
            <w:pPr>
              <w:spacing w:line="276" w:lineRule="auto"/>
              <w:ind w:firstLine="0" w:firstLineChars="0"/>
              <w:jc w:val="center"/>
              <w:rPr>
                <w:sz w:val="21"/>
                <w:szCs w:val="21"/>
              </w:rPr>
            </w:pPr>
            <w:r>
              <w:rPr>
                <w:sz w:val="21"/>
                <w:szCs w:val="21"/>
              </w:rPr>
              <w:t>2020 年</w:t>
            </w:r>
          </w:p>
        </w:tc>
        <w:tc>
          <w:tcPr>
            <w:tcW w:w="1093" w:type="dxa"/>
            <w:vAlign w:val="center"/>
          </w:tcPr>
          <w:p>
            <w:pPr>
              <w:spacing w:line="276" w:lineRule="auto"/>
              <w:ind w:firstLine="0" w:firstLineChars="0"/>
              <w:jc w:val="center"/>
              <w:rPr>
                <w:sz w:val="21"/>
                <w:szCs w:val="21"/>
              </w:rPr>
            </w:pPr>
            <w:r>
              <w:rPr>
                <w:sz w:val="21"/>
                <w:szCs w:val="21"/>
              </w:rPr>
              <w:t>2035 年</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0" w:hRule="exact"/>
        </w:trPr>
        <w:tc>
          <w:tcPr>
            <w:tcW w:w="534" w:type="dxa"/>
            <w:vAlign w:val="center"/>
          </w:tcPr>
          <w:p>
            <w:pPr>
              <w:spacing w:line="276" w:lineRule="auto"/>
              <w:ind w:firstLine="0" w:firstLineChars="0"/>
              <w:jc w:val="center"/>
              <w:rPr>
                <w:sz w:val="21"/>
                <w:szCs w:val="21"/>
              </w:rPr>
            </w:pPr>
            <w:r>
              <w:rPr>
                <w:sz w:val="21"/>
                <w:szCs w:val="21"/>
              </w:rPr>
              <w:t>1</w:t>
            </w:r>
          </w:p>
        </w:tc>
        <w:tc>
          <w:tcPr>
            <w:tcW w:w="4836" w:type="dxa"/>
            <w:vAlign w:val="center"/>
          </w:tcPr>
          <w:p>
            <w:pPr>
              <w:spacing w:line="276" w:lineRule="auto"/>
              <w:ind w:firstLine="0" w:firstLineChars="0"/>
              <w:jc w:val="center"/>
              <w:rPr>
                <w:sz w:val="21"/>
                <w:szCs w:val="21"/>
              </w:rPr>
            </w:pPr>
            <w:r>
              <w:rPr>
                <w:sz w:val="21"/>
                <w:szCs w:val="21"/>
              </w:rPr>
              <w:t>万元地区生产总值用水量</w:t>
            </w:r>
          </w:p>
        </w:tc>
        <w:tc>
          <w:tcPr>
            <w:tcW w:w="1738" w:type="dxa"/>
            <w:vAlign w:val="center"/>
          </w:tcPr>
          <w:p>
            <w:pPr>
              <w:spacing w:line="276" w:lineRule="auto"/>
              <w:ind w:firstLine="0" w:firstLineChars="0"/>
              <w:jc w:val="center"/>
              <w:rPr>
                <w:sz w:val="21"/>
                <w:szCs w:val="21"/>
              </w:rPr>
            </w:pPr>
            <w:r>
              <w:rPr>
                <w:sz w:val="21"/>
                <w:szCs w:val="21"/>
              </w:rPr>
              <w:t>立方米/万元</w:t>
            </w:r>
          </w:p>
        </w:tc>
        <w:tc>
          <w:tcPr>
            <w:tcW w:w="798" w:type="dxa"/>
            <w:vAlign w:val="center"/>
          </w:tcPr>
          <w:p>
            <w:pPr>
              <w:spacing w:line="276" w:lineRule="auto"/>
              <w:ind w:firstLine="0" w:firstLineChars="0"/>
              <w:jc w:val="center"/>
              <w:rPr>
                <w:sz w:val="21"/>
                <w:szCs w:val="21"/>
              </w:rPr>
            </w:pPr>
            <w:r>
              <w:rPr>
                <w:rFonts w:hint="eastAsia"/>
                <w:sz w:val="21"/>
                <w:szCs w:val="21"/>
              </w:rPr>
              <w:t>13.81</w:t>
            </w:r>
          </w:p>
        </w:tc>
        <w:tc>
          <w:tcPr>
            <w:tcW w:w="1081" w:type="dxa"/>
            <w:vAlign w:val="center"/>
          </w:tcPr>
          <w:p>
            <w:pPr>
              <w:spacing w:line="276" w:lineRule="auto"/>
              <w:ind w:firstLine="0" w:firstLineChars="0"/>
              <w:jc w:val="center"/>
              <w:rPr>
                <w:sz w:val="21"/>
                <w:szCs w:val="21"/>
              </w:rPr>
            </w:pPr>
            <w:r>
              <w:rPr>
                <w:sz w:val="21"/>
                <w:szCs w:val="21"/>
              </w:rPr>
              <w:t>≤</w:t>
            </w:r>
            <w:r>
              <w:rPr>
                <w:rFonts w:hint="eastAsia"/>
                <w:sz w:val="21"/>
                <w:szCs w:val="21"/>
              </w:rPr>
              <w:t>12</w:t>
            </w:r>
          </w:p>
        </w:tc>
        <w:tc>
          <w:tcPr>
            <w:tcW w:w="1093" w:type="dxa"/>
            <w:vAlign w:val="center"/>
          </w:tcPr>
          <w:p>
            <w:pPr>
              <w:spacing w:line="276" w:lineRule="auto"/>
              <w:ind w:firstLine="0" w:firstLineChars="0"/>
              <w:jc w:val="center"/>
              <w:rPr>
                <w:sz w:val="21"/>
                <w:szCs w:val="21"/>
              </w:rPr>
            </w:pPr>
            <w:r>
              <w:rPr>
                <w:sz w:val="21"/>
                <w:szCs w:val="21"/>
              </w:rPr>
              <w:t>≤</w:t>
            </w:r>
            <w:r>
              <w:rPr>
                <w:rFonts w:hint="eastAsia"/>
                <w:sz w:val="21"/>
                <w:szCs w:val="21"/>
              </w:rPr>
              <w:t>10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trPr>
        <w:tc>
          <w:tcPr>
            <w:tcW w:w="534" w:type="dxa"/>
            <w:vAlign w:val="center"/>
          </w:tcPr>
          <w:p>
            <w:pPr>
              <w:spacing w:line="276" w:lineRule="auto"/>
              <w:ind w:firstLine="0" w:firstLineChars="0"/>
              <w:jc w:val="center"/>
              <w:rPr>
                <w:sz w:val="21"/>
                <w:szCs w:val="21"/>
              </w:rPr>
            </w:pPr>
            <w:r>
              <w:rPr>
                <w:sz w:val="21"/>
                <w:szCs w:val="21"/>
              </w:rPr>
              <w:t>2</w:t>
            </w:r>
          </w:p>
        </w:tc>
        <w:tc>
          <w:tcPr>
            <w:tcW w:w="4836" w:type="dxa"/>
            <w:vAlign w:val="center"/>
          </w:tcPr>
          <w:p>
            <w:pPr>
              <w:spacing w:line="276" w:lineRule="auto"/>
              <w:ind w:firstLine="0" w:firstLineChars="0"/>
              <w:jc w:val="center"/>
              <w:rPr>
                <w:sz w:val="21"/>
                <w:szCs w:val="21"/>
              </w:rPr>
            </w:pPr>
            <w:r>
              <w:rPr>
                <w:sz w:val="21"/>
                <w:szCs w:val="21"/>
              </w:rPr>
              <w:t>城市非常规水资源利用率</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r>
              <w:rPr>
                <w:rFonts w:hint="eastAsia"/>
                <w:sz w:val="21"/>
                <w:szCs w:val="21"/>
              </w:rPr>
              <w:t>---</w:t>
            </w:r>
          </w:p>
        </w:tc>
        <w:tc>
          <w:tcPr>
            <w:tcW w:w="1081" w:type="dxa"/>
            <w:vAlign w:val="center"/>
          </w:tcPr>
          <w:p>
            <w:pPr>
              <w:spacing w:line="276" w:lineRule="auto"/>
              <w:ind w:firstLine="0" w:firstLineChars="0"/>
              <w:jc w:val="center"/>
              <w:rPr>
                <w:sz w:val="21"/>
                <w:szCs w:val="21"/>
              </w:rPr>
            </w:pPr>
            <w:r>
              <w:rPr>
                <w:sz w:val="21"/>
                <w:szCs w:val="21"/>
              </w:rPr>
              <w:t>≥</w:t>
            </w:r>
            <w:r>
              <w:rPr>
                <w:rFonts w:hint="eastAsia"/>
                <w:sz w:val="21"/>
                <w:szCs w:val="21"/>
              </w:rPr>
              <w:t>50</w:t>
            </w:r>
          </w:p>
        </w:tc>
        <w:tc>
          <w:tcPr>
            <w:tcW w:w="1093" w:type="dxa"/>
            <w:vAlign w:val="center"/>
          </w:tcPr>
          <w:p>
            <w:pPr>
              <w:spacing w:line="276" w:lineRule="auto"/>
              <w:ind w:firstLine="0" w:firstLineChars="0"/>
              <w:jc w:val="center"/>
              <w:rPr>
                <w:sz w:val="21"/>
                <w:szCs w:val="21"/>
              </w:rPr>
            </w:pPr>
            <w:r>
              <w:rPr>
                <w:sz w:val="21"/>
                <w:szCs w:val="21"/>
              </w:rPr>
              <w:t>≥</w:t>
            </w:r>
            <w:r>
              <w:rPr>
                <w:rFonts w:hint="eastAsia"/>
                <w:sz w:val="21"/>
                <w:szCs w:val="21"/>
              </w:rPr>
              <w:t>50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trPr>
        <w:tc>
          <w:tcPr>
            <w:tcW w:w="534" w:type="dxa"/>
            <w:vAlign w:val="center"/>
          </w:tcPr>
          <w:p>
            <w:pPr>
              <w:spacing w:line="276" w:lineRule="auto"/>
              <w:ind w:firstLine="0" w:firstLineChars="0"/>
              <w:jc w:val="center"/>
              <w:rPr>
                <w:sz w:val="21"/>
                <w:szCs w:val="21"/>
              </w:rPr>
            </w:pPr>
            <w:r>
              <w:rPr>
                <w:sz w:val="21"/>
                <w:szCs w:val="21"/>
              </w:rPr>
              <w:t>3</w:t>
            </w:r>
          </w:p>
        </w:tc>
        <w:tc>
          <w:tcPr>
            <w:tcW w:w="4836" w:type="dxa"/>
            <w:vAlign w:val="center"/>
          </w:tcPr>
          <w:p>
            <w:pPr>
              <w:spacing w:line="276" w:lineRule="auto"/>
              <w:ind w:firstLine="0" w:firstLineChars="0"/>
              <w:jc w:val="center"/>
              <w:rPr>
                <w:sz w:val="21"/>
                <w:szCs w:val="21"/>
              </w:rPr>
            </w:pPr>
            <w:r>
              <w:rPr>
                <w:sz w:val="21"/>
                <w:szCs w:val="21"/>
              </w:rPr>
              <w:t>城市供水管网漏失率</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r>
              <w:rPr>
                <w:rFonts w:hint="eastAsia"/>
                <w:sz w:val="21"/>
                <w:szCs w:val="21"/>
              </w:rPr>
              <w:t>11.41</w:t>
            </w:r>
          </w:p>
        </w:tc>
        <w:tc>
          <w:tcPr>
            <w:tcW w:w="1081" w:type="dxa"/>
            <w:vAlign w:val="center"/>
          </w:tcPr>
          <w:p>
            <w:pPr>
              <w:spacing w:line="276" w:lineRule="auto"/>
              <w:ind w:firstLine="0" w:firstLineChars="0"/>
              <w:jc w:val="center"/>
              <w:rPr>
                <w:sz w:val="21"/>
                <w:szCs w:val="21"/>
              </w:rPr>
            </w:pPr>
            <w:r>
              <w:rPr>
                <w:sz w:val="21"/>
                <w:szCs w:val="21"/>
              </w:rPr>
              <w:t>≤</w:t>
            </w:r>
            <w:r>
              <w:rPr>
                <w:rFonts w:hint="eastAsia"/>
                <w:sz w:val="21"/>
                <w:szCs w:val="21"/>
              </w:rPr>
              <w:t>10</w:t>
            </w:r>
          </w:p>
        </w:tc>
        <w:tc>
          <w:tcPr>
            <w:tcW w:w="1093" w:type="dxa"/>
            <w:vAlign w:val="center"/>
          </w:tcPr>
          <w:p>
            <w:pPr>
              <w:spacing w:line="276" w:lineRule="auto"/>
              <w:ind w:firstLine="0" w:firstLineChars="0"/>
              <w:jc w:val="center"/>
              <w:rPr>
                <w:sz w:val="21"/>
                <w:szCs w:val="21"/>
              </w:rPr>
            </w:pPr>
            <w:r>
              <w:rPr>
                <w:sz w:val="21"/>
                <w:szCs w:val="21"/>
              </w:rPr>
              <w:t>≤8</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trPr>
        <w:tc>
          <w:tcPr>
            <w:tcW w:w="534" w:type="dxa"/>
            <w:vAlign w:val="center"/>
          </w:tcPr>
          <w:p>
            <w:pPr>
              <w:spacing w:line="276" w:lineRule="auto"/>
              <w:ind w:firstLine="0" w:firstLineChars="0"/>
              <w:jc w:val="center"/>
              <w:rPr>
                <w:sz w:val="21"/>
                <w:szCs w:val="21"/>
              </w:rPr>
            </w:pPr>
            <w:r>
              <w:rPr>
                <w:sz w:val="21"/>
                <w:szCs w:val="21"/>
              </w:rPr>
              <w:t>4</w:t>
            </w:r>
          </w:p>
        </w:tc>
        <w:tc>
          <w:tcPr>
            <w:tcW w:w="4836" w:type="dxa"/>
            <w:vAlign w:val="center"/>
          </w:tcPr>
          <w:p>
            <w:pPr>
              <w:spacing w:line="276" w:lineRule="auto"/>
              <w:ind w:firstLine="0" w:firstLineChars="0"/>
              <w:jc w:val="center"/>
              <w:rPr>
                <w:sz w:val="21"/>
                <w:szCs w:val="21"/>
              </w:rPr>
            </w:pPr>
            <w:r>
              <w:rPr>
                <w:rFonts w:hint="eastAsia"/>
                <w:sz w:val="21"/>
                <w:szCs w:val="21"/>
              </w:rPr>
              <w:t>节水型居民小区覆盖率</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p>
        </w:tc>
        <w:tc>
          <w:tcPr>
            <w:tcW w:w="1081" w:type="dxa"/>
            <w:vAlign w:val="center"/>
          </w:tcPr>
          <w:p>
            <w:pPr>
              <w:spacing w:line="276" w:lineRule="auto"/>
              <w:ind w:firstLine="0" w:firstLineChars="0"/>
              <w:jc w:val="center"/>
              <w:rPr>
                <w:sz w:val="21"/>
                <w:szCs w:val="21"/>
              </w:rPr>
            </w:pPr>
            <w:r>
              <w:rPr>
                <w:sz w:val="21"/>
                <w:szCs w:val="21"/>
              </w:rPr>
              <w:t>≥</w:t>
            </w:r>
            <w:r>
              <w:rPr>
                <w:rFonts w:hint="eastAsia"/>
                <w:sz w:val="21"/>
                <w:szCs w:val="21"/>
              </w:rPr>
              <w:t>10</w:t>
            </w:r>
          </w:p>
        </w:tc>
        <w:tc>
          <w:tcPr>
            <w:tcW w:w="1093" w:type="dxa"/>
            <w:vAlign w:val="center"/>
          </w:tcPr>
          <w:p>
            <w:pPr>
              <w:spacing w:line="276" w:lineRule="auto"/>
              <w:ind w:firstLine="0" w:firstLineChars="0"/>
              <w:jc w:val="center"/>
              <w:rPr>
                <w:sz w:val="21"/>
                <w:szCs w:val="21"/>
              </w:rPr>
            </w:pPr>
            <w:r>
              <w:rPr>
                <w:sz w:val="21"/>
                <w:szCs w:val="21"/>
              </w:rPr>
              <w:t>≥</w:t>
            </w:r>
            <w:r>
              <w:rPr>
                <w:rFonts w:hint="eastAsia"/>
                <w:sz w:val="21"/>
                <w:szCs w:val="21"/>
              </w:rPr>
              <w:t>15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trPr>
        <w:tc>
          <w:tcPr>
            <w:tcW w:w="534" w:type="dxa"/>
            <w:vAlign w:val="center"/>
          </w:tcPr>
          <w:p>
            <w:pPr>
              <w:spacing w:line="276" w:lineRule="auto"/>
              <w:ind w:firstLine="0" w:firstLineChars="0"/>
              <w:jc w:val="center"/>
              <w:rPr>
                <w:sz w:val="21"/>
                <w:szCs w:val="21"/>
              </w:rPr>
            </w:pPr>
            <w:r>
              <w:rPr>
                <w:sz w:val="21"/>
                <w:szCs w:val="21"/>
              </w:rPr>
              <w:t>5</w:t>
            </w:r>
          </w:p>
        </w:tc>
        <w:tc>
          <w:tcPr>
            <w:tcW w:w="4836" w:type="dxa"/>
            <w:vAlign w:val="center"/>
          </w:tcPr>
          <w:p>
            <w:pPr>
              <w:spacing w:line="276" w:lineRule="auto"/>
              <w:ind w:firstLine="0" w:firstLineChars="0"/>
              <w:jc w:val="center"/>
              <w:rPr>
                <w:sz w:val="21"/>
                <w:szCs w:val="21"/>
              </w:rPr>
            </w:pPr>
            <w:r>
              <w:rPr>
                <w:rFonts w:hint="eastAsia"/>
                <w:sz w:val="21"/>
                <w:szCs w:val="21"/>
              </w:rPr>
              <w:t>节水型单位覆盖率</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p>
        </w:tc>
        <w:tc>
          <w:tcPr>
            <w:tcW w:w="1081" w:type="dxa"/>
            <w:vAlign w:val="center"/>
          </w:tcPr>
          <w:p>
            <w:pPr>
              <w:spacing w:line="276" w:lineRule="auto"/>
              <w:ind w:firstLine="0" w:firstLineChars="0"/>
              <w:jc w:val="center"/>
              <w:rPr>
                <w:sz w:val="21"/>
                <w:szCs w:val="21"/>
              </w:rPr>
            </w:pPr>
            <w:r>
              <w:rPr>
                <w:sz w:val="21"/>
                <w:szCs w:val="21"/>
              </w:rPr>
              <w:t>≥</w:t>
            </w:r>
            <w:r>
              <w:rPr>
                <w:rFonts w:hint="eastAsia"/>
                <w:sz w:val="21"/>
                <w:szCs w:val="21"/>
              </w:rPr>
              <w:t>10</w:t>
            </w:r>
          </w:p>
        </w:tc>
        <w:tc>
          <w:tcPr>
            <w:tcW w:w="1093" w:type="dxa"/>
            <w:vAlign w:val="center"/>
          </w:tcPr>
          <w:p>
            <w:pPr>
              <w:spacing w:line="276" w:lineRule="auto"/>
              <w:ind w:firstLine="0" w:firstLineChars="0"/>
              <w:jc w:val="center"/>
              <w:rPr>
                <w:sz w:val="21"/>
                <w:szCs w:val="21"/>
              </w:rPr>
            </w:pPr>
            <w:r>
              <w:rPr>
                <w:sz w:val="21"/>
                <w:szCs w:val="21"/>
              </w:rPr>
              <w:t>≥</w:t>
            </w:r>
            <w:r>
              <w:rPr>
                <w:rFonts w:hint="eastAsia"/>
                <w:sz w:val="21"/>
                <w:szCs w:val="21"/>
              </w:rPr>
              <w:t>15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trPr>
        <w:tc>
          <w:tcPr>
            <w:tcW w:w="534" w:type="dxa"/>
            <w:vAlign w:val="center"/>
          </w:tcPr>
          <w:p>
            <w:pPr>
              <w:spacing w:line="276" w:lineRule="auto"/>
              <w:ind w:firstLine="0" w:firstLineChars="0"/>
              <w:jc w:val="center"/>
              <w:rPr>
                <w:sz w:val="21"/>
                <w:szCs w:val="21"/>
              </w:rPr>
            </w:pPr>
            <w:r>
              <w:rPr>
                <w:rFonts w:hint="eastAsia"/>
                <w:sz w:val="21"/>
                <w:szCs w:val="21"/>
              </w:rPr>
              <w:t>6</w:t>
            </w:r>
          </w:p>
        </w:tc>
        <w:tc>
          <w:tcPr>
            <w:tcW w:w="4836" w:type="dxa"/>
            <w:vAlign w:val="center"/>
          </w:tcPr>
          <w:p>
            <w:pPr>
              <w:spacing w:line="276" w:lineRule="auto"/>
              <w:ind w:firstLine="0" w:firstLineChars="0"/>
              <w:jc w:val="center"/>
              <w:rPr>
                <w:sz w:val="21"/>
                <w:szCs w:val="21"/>
              </w:rPr>
            </w:pPr>
            <w:r>
              <w:rPr>
                <w:sz w:val="21"/>
                <w:szCs w:val="21"/>
              </w:rPr>
              <w:t>城市居民生活用水量（平均日）</w:t>
            </w:r>
          </w:p>
        </w:tc>
        <w:tc>
          <w:tcPr>
            <w:tcW w:w="1738" w:type="dxa"/>
            <w:vAlign w:val="center"/>
          </w:tcPr>
          <w:p>
            <w:pPr>
              <w:spacing w:line="276" w:lineRule="auto"/>
              <w:ind w:firstLine="0" w:firstLineChars="0"/>
              <w:jc w:val="center"/>
              <w:rPr>
                <w:sz w:val="21"/>
                <w:szCs w:val="21"/>
              </w:rPr>
            </w:pPr>
            <w:r>
              <w:rPr>
                <w:sz w:val="21"/>
                <w:szCs w:val="21"/>
              </w:rPr>
              <w:t>升/人.日</w:t>
            </w:r>
          </w:p>
        </w:tc>
        <w:tc>
          <w:tcPr>
            <w:tcW w:w="798" w:type="dxa"/>
            <w:vAlign w:val="center"/>
          </w:tcPr>
          <w:p>
            <w:pPr>
              <w:spacing w:line="276" w:lineRule="auto"/>
              <w:ind w:firstLine="0" w:firstLineChars="0"/>
              <w:jc w:val="center"/>
              <w:rPr>
                <w:sz w:val="21"/>
                <w:szCs w:val="21"/>
              </w:rPr>
            </w:pPr>
            <w:r>
              <w:rPr>
                <w:rFonts w:hint="eastAsia"/>
                <w:sz w:val="21"/>
                <w:szCs w:val="21"/>
              </w:rPr>
              <w:t>101.11</w:t>
            </w:r>
          </w:p>
        </w:tc>
        <w:tc>
          <w:tcPr>
            <w:tcW w:w="1081" w:type="dxa"/>
            <w:vAlign w:val="center"/>
          </w:tcPr>
          <w:p>
            <w:pPr>
              <w:spacing w:line="276" w:lineRule="auto"/>
              <w:ind w:firstLine="0" w:firstLineChars="0"/>
              <w:jc w:val="center"/>
              <w:rPr>
                <w:sz w:val="21"/>
                <w:szCs w:val="21"/>
              </w:rPr>
            </w:pPr>
            <w:r>
              <w:rPr>
                <w:sz w:val="21"/>
                <w:szCs w:val="21"/>
              </w:rPr>
              <w:t>≤1</w:t>
            </w:r>
            <w:r>
              <w:rPr>
                <w:rFonts w:hint="eastAsia"/>
                <w:sz w:val="21"/>
                <w:szCs w:val="21"/>
              </w:rPr>
              <w:t>1</w:t>
            </w:r>
            <w:r>
              <w:rPr>
                <w:sz w:val="21"/>
                <w:szCs w:val="21"/>
              </w:rPr>
              <w:t>0</w:t>
            </w:r>
          </w:p>
        </w:tc>
        <w:tc>
          <w:tcPr>
            <w:tcW w:w="1093" w:type="dxa"/>
            <w:vAlign w:val="center"/>
          </w:tcPr>
          <w:p>
            <w:pPr>
              <w:spacing w:line="276" w:lineRule="auto"/>
              <w:ind w:firstLine="0" w:firstLineChars="0"/>
              <w:jc w:val="center"/>
              <w:rPr>
                <w:sz w:val="21"/>
                <w:szCs w:val="21"/>
              </w:rPr>
            </w:pPr>
            <w:r>
              <w:rPr>
                <w:sz w:val="21"/>
                <w:szCs w:val="21"/>
              </w:rPr>
              <w:t>≤1</w:t>
            </w:r>
            <w:r>
              <w:rPr>
                <w:rFonts w:hint="eastAsia"/>
                <w:sz w:val="21"/>
                <w:szCs w:val="21"/>
              </w:rPr>
              <w:t>40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trPr>
        <w:tc>
          <w:tcPr>
            <w:tcW w:w="534" w:type="dxa"/>
            <w:vAlign w:val="center"/>
          </w:tcPr>
          <w:p>
            <w:pPr>
              <w:spacing w:line="276" w:lineRule="auto"/>
              <w:ind w:firstLine="0" w:firstLineChars="0"/>
              <w:jc w:val="center"/>
              <w:rPr>
                <w:sz w:val="21"/>
                <w:szCs w:val="21"/>
              </w:rPr>
            </w:pPr>
            <w:r>
              <w:rPr>
                <w:sz w:val="21"/>
                <w:szCs w:val="21"/>
              </w:rPr>
              <w:t>7</w:t>
            </w:r>
          </w:p>
        </w:tc>
        <w:tc>
          <w:tcPr>
            <w:tcW w:w="4836" w:type="dxa"/>
            <w:vAlign w:val="center"/>
          </w:tcPr>
          <w:p>
            <w:pPr>
              <w:spacing w:line="276" w:lineRule="auto"/>
              <w:ind w:firstLine="0" w:firstLineChars="0"/>
              <w:jc w:val="center"/>
              <w:rPr>
                <w:sz w:val="21"/>
                <w:szCs w:val="21"/>
              </w:rPr>
            </w:pPr>
            <w:r>
              <w:rPr>
                <w:rFonts w:hint="eastAsia"/>
                <w:sz w:val="21"/>
                <w:szCs w:val="21"/>
              </w:rPr>
              <w:t>节水型生活用水器具普及率</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r>
              <w:rPr>
                <w:rFonts w:hint="eastAsia"/>
                <w:sz w:val="21"/>
                <w:szCs w:val="21"/>
              </w:rPr>
              <w:t>---</w:t>
            </w:r>
          </w:p>
        </w:tc>
        <w:tc>
          <w:tcPr>
            <w:tcW w:w="1081" w:type="dxa"/>
            <w:vAlign w:val="center"/>
          </w:tcPr>
          <w:p>
            <w:pPr>
              <w:spacing w:line="276" w:lineRule="auto"/>
              <w:ind w:firstLine="0" w:firstLineChars="0"/>
              <w:jc w:val="center"/>
              <w:rPr>
                <w:sz w:val="21"/>
                <w:szCs w:val="21"/>
              </w:rPr>
            </w:pPr>
            <w:r>
              <w:rPr>
                <w:rFonts w:hint="eastAsia"/>
                <w:sz w:val="21"/>
                <w:szCs w:val="21"/>
              </w:rPr>
              <w:t>100</w:t>
            </w:r>
          </w:p>
        </w:tc>
        <w:tc>
          <w:tcPr>
            <w:tcW w:w="1093" w:type="dxa"/>
            <w:vAlign w:val="center"/>
          </w:tcPr>
          <w:p>
            <w:pPr>
              <w:spacing w:line="276" w:lineRule="auto"/>
              <w:ind w:firstLine="0" w:firstLineChars="0"/>
              <w:jc w:val="center"/>
              <w:rPr>
                <w:sz w:val="21"/>
                <w:szCs w:val="21"/>
              </w:rPr>
            </w:pPr>
            <w:r>
              <w:rPr>
                <w:rFonts w:hint="eastAsia"/>
                <w:sz w:val="21"/>
                <w:szCs w:val="21"/>
              </w:rPr>
              <w:t>100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0" w:hRule="exact"/>
        </w:trPr>
        <w:tc>
          <w:tcPr>
            <w:tcW w:w="534" w:type="dxa"/>
            <w:vAlign w:val="center"/>
          </w:tcPr>
          <w:p>
            <w:pPr>
              <w:spacing w:line="276" w:lineRule="auto"/>
              <w:ind w:firstLine="0" w:firstLineChars="0"/>
              <w:jc w:val="center"/>
              <w:rPr>
                <w:sz w:val="21"/>
                <w:szCs w:val="21"/>
              </w:rPr>
            </w:pPr>
            <w:r>
              <w:rPr>
                <w:sz w:val="21"/>
                <w:szCs w:val="21"/>
              </w:rPr>
              <w:t>8</w:t>
            </w:r>
          </w:p>
        </w:tc>
        <w:tc>
          <w:tcPr>
            <w:tcW w:w="4836" w:type="dxa"/>
            <w:vAlign w:val="center"/>
          </w:tcPr>
          <w:p>
            <w:pPr>
              <w:spacing w:line="276" w:lineRule="auto"/>
              <w:ind w:firstLine="0" w:firstLineChars="0"/>
              <w:jc w:val="center"/>
              <w:rPr>
                <w:sz w:val="21"/>
                <w:szCs w:val="21"/>
              </w:rPr>
            </w:pPr>
            <w:r>
              <w:rPr>
                <w:rFonts w:hint="eastAsia"/>
                <w:sz w:val="21"/>
                <w:szCs w:val="21"/>
              </w:rPr>
              <w:t>特种行业用水计量收费率</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r>
              <w:rPr>
                <w:rFonts w:hint="eastAsia"/>
                <w:sz w:val="21"/>
                <w:szCs w:val="21"/>
              </w:rPr>
              <w:t>100</w:t>
            </w:r>
          </w:p>
        </w:tc>
        <w:tc>
          <w:tcPr>
            <w:tcW w:w="1081" w:type="dxa"/>
            <w:vAlign w:val="center"/>
          </w:tcPr>
          <w:p>
            <w:pPr>
              <w:spacing w:line="276" w:lineRule="auto"/>
              <w:ind w:firstLine="0" w:firstLineChars="0"/>
              <w:jc w:val="center"/>
              <w:rPr>
                <w:sz w:val="21"/>
                <w:szCs w:val="21"/>
              </w:rPr>
            </w:pPr>
            <w:r>
              <w:rPr>
                <w:rFonts w:hint="eastAsia"/>
                <w:sz w:val="21"/>
                <w:szCs w:val="21"/>
              </w:rPr>
              <w:t>100</w:t>
            </w:r>
          </w:p>
        </w:tc>
        <w:tc>
          <w:tcPr>
            <w:tcW w:w="1093" w:type="dxa"/>
            <w:vAlign w:val="center"/>
          </w:tcPr>
          <w:p>
            <w:pPr>
              <w:spacing w:line="276" w:lineRule="auto"/>
              <w:ind w:firstLine="0" w:firstLineChars="0"/>
              <w:jc w:val="center"/>
              <w:rPr>
                <w:sz w:val="21"/>
                <w:szCs w:val="21"/>
              </w:rPr>
            </w:pPr>
            <w:r>
              <w:rPr>
                <w:rFonts w:hint="eastAsia"/>
                <w:sz w:val="21"/>
                <w:szCs w:val="21"/>
              </w:rPr>
              <w:t>100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0" w:hRule="exact"/>
        </w:trPr>
        <w:tc>
          <w:tcPr>
            <w:tcW w:w="534" w:type="dxa"/>
            <w:vAlign w:val="center"/>
          </w:tcPr>
          <w:p>
            <w:pPr>
              <w:spacing w:line="276" w:lineRule="auto"/>
              <w:ind w:firstLine="0" w:firstLineChars="0"/>
              <w:jc w:val="center"/>
              <w:rPr>
                <w:sz w:val="21"/>
                <w:szCs w:val="21"/>
              </w:rPr>
            </w:pPr>
            <w:r>
              <w:rPr>
                <w:sz w:val="21"/>
                <w:szCs w:val="21"/>
              </w:rPr>
              <w:t>9</w:t>
            </w:r>
          </w:p>
        </w:tc>
        <w:tc>
          <w:tcPr>
            <w:tcW w:w="4836" w:type="dxa"/>
            <w:vAlign w:val="center"/>
          </w:tcPr>
          <w:p>
            <w:pPr>
              <w:spacing w:line="276" w:lineRule="auto"/>
              <w:ind w:firstLine="0" w:firstLineChars="0"/>
              <w:jc w:val="center"/>
              <w:rPr>
                <w:sz w:val="21"/>
                <w:szCs w:val="21"/>
              </w:rPr>
            </w:pPr>
            <w:r>
              <w:rPr>
                <w:sz w:val="21"/>
                <w:szCs w:val="21"/>
              </w:rPr>
              <w:t>万元工业增加值用水量</w:t>
            </w:r>
          </w:p>
        </w:tc>
        <w:tc>
          <w:tcPr>
            <w:tcW w:w="1738" w:type="dxa"/>
            <w:vAlign w:val="center"/>
          </w:tcPr>
          <w:p>
            <w:pPr>
              <w:spacing w:line="276" w:lineRule="auto"/>
              <w:ind w:firstLine="0" w:firstLineChars="0"/>
              <w:jc w:val="center"/>
              <w:rPr>
                <w:sz w:val="21"/>
                <w:szCs w:val="21"/>
              </w:rPr>
            </w:pPr>
            <w:r>
              <w:rPr>
                <w:sz w:val="21"/>
                <w:szCs w:val="21"/>
              </w:rPr>
              <w:t>立方米/万元</w:t>
            </w:r>
          </w:p>
        </w:tc>
        <w:tc>
          <w:tcPr>
            <w:tcW w:w="798" w:type="dxa"/>
            <w:vAlign w:val="center"/>
          </w:tcPr>
          <w:p>
            <w:pPr>
              <w:spacing w:line="276" w:lineRule="auto"/>
              <w:ind w:firstLine="0" w:firstLineChars="0"/>
              <w:jc w:val="center"/>
              <w:rPr>
                <w:sz w:val="21"/>
                <w:szCs w:val="21"/>
              </w:rPr>
            </w:pPr>
            <w:r>
              <w:rPr>
                <w:rFonts w:hint="eastAsia"/>
                <w:sz w:val="21"/>
                <w:szCs w:val="21"/>
              </w:rPr>
              <w:t>12.29</w:t>
            </w:r>
          </w:p>
        </w:tc>
        <w:tc>
          <w:tcPr>
            <w:tcW w:w="1081" w:type="dxa"/>
            <w:vAlign w:val="center"/>
          </w:tcPr>
          <w:p>
            <w:pPr>
              <w:spacing w:line="276" w:lineRule="auto"/>
              <w:ind w:firstLine="0" w:firstLineChars="0"/>
              <w:jc w:val="center"/>
              <w:rPr>
                <w:sz w:val="21"/>
                <w:szCs w:val="21"/>
              </w:rPr>
            </w:pPr>
            <w:r>
              <w:rPr>
                <w:sz w:val="21"/>
                <w:szCs w:val="21"/>
              </w:rPr>
              <w:t>≤</w:t>
            </w:r>
            <w:r>
              <w:rPr>
                <w:rFonts w:hint="eastAsia"/>
                <w:sz w:val="21"/>
                <w:szCs w:val="21"/>
              </w:rPr>
              <w:t>12</w:t>
            </w:r>
          </w:p>
        </w:tc>
        <w:tc>
          <w:tcPr>
            <w:tcW w:w="1093" w:type="dxa"/>
            <w:vAlign w:val="center"/>
          </w:tcPr>
          <w:p>
            <w:pPr>
              <w:spacing w:line="276" w:lineRule="auto"/>
              <w:ind w:firstLine="0" w:firstLineChars="0"/>
              <w:jc w:val="center"/>
              <w:rPr>
                <w:sz w:val="21"/>
                <w:szCs w:val="21"/>
              </w:rPr>
            </w:pPr>
            <w:r>
              <w:rPr>
                <w:sz w:val="21"/>
                <w:szCs w:val="21"/>
              </w:rPr>
              <w:t>≤</w:t>
            </w:r>
            <w:r>
              <w:rPr>
                <w:rFonts w:hint="eastAsia"/>
                <w:sz w:val="21"/>
                <w:szCs w:val="21"/>
              </w:rPr>
              <w:t>10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0" w:hRule="exact"/>
        </w:trPr>
        <w:tc>
          <w:tcPr>
            <w:tcW w:w="534" w:type="dxa"/>
            <w:vAlign w:val="center"/>
          </w:tcPr>
          <w:p>
            <w:pPr>
              <w:spacing w:line="276" w:lineRule="auto"/>
              <w:ind w:firstLine="0" w:firstLineChars="0"/>
              <w:jc w:val="center"/>
              <w:rPr>
                <w:sz w:val="21"/>
                <w:szCs w:val="21"/>
              </w:rPr>
            </w:pPr>
            <w:r>
              <w:rPr>
                <w:sz w:val="21"/>
                <w:szCs w:val="21"/>
              </w:rPr>
              <w:t>10</w:t>
            </w:r>
          </w:p>
        </w:tc>
        <w:tc>
          <w:tcPr>
            <w:tcW w:w="4836" w:type="dxa"/>
            <w:vAlign w:val="center"/>
          </w:tcPr>
          <w:p>
            <w:pPr>
              <w:spacing w:line="276" w:lineRule="auto"/>
              <w:ind w:firstLine="0" w:firstLineChars="0"/>
              <w:jc w:val="center"/>
              <w:rPr>
                <w:sz w:val="21"/>
                <w:szCs w:val="21"/>
              </w:rPr>
            </w:pPr>
            <w:r>
              <w:rPr>
                <w:sz w:val="21"/>
                <w:szCs w:val="21"/>
              </w:rPr>
              <w:t>工业用水重复利用率（不含电厂）</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r>
              <w:rPr>
                <w:rFonts w:hint="eastAsia"/>
                <w:sz w:val="21"/>
                <w:szCs w:val="21"/>
              </w:rPr>
              <w:t>83.97</w:t>
            </w:r>
          </w:p>
        </w:tc>
        <w:tc>
          <w:tcPr>
            <w:tcW w:w="1081" w:type="dxa"/>
            <w:vAlign w:val="center"/>
          </w:tcPr>
          <w:p>
            <w:pPr>
              <w:spacing w:line="276" w:lineRule="auto"/>
              <w:ind w:firstLine="0" w:firstLineChars="0"/>
              <w:jc w:val="center"/>
              <w:rPr>
                <w:sz w:val="21"/>
                <w:szCs w:val="21"/>
              </w:rPr>
            </w:pPr>
            <w:r>
              <w:rPr>
                <w:sz w:val="21"/>
                <w:szCs w:val="21"/>
              </w:rPr>
              <w:t>≥</w:t>
            </w:r>
            <w:r>
              <w:rPr>
                <w:rFonts w:hint="eastAsia"/>
                <w:sz w:val="21"/>
                <w:szCs w:val="21"/>
              </w:rPr>
              <w:t>8</w:t>
            </w:r>
            <w:r>
              <w:rPr>
                <w:sz w:val="21"/>
                <w:szCs w:val="21"/>
              </w:rPr>
              <w:t>3</w:t>
            </w:r>
          </w:p>
        </w:tc>
        <w:tc>
          <w:tcPr>
            <w:tcW w:w="1093" w:type="dxa"/>
            <w:vAlign w:val="center"/>
          </w:tcPr>
          <w:p>
            <w:pPr>
              <w:spacing w:line="276" w:lineRule="auto"/>
              <w:ind w:firstLine="0" w:firstLineChars="0"/>
              <w:jc w:val="center"/>
              <w:rPr>
                <w:sz w:val="21"/>
                <w:szCs w:val="21"/>
              </w:rPr>
            </w:pPr>
            <w:r>
              <w:rPr>
                <w:sz w:val="21"/>
                <w:szCs w:val="21"/>
              </w:rPr>
              <w:t>≥</w:t>
            </w:r>
            <w:r>
              <w:rPr>
                <w:rFonts w:hint="eastAsia"/>
                <w:sz w:val="21"/>
                <w:szCs w:val="21"/>
              </w:rPr>
              <w:t>88</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0" w:hRule="exact"/>
        </w:trPr>
        <w:tc>
          <w:tcPr>
            <w:tcW w:w="534" w:type="dxa"/>
            <w:vAlign w:val="center"/>
          </w:tcPr>
          <w:p>
            <w:pPr>
              <w:spacing w:line="276" w:lineRule="auto"/>
              <w:ind w:firstLine="0" w:firstLineChars="0"/>
              <w:jc w:val="center"/>
              <w:rPr>
                <w:sz w:val="21"/>
                <w:szCs w:val="21"/>
              </w:rPr>
            </w:pPr>
            <w:r>
              <w:rPr>
                <w:rFonts w:hint="eastAsia"/>
                <w:sz w:val="21"/>
                <w:szCs w:val="21"/>
              </w:rPr>
              <w:t>11</w:t>
            </w:r>
          </w:p>
        </w:tc>
        <w:tc>
          <w:tcPr>
            <w:tcW w:w="4836" w:type="dxa"/>
            <w:vAlign w:val="center"/>
          </w:tcPr>
          <w:p>
            <w:pPr>
              <w:spacing w:line="276" w:lineRule="auto"/>
              <w:ind w:firstLine="0" w:firstLineChars="0"/>
              <w:jc w:val="center"/>
              <w:rPr>
                <w:sz w:val="21"/>
                <w:szCs w:val="21"/>
              </w:rPr>
            </w:pPr>
            <w:r>
              <w:rPr>
                <w:rFonts w:hint="eastAsia"/>
                <w:sz w:val="21"/>
                <w:szCs w:val="21"/>
              </w:rPr>
              <w:t>工业企业单位产品用水量</w:t>
            </w:r>
          </w:p>
        </w:tc>
        <w:tc>
          <w:tcPr>
            <w:tcW w:w="4710" w:type="dxa"/>
            <w:gridSpan w:val="4"/>
            <w:vAlign w:val="center"/>
          </w:tcPr>
          <w:p>
            <w:pPr>
              <w:spacing w:line="276" w:lineRule="auto"/>
              <w:ind w:firstLine="0" w:firstLineChars="0"/>
              <w:jc w:val="center"/>
              <w:rPr>
                <w:sz w:val="21"/>
                <w:szCs w:val="21"/>
              </w:rPr>
            </w:pPr>
            <w:r>
              <w:rPr>
                <w:sz w:val="21"/>
                <w:szCs w:val="21"/>
              </w:rPr>
              <w:t>低于安徽省行业用水定额标准</w:t>
            </w:r>
            <w:r>
              <w:rPr>
                <w:rFonts w:hint="eastAsia"/>
                <w:sz w:val="21"/>
                <w:szCs w:val="21"/>
              </w:rPr>
              <w:t>限制</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trPr>
        <w:tc>
          <w:tcPr>
            <w:tcW w:w="534" w:type="dxa"/>
            <w:vAlign w:val="center"/>
          </w:tcPr>
          <w:p>
            <w:pPr>
              <w:spacing w:line="276" w:lineRule="auto"/>
              <w:ind w:firstLine="0" w:firstLineChars="0"/>
              <w:jc w:val="center"/>
              <w:rPr>
                <w:sz w:val="21"/>
                <w:szCs w:val="21"/>
              </w:rPr>
            </w:pPr>
            <w:r>
              <w:rPr>
                <w:rFonts w:hint="eastAsia"/>
                <w:sz w:val="21"/>
                <w:szCs w:val="21"/>
              </w:rPr>
              <w:t>12</w:t>
            </w:r>
          </w:p>
        </w:tc>
        <w:tc>
          <w:tcPr>
            <w:tcW w:w="4836" w:type="dxa"/>
            <w:vAlign w:val="center"/>
          </w:tcPr>
          <w:p>
            <w:pPr>
              <w:spacing w:line="276" w:lineRule="auto"/>
              <w:ind w:firstLine="0" w:firstLineChars="0"/>
              <w:jc w:val="center"/>
              <w:rPr>
                <w:sz w:val="21"/>
                <w:szCs w:val="21"/>
              </w:rPr>
            </w:pPr>
            <w:r>
              <w:rPr>
                <w:rFonts w:hint="eastAsia"/>
                <w:sz w:val="21"/>
                <w:szCs w:val="21"/>
              </w:rPr>
              <w:t>节水型企业覆盖率</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r>
              <w:rPr>
                <w:rFonts w:hint="eastAsia"/>
                <w:sz w:val="21"/>
                <w:szCs w:val="21"/>
              </w:rPr>
              <w:t>较低</w:t>
            </w:r>
          </w:p>
        </w:tc>
        <w:tc>
          <w:tcPr>
            <w:tcW w:w="1081" w:type="dxa"/>
            <w:vAlign w:val="center"/>
          </w:tcPr>
          <w:p>
            <w:pPr>
              <w:spacing w:line="276" w:lineRule="auto"/>
              <w:ind w:firstLine="0" w:firstLineChars="0"/>
              <w:jc w:val="center"/>
              <w:rPr>
                <w:sz w:val="21"/>
                <w:szCs w:val="21"/>
              </w:rPr>
            </w:pPr>
            <w:r>
              <w:rPr>
                <w:sz w:val="21"/>
                <w:szCs w:val="21"/>
              </w:rPr>
              <w:t>≥</w:t>
            </w:r>
            <w:r>
              <w:rPr>
                <w:rFonts w:hint="eastAsia"/>
                <w:sz w:val="21"/>
                <w:szCs w:val="21"/>
              </w:rPr>
              <w:t>15</w:t>
            </w:r>
          </w:p>
        </w:tc>
        <w:tc>
          <w:tcPr>
            <w:tcW w:w="1093" w:type="dxa"/>
            <w:vAlign w:val="center"/>
          </w:tcPr>
          <w:p>
            <w:pPr>
              <w:spacing w:line="276" w:lineRule="auto"/>
              <w:ind w:firstLine="0" w:firstLineChars="0"/>
              <w:jc w:val="center"/>
              <w:rPr>
                <w:sz w:val="21"/>
                <w:szCs w:val="21"/>
              </w:rPr>
            </w:pPr>
            <w:r>
              <w:rPr>
                <w:sz w:val="21"/>
                <w:szCs w:val="21"/>
              </w:rPr>
              <w:t>≥</w:t>
            </w:r>
            <w:r>
              <w:rPr>
                <w:rFonts w:hint="eastAsia"/>
                <w:sz w:val="21"/>
                <w:szCs w:val="21"/>
              </w:rPr>
              <w:t>25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trPr>
        <w:tc>
          <w:tcPr>
            <w:tcW w:w="534" w:type="dxa"/>
            <w:vAlign w:val="center"/>
          </w:tcPr>
          <w:p>
            <w:pPr>
              <w:spacing w:line="276" w:lineRule="auto"/>
              <w:ind w:firstLine="0" w:firstLineChars="0"/>
              <w:jc w:val="center"/>
              <w:rPr>
                <w:sz w:val="21"/>
                <w:szCs w:val="21"/>
              </w:rPr>
            </w:pPr>
            <w:r>
              <w:rPr>
                <w:rFonts w:hint="eastAsia"/>
                <w:sz w:val="21"/>
                <w:szCs w:val="21"/>
              </w:rPr>
              <w:t>13</w:t>
            </w:r>
          </w:p>
        </w:tc>
        <w:tc>
          <w:tcPr>
            <w:tcW w:w="4836" w:type="dxa"/>
            <w:vAlign w:val="center"/>
          </w:tcPr>
          <w:p>
            <w:pPr>
              <w:spacing w:line="276" w:lineRule="auto"/>
              <w:ind w:firstLine="0" w:firstLineChars="0"/>
              <w:jc w:val="center"/>
              <w:rPr>
                <w:sz w:val="21"/>
                <w:szCs w:val="21"/>
              </w:rPr>
            </w:pPr>
            <w:r>
              <w:rPr>
                <w:sz w:val="21"/>
                <w:szCs w:val="21"/>
              </w:rPr>
              <w:t>水环境质量达标率</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r>
              <w:rPr>
                <w:rFonts w:hint="eastAsia"/>
                <w:sz w:val="21"/>
                <w:szCs w:val="21"/>
              </w:rPr>
              <w:t>100</w:t>
            </w:r>
          </w:p>
        </w:tc>
        <w:tc>
          <w:tcPr>
            <w:tcW w:w="1081" w:type="dxa"/>
            <w:vAlign w:val="center"/>
          </w:tcPr>
          <w:p>
            <w:pPr>
              <w:spacing w:line="276" w:lineRule="auto"/>
              <w:ind w:firstLine="0" w:firstLineChars="0"/>
              <w:jc w:val="center"/>
              <w:rPr>
                <w:sz w:val="21"/>
                <w:szCs w:val="21"/>
              </w:rPr>
            </w:pPr>
            <w:r>
              <w:rPr>
                <w:sz w:val="21"/>
                <w:szCs w:val="21"/>
              </w:rPr>
              <w:t>100</w:t>
            </w:r>
          </w:p>
        </w:tc>
        <w:tc>
          <w:tcPr>
            <w:tcW w:w="1093" w:type="dxa"/>
            <w:vAlign w:val="center"/>
          </w:tcPr>
          <w:p>
            <w:pPr>
              <w:spacing w:line="276" w:lineRule="auto"/>
              <w:ind w:firstLine="0" w:firstLineChars="0"/>
              <w:jc w:val="center"/>
              <w:rPr>
                <w:sz w:val="21"/>
                <w:szCs w:val="21"/>
              </w:rPr>
            </w:pPr>
            <w:r>
              <w:rPr>
                <w:sz w:val="21"/>
                <w:szCs w:val="21"/>
              </w:rPr>
              <w:t>100</w:t>
            </w:r>
          </w:p>
        </w:tc>
      </w:tr>
    </w:tbl>
    <w:p>
      <w:pPr>
        <w:pStyle w:val="3"/>
        <w:spacing w:before="120" w:after="60" w:line="360" w:lineRule="auto"/>
        <w:ind w:firstLine="602"/>
        <w:rPr>
          <w:rFonts w:ascii="Times New Roman" w:hAnsi="Times New Roman"/>
        </w:rPr>
      </w:pPr>
      <w:bookmarkStart w:id="247" w:name="_Toc8032587"/>
      <w:r>
        <w:rPr>
          <w:rFonts w:hint="eastAsia" w:ascii="Times New Roman" w:hAnsi="Times New Roman"/>
        </w:rPr>
        <w:t>3</w:t>
      </w:r>
      <w:r>
        <w:rPr>
          <w:rFonts w:ascii="Times New Roman" w:hAnsi="Times New Roman"/>
        </w:rPr>
        <w:t>.7</w:t>
      </w:r>
      <w:r>
        <w:rPr>
          <w:rFonts w:hint="eastAsia" w:ascii="Times New Roman" w:hAnsi="Times New Roman"/>
        </w:rPr>
        <w:t xml:space="preserve">  </w:t>
      </w:r>
      <w:r>
        <w:rPr>
          <w:rFonts w:ascii="Times New Roman" w:hAnsi="Times New Roman"/>
          <w:spacing w:val="17"/>
        </w:rPr>
        <w:t>节水规划技术路线</w:t>
      </w:r>
      <w:bookmarkEnd w:id="247"/>
    </w:p>
    <w:p>
      <w:pPr>
        <w:pStyle w:val="16"/>
        <w:spacing w:line="360" w:lineRule="auto"/>
        <w:ind w:firstLine="560"/>
        <w:rPr>
          <w:iCs/>
        </w:rPr>
      </w:pPr>
      <w:r>
        <w:rPr>
          <w:rFonts w:hint="eastAsia"/>
          <w:iCs/>
        </w:rPr>
        <w:t>淮北市城市节约用水专项规划（2018-2035）编制的技术路线，主要包括现状及形势分析、关键技术问题研究、规划目标制定、规划布局和主要任务确定、制度建设、重点工程、规划效益与环境影响评价和保障措施制定等。</w:t>
      </w:r>
    </w:p>
    <w:p>
      <w:pPr>
        <w:pStyle w:val="16"/>
        <w:spacing w:line="360" w:lineRule="auto"/>
        <w:ind w:firstLine="560"/>
        <w:rPr>
          <w:iCs/>
        </w:rPr>
      </w:pPr>
      <w:r>
        <w:rPr>
          <w:rFonts w:hint="eastAsia"/>
          <w:iCs/>
        </w:rPr>
        <w:t>规划编制技术路线示意图见图3-1。</w:t>
      </w:r>
    </w:p>
    <w:p>
      <w:pPr>
        <w:pStyle w:val="16"/>
        <w:spacing w:line="360" w:lineRule="auto"/>
        <w:ind w:firstLine="560"/>
        <w:rPr>
          <w:iCs/>
        </w:rPr>
      </w:pPr>
    </w:p>
    <w:p>
      <w:pPr>
        <w:pStyle w:val="16"/>
        <w:spacing w:line="360" w:lineRule="auto"/>
        <w:ind w:firstLine="560"/>
        <w:rPr>
          <w:iCs/>
        </w:rPr>
      </w:pPr>
    </w:p>
    <w:p>
      <w:pPr>
        <w:pStyle w:val="16"/>
        <w:spacing w:line="360" w:lineRule="auto"/>
        <w:ind w:firstLine="560"/>
        <w:rPr>
          <w:rFonts w:cs="Times New Roman"/>
        </w:rPr>
      </w:pPr>
    </w:p>
    <w:p>
      <w:pPr>
        <w:pStyle w:val="16"/>
        <w:kinsoku w:val="0"/>
        <w:overflowPunct w:val="0"/>
        <w:spacing w:before="26" w:line="240" w:lineRule="auto"/>
        <w:ind w:right="4177" w:firstLine="560"/>
        <w:rPr>
          <w:rFonts w:cs="Times New Roman"/>
        </w:rPr>
      </w:pPr>
      <w:r>
        <w:object>
          <v:shape id="_x0000_i1025" o:spt="75" type="#_x0000_t75" style="height:546pt;width:451.5pt;" o:ole="t" filled="f" o:preferrelative="t" stroked="f" coordsize="21600,21600">
            <v:path/>
            <v:fill on="f" focussize="0,0"/>
            <v:stroke on="f" joinstyle="miter"/>
            <v:imagedata r:id="rId62" o:title=""/>
            <o:lock v:ext="edit" aspectratio="t"/>
            <w10:wrap type="none"/>
            <w10:anchorlock/>
          </v:shape>
          <o:OLEObject Type="Embed" ProgID="Visio.Drawing.11" ShapeID="_x0000_i1025" DrawAspect="Content" ObjectID="_1468075725" r:id="rId61">
            <o:LockedField>false</o:LockedField>
          </o:OLEObject>
        </w:object>
      </w:r>
    </w:p>
    <w:p>
      <w:pPr>
        <w:pStyle w:val="72"/>
      </w:pPr>
    </w:p>
    <w:p>
      <w:pPr>
        <w:pStyle w:val="16"/>
        <w:kinsoku w:val="0"/>
        <w:overflowPunct w:val="0"/>
        <w:spacing w:line="240" w:lineRule="auto"/>
        <w:ind w:firstLine="0" w:firstLineChars="0"/>
        <w:jc w:val="center"/>
        <w:rPr>
          <w:rFonts w:cs="Times New Roman"/>
          <w:b/>
          <w:spacing w:val="15"/>
        </w:rPr>
      </w:pPr>
      <w:r>
        <w:rPr>
          <w:rFonts w:hint="eastAsia" w:cs="Times New Roman"/>
          <w:b/>
          <w:spacing w:val="15"/>
        </w:rPr>
        <w:t xml:space="preserve">图3-1 </w:t>
      </w:r>
      <w:r>
        <w:rPr>
          <w:rFonts w:cs="Times New Roman"/>
          <w:b/>
          <w:spacing w:val="15"/>
        </w:rPr>
        <w:t>城市节约用水规划技术路线图</w:t>
      </w:r>
    </w:p>
    <w:p>
      <w:pPr>
        <w:spacing w:before="120"/>
        <w:ind w:firstLine="560"/>
        <w:rPr>
          <w:color w:val="000000"/>
        </w:rPr>
      </w:pPr>
    </w:p>
    <w:p>
      <w:pPr>
        <w:pStyle w:val="3"/>
        <w:spacing w:before="120" w:after="60" w:line="360" w:lineRule="auto"/>
        <w:ind w:firstLine="602"/>
        <w:rPr>
          <w:rFonts w:ascii="Times New Roman" w:hAnsi="Times New Roman"/>
        </w:rPr>
      </w:pPr>
      <w:bookmarkStart w:id="248" w:name="_Toc8032588"/>
      <w:bookmarkStart w:id="249" w:name="_Toc514062581"/>
      <w:bookmarkStart w:id="250" w:name="_Toc531180098"/>
      <w:r>
        <w:rPr>
          <w:rFonts w:hint="eastAsia" w:ascii="Times New Roman" w:hAnsi="Times New Roman"/>
        </w:rPr>
        <w:t>3.8 主要任务</w:t>
      </w:r>
      <w:bookmarkEnd w:id="248"/>
      <w:bookmarkEnd w:id="249"/>
      <w:bookmarkEnd w:id="250"/>
    </w:p>
    <w:p>
      <w:pPr>
        <w:pStyle w:val="16"/>
        <w:spacing w:line="360" w:lineRule="auto"/>
        <w:ind w:firstLine="560"/>
        <w:rPr>
          <w:rFonts w:cs="Times New Roman"/>
        </w:rPr>
      </w:pPr>
      <w:r>
        <w:rPr>
          <w:rFonts w:hint="eastAsia" w:cs="Times New Roman"/>
        </w:rPr>
        <w:t>节水型城市建设的战略性任务是以生态文明建设为统领，以最严格水资源管理制度为指导，以水资源消耗总量为抓手，以提高用水效率、促进防污减排为核心，主要推进以下节水型城市五大体系建设。</w:t>
      </w:r>
    </w:p>
    <w:p>
      <w:pPr>
        <w:pStyle w:val="4"/>
      </w:pPr>
      <w:bookmarkStart w:id="251" w:name="_Toc531180099"/>
      <w:bookmarkStart w:id="252" w:name="_Toc8032589"/>
      <w:bookmarkStart w:id="253" w:name="_Toc514062582"/>
      <w:r>
        <w:rPr>
          <w:rFonts w:hint="eastAsia"/>
        </w:rPr>
        <w:t>3.8.1完善以节水减污为主线的政策保障和措施体系</w:t>
      </w:r>
      <w:bookmarkEnd w:id="251"/>
      <w:bookmarkEnd w:id="252"/>
      <w:bookmarkEnd w:id="253"/>
    </w:p>
    <w:p>
      <w:pPr>
        <w:pStyle w:val="16"/>
        <w:spacing w:line="360" w:lineRule="auto"/>
        <w:ind w:firstLine="560"/>
        <w:rPr>
          <w:rFonts w:cs="Times New Roman"/>
        </w:rPr>
      </w:pPr>
      <w:r>
        <w:rPr>
          <w:rFonts w:hint="eastAsia" w:cs="Times New Roman"/>
        </w:rPr>
        <w:t>积极研究鼓励节水、限制浪费的节水法规和激励性财政、税收引导政策。鼓励和引导生产、销售和使用节水设备，减少水资源的使用量，控制废污水排放量。优化和完善现有的用水、节水管理办法，提高可操作性和权威性。科学合理开发地表和地下水资源，提高污水集中处理率，加大力度实施污水再生利用相关措施及水环境治理相关措施。</w:t>
      </w:r>
    </w:p>
    <w:p>
      <w:pPr>
        <w:pStyle w:val="4"/>
      </w:pPr>
      <w:bookmarkStart w:id="254" w:name="_Toc514062583"/>
      <w:bookmarkStart w:id="255" w:name="_Toc8032590"/>
      <w:bookmarkStart w:id="256" w:name="_Toc531180100"/>
      <w:r>
        <w:rPr>
          <w:rFonts w:hint="eastAsia"/>
        </w:rPr>
        <w:t>3.8.2</w:t>
      </w:r>
      <w:bookmarkEnd w:id="254"/>
      <w:r>
        <w:rPr>
          <w:rFonts w:hint="eastAsia"/>
        </w:rPr>
        <w:t>强化以</w:t>
      </w:r>
      <w:r>
        <w:t>提高用水效率为核心的</w:t>
      </w:r>
      <w:r>
        <w:rPr>
          <w:rFonts w:hint="eastAsia"/>
        </w:rPr>
        <w:t>管理体系</w:t>
      </w:r>
      <w:bookmarkEnd w:id="255"/>
      <w:bookmarkEnd w:id="256"/>
    </w:p>
    <w:p>
      <w:pPr>
        <w:pStyle w:val="16"/>
        <w:spacing w:line="360" w:lineRule="auto"/>
        <w:ind w:firstLine="560"/>
        <w:rPr>
          <w:rFonts w:cs="Times New Roman"/>
        </w:rPr>
      </w:pPr>
      <w:r>
        <w:rPr>
          <w:rFonts w:hint="eastAsia" w:cs="Times New Roman"/>
        </w:rPr>
        <w:t>根据新时期淮北市社会经济建设对节水型城市建设的新要求，在实行最严格的水资源管理制度的背景下，以提高水资源利用效率和效益为核心，紧密结合水资源消耗总量和强度控制落实，进一步强化需水管理，严格执行以区域取用水总量控制和定额管理为重点的水资源配置管理制度，严格执行以取水许可制度为重点的取用水管理制度，落实水量分配指标，强化计划用水和定额管理，严格执行超计划用水加价收费，逐步实现大用水户计划用水管理全覆盖，严格执行以水功能区管理为重点的水资源保护制度，提高水资源监测、计量监督等工作的科技含量，全面加强节水管理能力建设，逐步建成现代化水资源管理体系。</w:t>
      </w:r>
    </w:p>
    <w:p>
      <w:pPr>
        <w:pStyle w:val="4"/>
      </w:pPr>
      <w:bookmarkStart w:id="257" w:name="_Toc514062584"/>
      <w:bookmarkStart w:id="258" w:name="_Toc8032591"/>
      <w:bookmarkStart w:id="259" w:name="_Toc531180101"/>
      <w:r>
        <w:rPr>
          <w:rFonts w:hint="eastAsia"/>
        </w:rPr>
        <w:t>3.8.3</w:t>
      </w:r>
      <w:bookmarkEnd w:id="257"/>
      <w:r>
        <w:rPr>
          <w:rFonts w:hint="eastAsia"/>
        </w:rPr>
        <w:t xml:space="preserve"> 建立和促进非常规水资源利用体系</w:t>
      </w:r>
      <w:bookmarkEnd w:id="258"/>
      <w:bookmarkEnd w:id="259"/>
    </w:p>
    <w:p>
      <w:pPr>
        <w:pStyle w:val="16"/>
        <w:spacing w:line="360" w:lineRule="auto"/>
        <w:ind w:firstLine="560"/>
        <w:rPr>
          <w:rFonts w:cs="Times New Roman"/>
        </w:rPr>
      </w:pPr>
      <w:bookmarkStart w:id="260" w:name="_Toc514062585"/>
      <w:r>
        <w:rPr>
          <w:rFonts w:hint="eastAsia" w:cs="Times New Roman"/>
        </w:rPr>
        <w:t>积极鼓励</w:t>
      </w:r>
      <w:r>
        <w:rPr>
          <w:rFonts w:cs="Times New Roman"/>
        </w:rPr>
        <w:t>再生水回用，科学制定再生水回用的政策法规，制定再生水利用奖惩办法，</w:t>
      </w:r>
      <w:r>
        <w:rPr>
          <w:rFonts w:hint="eastAsia" w:cs="Times New Roman"/>
        </w:rPr>
        <w:t>根据</w:t>
      </w:r>
      <w:r>
        <w:rPr>
          <w:rFonts w:cs="Times New Roman"/>
        </w:rPr>
        <w:t>再生水的投资运行成本、供水规模和供水水质，制定合理的</w:t>
      </w:r>
      <w:r>
        <w:rPr>
          <w:rFonts w:hint="eastAsia" w:cs="Times New Roman"/>
        </w:rPr>
        <w:t>再生水价格</w:t>
      </w:r>
      <w:r>
        <w:rPr>
          <w:rFonts w:cs="Times New Roman"/>
        </w:rPr>
        <w:t>。</w:t>
      </w:r>
      <w:r>
        <w:rPr>
          <w:rFonts w:hint="eastAsia" w:cs="Times New Roman"/>
        </w:rPr>
        <w:t>建立政府</w:t>
      </w:r>
      <w:r>
        <w:rPr>
          <w:rFonts w:cs="Times New Roman"/>
        </w:rPr>
        <w:t>、企业、社会多元化投入机制，加大政府公共财政的投入，鼓励和吸引社会资金参与</w:t>
      </w:r>
      <w:r>
        <w:rPr>
          <w:rFonts w:hint="eastAsia" w:cs="Times New Roman"/>
        </w:rPr>
        <w:t>再生水</w:t>
      </w:r>
      <w:r>
        <w:rPr>
          <w:rFonts w:cs="Times New Roman"/>
        </w:rPr>
        <w:t>利用设施建设和运营，</w:t>
      </w:r>
      <w:r>
        <w:rPr>
          <w:rFonts w:hint="eastAsia" w:cs="Times New Roman"/>
        </w:rPr>
        <w:t>推进</w:t>
      </w:r>
      <w:r>
        <w:rPr>
          <w:rFonts w:cs="Times New Roman"/>
        </w:rPr>
        <w:t>再生水回用的市场化和产业化，逐步完善再生水回用配套设施建设。</w:t>
      </w:r>
    </w:p>
    <w:p>
      <w:pPr>
        <w:pStyle w:val="16"/>
        <w:spacing w:line="360" w:lineRule="auto"/>
        <w:ind w:firstLine="560"/>
        <w:rPr>
          <w:rFonts w:cs="Times New Roman"/>
        </w:rPr>
      </w:pPr>
      <w:r>
        <w:rPr>
          <w:rFonts w:hint="eastAsia" w:cs="Times New Roman"/>
        </w:rPr>
        <w:t>对</w:t>
      </w:r>
      <w:r>
        <w:rPr>
          <w:rFonts w:cs="Times New Roman"/>
        </w:rPr>
        <w:t>区域内</w:t>
      </w:r>
      <w:r>
        <w:rPr>
          <w:rFonts w:hint="eastAsia" w:cs="Times New Roman"/>
        </w:rPr>
        <w:t>具备</w:t>
      </w:r>
      <w:r>
        <w:rPr>
          <w:rFonts w:cs="Times New Roman"/>
        </w:rPr>
        <w:t>利用条件的</w:t>
      </w:r>
      <w:r>
        <w:rPr>
          <w:rFonts w:hint="eastAsia" w:cs="Times New Roman"/>
        </w:rPr>
        <w:t>污水处理厂</w:t>
      </w:r>
      <w:r>
        <w:rPr>
          <w:rFonts w:cs="Times New Roman"/>
        </w:rPr>
        <w:t>进行统一规划，进一步提升再生水处理能力，完善配套输水管网，拓展再生水利用</w:t>
      </w:r>
      <w:r>
        <w:rPr>
          <w:rFonts w:hint="eastAsia" w:cs="Times New Roman"/>
        </w:rPr>
        <w:t>方向</w:t>
      </w:r>
      <w:r>
        <w:rPr>
          <w:rFonts w:cs="Times New Roman"/>
        </w:rPr>
        <w:t>，全面提升</w:t>
      </w:r>
      <w:r>
        <w:rPr>
          <w:rFonts w:hint="eastAsia" w:cs="Times New Roman"/>
        </w:rPr>
        <w:t>规划区域</w:t>
      </w:r>
      <w:r>
        <w:rPr>
          <w:rFonts w:cs="Times New Roman"/>
        </w:rPr>
        <w:t>再生水利用水平。</w:t>
      </w:r>
    </w:p>
    <w:p>
      <w:pPr>
        <w:pStyle w:val="4"/>
      </w:pPr>
      <w:bookmarkStart w:id="261" w:name="_Toc8032592"/>
      <w:bookmarkStart w:id="262" w:name="_Toc531180102"/>
      <w:r>
        <w:rPr>
          <w:rFonts w:hint="eastAsia"/>
        </w:rPr>
        <w:t>3.8.4</w:t>
      </w:r>
      <w:bookmarkEnd w:id="260"/>
      <w:r>
        <w:rPr>
          <w:rFonts w:hint="eastAsia"/>
        </w:rPr>
        <w:t>积极强化</w:t>
      </w:r>
      <w:r>
        <w:t>节水技术</w:t>
      </w:r>
      <w:r>
        <w:rPr>
          <w:rFonts w:hint="eastAsia"/>
        </w:rPr>
        <w:t>保障体系</w:t>
      </w:r>
      <w:bookmarkEnd w:id="261"/>
      <w:bookmarkEnd w:id="262"/>
    </w:p>
    <w:p>
      <w:pPr>
        <w:pStyle w:val="16"/>
        <w:spacing w:line="360" w:lineRule="auto"/>
        <w:ind w:firstLine="560"/>
        <w:rPr>
          <w:rFonts w:cs="Times New Roman"/>
        </w:rPr>
      </w:pPr>
      <w:r>
        <w:rPr>
          <w:rFonts w:hint="eastAsia" w:cs="Times New Roman"/>
        </w:rPr>
        <w:t>加大</w:t>
      </w:r>
      <w:r>
        <w:rPr>
          <w:rFonts w:cs="Times New Roman"/>
        </w:rPr>
        <w:t>高耗水行业和重点用水企业节水技术改造力度，针对存在的问题，组织科技攻关，开发先进的</w:t>
      </w:r>
      <w:r>
        <w:rPr>
          <w:rFonts w:hint="eastAsia" w:cs="Times New Roman"/>
        </w:rPr>
        <w:t>节水型</w:t>
      </w:r>
      <w:r>
        <w:rPr>
          <w:rFonts w:cs="Times New Roman"/>
        </w:rPr>
        <w:t>或无水型技术与产品，推广国家和省鼓励的节水技术、工艺和产品；优先支持工业节水用水技术创新和推广项目。</w:t>
      </w:r>
      <w:r>
        <w:rPr>
          <w:rFonts w:hint="eastAsia" w:cs="Times New Roman"/>
        </w:rPr>
        <w:t>当前</w:t>
      </w:r>
      <w:r>
        <w:rPr>
          <w:rFonts w:cs="Times New Roman"/>
        </w:rPr>
        <w:t>重点推广的技术、工艺与产品是：工业用水重复利用，冷却、热力和工艺系统，洗涤节水，工业给水和废水处理，非常规水资源利用，工业输水管网、设备防漏和快速堵漏修复，工业用水计量和低耗水的用水设备、产品等。有</w:t>
      </w:r>
      <w:r>
        <w:rPr>
          <w:rFonts w:hint="eastAsia" w:cs="Times New Roman"/>
        </w:rPr>
        <w:t>条件的</w:t>
      </w:r>
      <w:r>
        <w:rPr>
          <w:rFonts w:cs="Times New Roman"/>
        </w:rPr>
        <w:t>地方，要积极采用分质供水措施。</w:t>
      </w:r>
    </w:p>
    <w:p>
      <w:pPr>
        <w:pStyle w:val="4"/>
      </w:pPr>
      <w:bookmarkStart w:id="263" w:name="_Toc531180103"/>
      <w:bookmarkStart w:id="264" w:name="_Toc8032593"/>
      <w:bookmarkStart w:id="265" w:name="_Toc514062586"/>
      <w:r>
        <w:rPr>
          <w:rFonts w:hint="eastAsia"/>
        </w:rPr>
        <w:t>3.8.5建立自觉节水的社会行为规范体系</w:t>
      </w:r>
      <w:bookmarkEnd w:id="263"/>
      <w:bookmarkEnd w:id="264"/>
      <w:bookmarkEnd w:id="265"/>
    </w:p>
    <w:p>
      <w:pPr>
        <w:pStyle w:val="16"/>
        <w:spacing w:line="360" w:lineRule="auto"/>
        <w:ind w:firstLine="560"/>
        <w:rPr>
          <w:rFonts w:cs="Times New Roman"/>
        </w:rPr>
      </w:pPr>
      <w:r>
        <w:rPr>
          <w:rFonts w:hint="eastAsia" w:cs="Times New Roman"/>
        </w:rPr>
        <w:t>自觉</w:t>
      </w:r>
      <w:r>
        <w:rPr>
          <w:rFonts w:cs="Times New Roman"/>
        </w:rPr>
        <w:t>节水意识培养内容包括：高效用水与节水的教育宣传；文明用水与节水文化的促进与形成等。</w:t>
      </w:r>
    </w:p>
    <w:p>
      <w:pPr>
        <w:pStyle w:val="16"/>
        <w:spacing w:line="360" w:lineRule="auto"/>
        <w:ind w:firstLine="560"/>
        <w:rPr>
          <w:rFonts w:cs="Times New Roman"/>
        </w:rPr>
      </w:pPr>
      <w:r>
        <w:rPr>
          <w:rFonts w:hint="eastAsia" w:cs="Times New Roman"/>
        </w:rPr>
        <w:t>（1）</w:t>
      </w:r>
      <w:r>
        <w:rPr>
          <w:rFonts w:cs="Times New Roman"/>
        </w:rPr>
        <w:t>建立</w:t>
      </w:r>
      <w:r>
        <w:rPr>
          <w:rFonts w:hint="eastAsia" w:cs="Times New Roman"/>
        </w:rPr>
        <w:t>具有地区</w:t>
      </w:r>
      <w:r>
        <w:rPr>
          <w:rFonts w:cs="Times New Roman"/>
        </w:rPr>
        <w:t>特色的节水文化和自觉节水的社会行为规范</w:t>
      </w:r>
      <w:r>
        <w:rPr>
          <w:rFonts w:hint="eastAsia" w:cs="Times New Roman"/>
        </w:rPr>
        <w:t>。</w:t>
      </w:r>
      <w:r>
        <w:rPr>
          <w:rFonts w:cs="Times New Roman"/>
        </w:rPr>
        <w:t>充分利用媒体</w:t>
      </w:r>
      <w:r>
        <w:rPr>
          <w:rFonts w:hint="eastAsia" w:cs="Times New Roman"/>
        </w:rPr>
        <w:t>资源、教育渠道等，多部门联合</w:t>
      </w:r>
      <w:r>
        <w:rPr>
          <w:rFonts w:cs="Times New Roman"/>
        </w:rPr>
        <w:t>宣传节约用水的</w:t>
      </w:r>
      <w:r>
        <w:rPr>
          <w:rFonts w:hint="eastAsia" w:cs="Times New Roman"/>
        </w:rPr>
        <w:t>必要性、</w:t>
      </w:r>
      <w:r>
        <w:rPr>
          <w:rFonts w:cs="Times New Roman"/>
        </w:rPr>
        <w:t>方针、政策、法规和科学</w:t>
      </w:r>
      <w:r>
        <w:rPr>
          <w:rFonts w:hint="eastAsia" w:cs="Times New Roman"/>
        </w:rPr>
        <w:t>方法</w:t>
      </w:r>
      <w:r>
        <w:rPr>
          <w:rFonts w:cs="Times New Roman"/>
        </w:rPr>
        <w:t>知识等，</w:t>
      </w:r>
      <w:r>
        <w:rPr>
          <w:rFonts w:hint="eastAsia" w:cs="Times New Roman"/>
        </w:rPr>
        <w:t>提高公民</w:t>
      </w:r>
      <w:r>
        <w:rPr>
          <w:rFonts w:cs="Times New Roman"/>
        </w:rPr>
        <w:t>节约用水意识，倡导文明的生产和消费方式</w:t>
      </w:r>
      <w:r>
        <w:rPr>
          <w:rFonts w:hint="eastAsia" w:cs="Times New Roman"/>
        </w:rPr>
        <w:t>。</w:t>
      </w:r>
    </w:p>
    <w:p>
      <w:pPr>
        <w:pStyle w:val="16"/>
        <w:spacing w:line="360" w:lineRule="auto"/>
        <w:ind w:firstLine="560"/>
        <w:rPr>
          <w:rFonts w:cs="Times New Roman"/>
        </w:rPr>
      </w:pPr>
      <w:r>
        <w:rPr>
          <w:rFonts w:hint="eastAsia" w:cs="Times New Roman"/>
        </w:rPr>
        <w:t>（2）针对大用水户，</w:t>
      </w:r>
      <w:r>
        <w:rPr>
          <w:rFonts w:cs="Times New Roman"/>
        </w:rPr>
        <w:t>成立行业用水者协会参与管理组织，</w:t>
      </w:r>
      <w:r>
        <w:rPr>
          <w:rFonts w:hint="eastAsia" w:cs="Times New Roman"/>
        </w:rPr>
        <w:t>建立</w:t>
      </w:r>
      <w:r>
        <w:rPr>
          <w:rFonts w:cs="Times New Roman"/>
        </w:rPr>
        <w:t>公众参与的制度平台、信息平台建设，充分调动广大公众参与节水型社区、节水型单位、节水型城市建设的积极性和主动性，形成</w:t>
      </w:r>
      <w:r>
        <w:rPr>
          <w:rFonts w:hint="eastAsia" w:cs="Times New Roman"/>
        </w:rPr>
        <w:t>广泛的公众参与</w:t>
      </w:r>
      <w:r>
        <w:rPr>
          <w:rFonts w:cs="Times New Roman"/>
        </w:rPr>
        <w:t>的工作机制。</w:t>
      </w:r>
    </w:p>
    <w:p>
      <w:pPr>
        <w:widowControl/>
        <w:autoSpaceDE/>
        <w:autoSpaceDN/>
        <w:adjustRightInd/>
        <w:spacing w:line="240" w:lineRule="auto"/>
        <w:ind w:firstLine="0" w:firstLineChars="0"/>
      </w:pPr>
      <w:r>
        <w:br w:type="page"/>
      </w:r>
    </w:p>
    <w:p>
      <w:pPr>
        <w:pStyle w:val="2"/>
        <w:spacing w:before="120"/>
        <w:ind w:left="592" w:firstLine="0" w:firstLineChars="0"/>
        <w:rPr>
          <w:spacing w:val="19"/>
        </w:rPr>
      </w:pPr>
      <w:bookmarkStart w:id="266" w:name="_Toc8032594"/>
      <w:r>
        <w:rPr>
          <w:rFonts w:hint="eastAsia"/>
          <w:spacing w:val="19"/>
        </w:rPr>
        <w:t>第四章 城市需水量预测和供需平衡</w:t>
      </w:r>
      <w:r>
        <w:rPr>
          <w:spacing w:val="19"/>
        </w:rPr>
        <w:t>分析</w:t>
      </w:r>
      <w:bookmarkEnd w:id="266"/>
    </w:p>
    <w:p>
      <w:pPr>
        <w:pStyle w:val="3"/>
        <w:spacing w:before="120" w:after="60" w:line="360" w:lineRule="auto"/>
        <w:ind w:firstLine="602"/>
        <w:rPr>
          <w:rFonts w:ascii="Times New Roman" w:hAnsi="Times New Roman"/>
        </w:rPr>
      </w:pPr>
      <w:bookmarkStart w:id="267" w:name="_Toc8032595"/>
      <w:r>
        <w:rPr>
          <w:rFonts w:ascii="Times New Roman" w:hAnsi="Times New Roman"/>
        </w:rPr>
        <w:t>4.1城市需水量预测</w:t>
      </w:r>
      <w:bookmarkEnd w:id="267"/>
    </w:p>
    <w:p>
      <w:pPr>
        <w:pStyle w:val="4"/>
        <w:spacing w:line="360" w:lineRule="auto"/>
        <w:rPr>
          <w:rFonts w:cs="Times New Roman"/>
        </w:rPr>
      </w:pPr>
      <w:bookmarkStart w:id="268" w:name="_Toc8032596"/>
      <w:r>
        <w:rPr>
          <w:rFonts w:cs="Times New Roman"/>
        </w:rPr>
        <w:t>4.1.1指导思想</w:t>
      </w:r>
      <w:bookmarkEnd w:id="268"/>
    </w:p>
    <w:p>
      <w:pPr>
        <w:pStyle w:val="16"/>
        <w:spacing w:line="360" w:lineRule="auto"/>
        <w:ind w:firstLine="592"/>
        <w:rPr>
          <w:rFonts w:cs="Times New Roman"/>
          <w:spacing w:val="16"/>
        </w:rPr>
      </w:pPr>
      <w:r>
        <w:rPr>
          <w:rFonts w:cs="Times New Roman"/>
          <w:spacing w:val="16"/>
        </w:rPr>
        <w:t>1、</w:t>
      </w:r>
      <w:r>
        <w:rPr>
          <w:rFonts w:hint="eastAsia" w:cs="Times New Roman"/>
          <w:spacing w:val="16"/>
        </w:rPr>
        <w:t>淮北</w:t>
      </w:r>
      <w:r>
        <w:rPr>
          <w:rFonts w:cs="Times New Roman"/>
          <w:spacing w:val="16"/>
        </w:rPr>
        <w:t>市水资源相对匮乏，应当对城市规模和建设耗水量大的工业、服务业项目加以限制。</w:t>
      </w:r>
    </w:p>
    <w:p>
      <w:pPr>
        <w:pStyle w:val="16"/>
        <w:spacing w:line="360" w:lineRule="auto"/>
        <w:ind w:firstLine="592"/>
        <w:rPr>
          <w:rFonts w:cs="Times New Roman"/>
          <w:spacing w:val="16"/>
        </w:rPr>
      </w:pPr>
      <w:r>
        <w:rPr>
          <w:rFonts w:cs="Times New Roman"/>
          <w:spacing w:val="16"/>
        </w:rPr>
        <w:t>2、城市自来水是在保证人民生活及生产用水的前提下，考虑经济合理和可能性，尽量满足工业生产用水的需要。工业用水要本着节约用水的原则，改进产品生产工艺和提高用水重复利用率，使单位产品耗水量或万元工业产值耗水率不断降低。</w:t>
      </w:r>
    </w:p>
    <w:p>
      <w:pPr>
        <w:pStyle w:val="16"/>
        <w:spacing w:line="360" w:lineRule="auto"/>
        <w:ind w:firstLine="592"/>
        <w:rPr>
          <w:rFonts w:cs="Times New Roman"/>
          <w:spacing w:val="16"/>
        </w:rPr>
      </w:pPr>
      <w:r>
        <w:rPr>
          <w:rFonts w:cs="Times New Roman"/>
          <w:spacing w:val="16"/>
        </w:rPr>
        <w:t>3、生活用水量根据人口增长和居民用水量标准进行测算。工业用水量按其与综合生活用水量的比例进行测算。</w:t>
      </w:r>
    </w:p>
    <w:p>
      <w:pPr>
        <w:pStyle w:val="16"/>
        <w:spacing w:line="360" w:lineRule="auto"/>
        <w:ind w:firstLine="592"/>
        <w:rPr>
          <w:rFonts w:cs="Times New Roman"/>
          <w:spacing w:val="16"/>
        </w:rPr>
      </w:pPr>
      <w:r>
        <w:rPr>
          <w:rFonts w:cs="Times New Roman"/>
          <w:spacing w:val="16"/>
        </w:rPr>
        <w:t>4、鉴于城区部分企事业单位普遍使用自备水源，由于自备水源井数量较多、开采隐蔽，不利于节约水资源及水行政主管部门统一管理。规划逐步关停城市供水供水管网覆盖范围内地下自备水源井，因此该部分水量需纳入城市给水总规模。</w:t>
      </w:r>
    </w:p>
    <w:p>
      <w:pPr>
        <w:pStyle w:val="16"/>
        <w:spacing w:line="360" w:lineRule="auto"/>
        <w:ind w:firstLine="592"/>
        <w:rPr>
          <w:rFonts w:cs="Times New Roman"/>
          <w:spacing w:val="16"/>
        </w:rPr>
      </w:pPr>
      <w:r>
        <w:rPr>
          <w:rFonts w:cs="Times New Roman"/>
          <w:spacing w:val="16"/>
        </w:rPr>
        <w:t>5、</w:t>
      </w:r>
      <w:r>
        <w:rPr>
          <w:rFonts w:hint="eastAsia" w:cs="Times New Roman"/>
          <w:spacing w:val="16"/>
        </w:rPr>
        <w:t>淮北</w:t>
      </w:r>
      <w:r>
        <w:rPr>
          <w:rFonts w:cs="Times New Roman"/>
          <w:spacing w:val="16"/>
        </w:rPr>
        <w:t>市有丰富的煤炭资源，具有发展火电的良好基础，规划区内现有淮北市热电有限公司</w:t>
      </w:r>
      <w:r>
        <w:rPr>
          <w:rFonts w:hint="eastAsia" w:cs="Times New Roman"/>
          <w:spacing w:val="16"/>
        </w:rPr>
        <w:t>和</w:t>
      </w:r>
      <w:r>
        <w:rPr>
          <w:rFonts w:cs="Times New Roman"/>
          <w:spacing w:val="16"/>
        </w:rPr>
        <w:t>大唐淮北发电厂。发电厂大部分水用于循环冷却水，对水质要求低于生活用水，且根据“优水优用”的原则，地下水应优先满足城市居民生活用水。故电力系统的用水将逐步由地表水或再生水来取代地下水作为发电厂的冲渣水、循环冷却水，鼓励发电厂采用地表水或再生水进行生产，减少发电厂对地下水的依赖。依据分质给水的原则，电力系统用水将不纳入城市给水工程统一供给，由淮北市水利局协调市内可利用的地表水和再生水进行统一供给。</w:t>
      </w:r>
    </w:p>
    <w:p>
      <w:pPr>
        <w:pStyle w:val="4"/>
        <w:spacing w:line="360" w:lineRule="auto"/>
        <w:rPr>
          <w:rFonts w:cs="Times New Roman"/>
        </w:rPr>
      </w:pPr>
      <w:bookmarkStart w:id="269" w:name="_Toc8032597"/>
      <w:r>
        <w:rPr>
          <w:rFonts w:cs="Times New Roman"/>
        </w:rPr>
        <w:t>4.1.2需水量预测的方法</w:t>
      </w:r>
      <w:bookmarkEnd w:id="269"/>
    </w:p>
    <w:p>
      <w:pPr>
        <w:pStyle w:val="16"/>
        <w:spacing w:line="360" w:lineRule="auto"/>
        <w:ind w:firstLine="592"/>
        <w:rPr>
          <w:rFonts w:cs="Times New Roman"/>
          <w:spacing w:val="16"/>
        </w:rPr>
      </w:pPr>
      <w:r>
        <w:rPr>
          <w:rFonts w:cs="Times New Roman"/>
          <w:spacing w:val="16"/>
        </w:rPr>
        <w:t>城市需水量的预测是一项涉及因素很多又很复杂的工作，有许多不确定因素。由于预测数据的正确与否对于水量计算结果有很大影响，因此应合理地对水资源的利用作出长远的规划，结合当地国民经济和社会发展状况，找出起主导作用的关键因素，通过多种方法比较取得切合实际的目标值，预测出城市需水量及给水工程的建设规模。</w:t>
      </w:r>
    </w:p>
    <w:p>
      <w:pPr>
        <w:pStyle w:val="16"/>
        <w:spacing w:line="360" w:lineRule="auto"/>
        <w:ind w:firstLine="592"/>
        <w:rPr>
          <w:rFonts w:cs="Times New Roman"/>
          <w:spacing w:val="16"/>
        </w:rPr>
      </w:pPr>
      <w:r>
        <w:rPr>
          <w:rFonts w:cs="Times New Roman"/>
          <w:spacing w:val="16"/>
        </w:rPr>
        <w:t>规划通常采用人均综合用水量指标法、分类用水指标法。</w:t>
      </w:r>
    </w:p>
    <w:p>
      <w:pPr>
        <w:pStyle w:val="4"/>
        <w:spacing w:line="360" w:lineRule="auto"/>
        <w:rPr>
          <w:rFonts w:cs="Times New Roman"/>
        </w:rPr>
      </w:pPr>
      <w:bookmarkStart w:id="270" w:name="_Toc8032598"/>
      <w:r>
        <w:rPr>
          <w:rFonts w:cs="Times New Roman"/>
        </w:rPr>
        <w:t>4.1.3需水量预测的指标选择</w:t>
      </w:r>
      <w:bookmarkEnd w:id="270"/>
    </w:p>
    <w:p>
      <w:pPr>
        <w:pStyle w:val="16"/>
        <w:spacing w:line="360" w:lineRule="auto"/>
        <w:ind w:firstLine="592"/>
        <w:rPr>
          <w:rFonts w:cs="Times New Roman"/>
          <w:spacing w:val="16"/>
        </w:rPr>
      </w:pPr>
      <w:r>
        <w:rPr>
          <w:rFonts w:cs="Times New Roman"/>
          <w:spacing w:val="16"/>
        </w:rPr>
        <w:t>根据《城市给水工程规划规范》（GB50282-2016）及《</w:t>
      </w:r>
      <w:r>
        <w:rPr>
          <w:rFonts w:hint="eastAsia" w:cs="Times New Roman"/>
          <w:spacing w:val="16"/>
        </w:rPr>
        <w:t>淮北</w:t>
      </w:r>
      <w:r>
        <w:rPr>
          <w:rFonts w:cs="Times New Roman"/>
          <w:spacing w:val="16"/>
        </w:rPr>
        <w:t>市城市总体规划（201</w:t>
      </w:r>
      <w:r>
        <w:rPr>
          <w:rFonts w:hint="eastAsia" w:cs="Times New Roman"/>
          <w:spacing w:val="16"/>
        </w:rPr>
        <w:t>6</w:t>
      </w:r>
      <w:r>
        <w:rPr>
          <w:rFonts w:cs="Times New Roman"/>
          <w:spacing w:val="16"/>
        </w:rPr>
        <w:t>－203</w:t>
      </w:r>
      <w:r>
        <w:rPr>
          <w:rFonts w:hint="eastAsia" w:cs="Times New Roman"/>
          <w:spacing w:val="16"/>
        </w:rPr>
        <w:t>5</w:t>
      </w:r>
      <w:r>
        <w:rPr>
          <w:rFonts w:cs="Times New Roman"/>
          <w:spacing w:val="16"/>
        </w:rPr>
        <w:t>）》，并参考周边相仿规模城市的用水情况，结合</w:t>
      </w:r>
      <w:r>
        <w:rPr>
          <w:rFonts w:hint="eastAsia" w:cs="Times New Roman"/>
          <w:spacing w:val="16"/>
        </w:rPr>
        <w:t>淮北</w:t>
      </w:r>
      <w:r>
        <w:rPr>
          <w:rFonts w:cs="Times New Roman"/>
          <w:spacing w:val="16"/>
        </w:rPr>
        <w:t>市缺水的自然条件及现状用水情况，规定了以下给水量预测指标：</w:t>
      </w:r>
    </w:p>
    <w:p>
      <w:pPr>
        <w:pStyle w:val="16"/>
        <w:spacing w:line="360" w:lineRule="auto"/>
        <w:ind w:firstLine="592"/>
        <w:rPr>
          <w:rFonts w:cs="Times New Roman"/>
          <w:spacing w:val="16"/>
        </w:rPr>
      </w:pPr>
      <w:r>
        <w:rPr>
          <w:rFonts w:cs="Times New Roman"/>
          <w:spacing w:val="16"/>
        </w:rPr>
        <w:t>1、人均综合生活用水量指标。</w:t>
      </w:r>
    </w:p>
    <w:p>
      <w:pPr>
        <w:pStyle w:val="16"/>
        <w:spacing w:line="360" w:lineRule="auto"/>
        <w:ind w:firstLine="592"/>
        <w:rPr>
          <w:rFonts w:cs="Times New Roman"/>
          <w:spacing w:val="16"/>
        </w:rPr>
      </w:pPr>
      <w:r>
        <w:rPr>
          <w:rFonts w:cs="Times New Roman"/>
          <w:spacing w:val="16"/>
        </w:rPr>
        <w:t>依据淮北市用水现状及规划发展要求，结合规范要求，确定淮北市最高日人均综合生活用水量指标2020年为180L/人.d，2030年为210 L/人.d。</w:t>
      </w:r>
    </w:p>
    <w:p>
      <w:pPr>
        <w:pStyle w:val="16"/>
        <w:spacing w:line="360" w:lineRule="auto"/>
        <w:ind w:firstLine="592"/>
        <w:rPr>
          <w:rFonts w:cs="Times New Roman"/>
          <w:spacing w:val="16"/>
        </w:rPr>
      </w:pPr>
      <w:r>
        <w:rPr>
          <w:rFonts w:cs="Times New Roman"/>
          <w:spacing w:val="16"/>
        </w:rPr>
        <w:t>2、工业用水量与综合生活用水量的比值。根据对现状给水资料的分析，并考虑随着城市发展，今后工业产业结构调整、工业用水重复使用等节水措施的实施，单位产值耗水量将有明显下降。规划工业用水量与综合生活用水量的比值2020年取0.3，2030年取0.20。</w:t>
      </w:r>
    </w:p>
    <w:p>
      <w:pPr>
        <w:pStyle w:val="16"/>
        <w:spacing w:line="360" w:lineRule="auto"/>
        <w:ind w:firstLine="592"/>
        <w:rPr>
          <w:rFonts w:cs="Times New Roman"/>
          <w:spacing w:val="16"/>
        </w:rPr>
      </w:pPr>
      <w:r>
        <w:rPr>
          <w:rFonts w:cs="Times New Roman"/>
          <w:spacing w:val="16"/>
        </w:rPr>
        <w:t>3、浇洒道路和绿化等市政用水量：按综合生活用水量和工业用水量之和的4％计。</w:t>
      </w:r>
    </w:p>
    <w:p>
      <w:pPr>
        <w:pStyle w:val="16"/>
        <w:spacing w:line="360" w:lineRule="auto"/>
        <w:ind w:firstLine="592"/>
        <w:rPr>
          <w:rFonts w:cs="Times New Roman"/>
          <w:spacing w:val="16"/>
        </w:rPr>
      </w:pPr>
      <w:r>
        <w:rPr>
          <w:rFonts w:cs="Times New Roman"/>
          <w:spacing w:val="16"/>
        </w:rPr>
        <w:t>4、管网漏损量：2020年按综合生活用水量、工业用水量和浇洒道路和绿化等市政用水量之和的12％计，203</w:t>
      </w:r>
      <w:r>
        <w:rPr>
          <w:rFonts w:hint="eastAsia" w:cs="Times New Roman"/>
          <w:spacing w:val="16"/>
        </w:rPr>
        <w:t>5</w:t>
      </w:r>
      <w:r>
        <w:rPr>
          <w:rFonts w:cs="Times New Roman"/>
          <w:spacing w:val="16"/>
        </w:rPr>
        <w:t>年按上述3项用水量之和的10％计。</w:t>
      </w:r>
    </w:p>
    <w:p>
      <w:pPr>
        <w:pStyle w:val="16"/>
        <w:spacing w:line="360" w:lineRule="auto"/>
        <w:ind w:firstLine="592"/>
        <w:rPr>
          <w:rFonts w:cs="Times New Roman"/>
          <w:spacing w:val="16"/>
        </w:rPr>
      </w:pPr>
      <w:r>
        <w:rPr>
          <w:rFonts w:cs="Times New Roman"/>
          <w:spacing w:val="16"/>
        </w:rPr>
        <w:t>5、由于近期建设规模较小，用地性质及规划预测较为准确，未预见因素较少，按综合生活用水量、工业用水量和浇洒道路和绿化等市政用水量之和的8％计，远期预测中不确定因素较多，按12％考虑。</w:t>
      </w:r>
    </w:p>
    <w:p>
      <w:pPr>
        <w:pStyle w:val="16"/>
        <w:spacing w:line="360" w:lineRule="auto"/>
        <w:ind w:firstLine="592"/>
        <w:rPr>
          <w:rFonts w:cs="Times New Roman"/>
          <w:spacing w:val="16"/>
        </w:rPr>
      </w:pPr>
      <w:r>
        <w:rPr>
          <w:rFonts w:cs="Times New Roman"/>
          <w:spacing w:val="16"/>
        </w:rPr>
        <w:t>6、城市单位人口综合用水定额。</w:t>
      </w:r>
    </w:p>
    <w:p>
      <w:pPr>
        <w:pStyle w:val="16"/>
        <w:spacing w:line="360" w:lineRule="auto"/>
        <w:ind w:firstLine="592"/>
        <w:rPr>
          <w:rFonts w:cs="Times New Roman"/>
          <w:spacing w:val="16"/>
        </w:rPr>
      </w:pPr>
      <w:r>
        <w:rPr>
          <w:rFonts w:cs="Times New Roman"/>
          <w:spacing w:val="16"/>
        </w:rPr>
        <w:t>依据淮北市用水现状及规划发展要求，结合规范要求，确定淮北市最高日人均综合用水定额2020年为2</w:t>
      </w:r>
      <w:r>
        <w:rPr>
          <w:rFonts w:hint="eastAsia" w:cs="Times New Roman"/>
          <w:spacing w:val="16"/>
        </w:rPr>
        <w:t>8</w:t>
      </w:r>
      <w:r>
        <w:rPr>
          <w:rFonts w:cs="Times New Roman"/>
          <w:spacing w:val="16"/>
        </w:rPr>
        <w:t>0L/人.d，2030年为3</w:t>
      </w:r>
      <w:r>
        <w:rPr>
          <w:rFonts w:hint="eastAsia" w:cs="Times New Roman"/>
          <w:spacing w:val="16"/>
        </w:rPr>
        <w:t>2</w:t>
      </w:r>
      <w:r>
        <w:rPr>
          <w:rFonts w:cs="Times New Roman"/>
          <w:spacing w:val="16"/>
        </w:rPr>
        <w:t>0 L/人.d。</w:t>
      </w:r>
    </w:p>
    <w:p>
      <w:pPr>
        <w:pStyle w:val="4"/>
        <w:spacing w:line="360" w:lineRule="auto"/>
        <w:rPr>
          <w:rFonts w:cs="Times New Roman"/>
        </w:rPr>
      </w:pPr>
      <w:bookmarkStart w:id="271" w:name="_Toc8032599"/>
      <w:r>
        <w:rPr>
          <w:rFonts w:cs="Times New Roman"/>
        </w:rPr>
        <w:t>4.1.4中心城区需水量计算</w:t>
      </w:r>
      <w:bookmarkEnd w:id="271"/>
    </w:p>
    <w:p>
      <w:pPr>
        <w:pStyle w:val="5"/>
        <w:spacing w:before="120" w:after="120"/>
      </w:pPr>
      <w:bookmarkStart w:id="272" w:name="_Toc8032600"/>
      <w:r>
        <w:t>4.1.4.1分类用水指标法</w:t>
      </w:r>
      <w:bookmarkEnd w:id="272"/>
    </w:p>
    <w:p>
      <w:pPr>
        <w:pStyle w:val="16"/>
        <w:spacing w:line="360" w:lineRule="auto"/>
        <w:ind w:firstLine="592"/>
        <w:rPr>
          <w:rFonts w:cs="Times New Roman"/>
          <w:spacing w:val="16"/>
        </w:rPr>
      </w:pPr>
      <w:r>
        <w:rPr>
          <w:rFonts w:cs="Times New Roman"/>
          <w:spacing w:val="16"/>
        </w:rPr>
        <w:t>城市总用水量包括综合生活用水量、工业用水量、浇洒道路和绿化等市政用水量，以及管网漏损和其它未预见水量等。</w:t>
      </w:r>
    </w:p>
    <w:p>
      <w:pPr>
        <w:spacing w:line="360" w:lineRule="auto"/>
        <w:ind w:firstLine="562"/>
        <w:jc w:val="center"/>
        <w:rPr>
          <w:b/>
          <w:szCs w:val="28"/>
        </w:rPr>
      </w:pPr>
      <w:r>
        <w:rPr>
          <w:b/>
          <w:szCs w:val="28"/>
        </w:rPr>
        <w:t xml:space="preserve">表4-1     中心城区需水量预测表 （一）                     </w:t>
      </w:r>
    </w:p>
    <w:tbl>
      <w:tblPr>
        <w:tblStyle w:val="39"/>
        <w:tblW w:w="10411"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6014"/>
        <w:gridCol w:w="2165"/>
        <w:gridCol w:w="2232"/>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19" w:hRule="atLeast"/>
          <w:jc w:val="center"/>
        </w:trPr>
        <w:tc>
          <w:tcPr>
            <w:tcW w:w="6014" w:type="dxa"/>
            <w:tcBorders>
              <w:tl2br w:val="single" w:color="auto" w:sz="2" w:space="0"/>
            </w:tcBorders>
            <w:vAlign w:val="center"/>
          </w:tcPr>
          <w:p>
            <w:pPr>
              <w:pStyle w:val="72"/>
              <w:jc w:val="left"/>
            </w:pPr>
            <w:r>
              <w:t xml:space="preserve">                                          </w:t>
            </w:r>
            <w:r>
              <w:rPr>
                <w:rFonts w:hint="eastAsia"/>
              </w:rPr>
              <w:t xml:space="preserve">                                         </w:t>
            </w:r>
            <w:r>
              <w:t xml:space="preserve"> 年</w:t>
            </w:r>
            <w:r>
              <w:rPr>
                <w:rFonts w:hint="eastAsia"/>
              </w:rPr>
              <w:t xml:space="preserve">     </w:t>
            </w:r>
            <w:r>
              <w:t xml:space="preserve">限                                      </w:t>
            </w:r>
          </w:p>
          <w:p>
            <w:pPr>
              <w:pStyle w:val="72"/>
              <w:jc w:val="left"/>
            </w:pPr>
            <w:r>
              <w:t xml:space="preserve">     项</w:t>
            </w:r>
            <w:r>
              <w:rPr>
                <w:rFonts w:hint="eastAsia"/>
              </w:rPr>
              <w:t xml:space="preserve">     </w:t>
            </w:r>
            <w:r>
              <w:t>目</w:t>
            </w:r>
          </w:p>
        </w:tc>
        <w:tc>
          <w:tcPr>
            <w:tcW w:w="2165" w:type="dxa"/>
            <w:shd w:val="clear" w:color="auto" w:fill="auto"/>
            <w:vAlign w:val="center"/>
          </w:tcPr>
          <w:p>
            <w:pPr>
              <w:pStyle w:val="72"/>
            </w:pPr>
            <w:r>
              <w:t>2020</w:t>
            </w:r>
            <w:r>
              <w:rPr>
                <w:rFonts w:hint="eastAsia"/>
              </w:rPr>
              <w:t>年</w:t>
            </w:r>
          </w:p>
        </w:tc>
        <w:tc>
          <w:tcPr>
            <w:tcW w:w="2232" w:type="dxa"/>
            <w:shd w:val="clear" w:color="auto" w:fill="auto"/>
            <w:vAlign w:val="center"/>
          </w:tcPr>
          <w:p>
            <w:pPr>
              <w:pStyle w:val="72"/>
            </w:pPr>
            <w:r>
              <w:t>2035</w:t>
            </w:r>
            <w:r>
              <w:rPr>
                <w:rFonts w:hint="eastAsia"/>
              </w:rPr>
              <w:t>年</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6014" w:type="dxa"/>
            <w:shd w:val="clear" w:color="auto" w:fill="auto"/>
            <w:vAlign w:val="center"/>
          </w:tcPr>
          <w:p>
            <w:pPr>
              <w:pStyle w:val="72"/>
            </w:pPr>
            <w:r>
              <w:t>规划人口（万人）</w:t>
            </w:r>
          </w:p>
        </w:tc>
        <w:tc>
          <w:tcPr>
            <w:tcW w:w="2165" w:type="dxa"/>
            <w:shd w:val="clear" w:color="auto" w:fill="auto"/>
            <w:vAlign w:val="center"/>
          </w:tcPr>
          <w:p>
            <w:pPr>
              <w:pStyle w:val="72"/>
            </w:pPr>
            <w:r>
              <w:t>105</w:t>
            </w:r>
          </w:p>
        </w:tc>
        <w:tc>
          <w:tcPr>
            <w:tcW w:w="2232" w:type="dxa"/>
            <w:shd w:val="clear" w:color="auto" w:fill="auto"/>
            <w:vAlign w:val="center"/>
          </w:tcPr>
          <w:p>
            <w:pPr>
              <w:pStyle w:val="72"/>
            </w:pPr>
            <w:r>
              <w:t>130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22" w:hRule="atLeast"/>
          <w:jc w:val="center"/>
        </w:trPr>
        <w:tc>
          <w:tcPr>
            <w:tcW w:w="6014" w:type="dxa"/>
            <w:shd w:val="clear" w:color="auto" w:fill="auto"/>
            <w:vAlign w:val="center"/>
          </w:tcPr>
          <w:p>
            <w:pPr>
              <w:pStyle w:val="72"/>
            </w:pPr>
            <w:r>
              <w:t>给水普及率（%）</w:t>
            </w:r>
          </w:p>
        </w:tc>
        <w:tc>
          <w:tcPr>
            <w:tcW w:w="2165" w:type="dxa"/>
            <w:shd w:val="clear" w:color="auto" w:fill="auto"/>
            <w:vAlign w:val="center"/>
          </w:tcPr>
          <w:p>
            <w:pPr>
              <w:pStyle w:val="72"/>
            </w:pPr>
            <w:r>
              <w:t>100</w:t>
            </w:r>
          </w:p>
        </w:tc>
        <w:tc>
          <w:tcPr>
            <w:tcW w:w="2232" w:type="dxa"/>
            <w:shd w:val="clear" w:color="auto" w:fill="auto"/>
            <w:vAlign w:val="center"/>
          </w:tcPr>
          <w:p>
            <w:pPr>
              <w:pStyle w:val="72"/>
            </w:pPr>
            <w:r>
              <w:t>100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28" w:hRule="atLeast"/>
          <w:jc w:val="center"/>
        </w:trPr>
        <w:tc>
          <w:tcPr>
            <w:tcW w:w="6014" w:type="dxa"/>
            <w:shd w:val="clear" w:color="auto" w:fill="auto"/>
            <w:vAlign w:val="center"/>
          </w:tcPr>
          <w:p>
            <w:pPr>
              <w:pStyle w:val="72"/>
            </w:pPr>
            <w:r>
              <w:t>最高日综合生活用水定额（L/cap.d）</w:t>
            </w:r>
          </w:p>
        </w:tc>
        <w:tc>
          <w:tcPr>
            <w:tcW w:w="2165" w:type="dxa"/>
            <w:shd w:val="clear" w:color="auto" w:fill="auto"/>
            <w:vAlign w:val="center"/>
          </w:tcPr>
          <w:p>
            <w:pPr>
              <w:pStyle w:val="72"/>
            </w:pPr>
            <w:r>
              <w:t>180</w:t>
            </w:r>
          </w:p>
        </w:tc>
        <w:tc>
          <w:tcPr>
            <w:tcW w:w="2232" w:type="dxa"/>
            <w:shd w:val="clear" w:color="auto" w:fill="auto"/>
            <w:vAlign w:val="center"/>
          </w:tcPr>
          <w:p>
            <w:pPr>
              <w:pStyle w:val="72"/>
            </w:pPr>
            <w:r>
              <w:t>210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19" w:hRule="atLeast"/>
          <w:jc w:val="center"/>
        </w:trPr>
        <w:tc>
          <w:tcPr>
            <w:tcW w:w="6014" w:type="dxa"/>
            <w:shd w:val="clear" w:color="auto" w:fill="auto"/>
            <w:vAlign w:val="center"/>
          </w:tcPr>
          <w:p>
            <w:pPr>
              <w:pStyle w:val="72"/>
            </w:pPr>
            <w:r>
              <w:t>最高日综合生活用水量(万m</w:t>
            </w:r>
            <w:r>
              <w:rPr>
                <w:vertAlign w:val="superscript"/>
              </w:rPr>
              <w:t>3</w:t>
            </w:r>
            <w:r>
              <w:t>/d)</w:t>
            </w:r>
          </w:p>
        </w:tc>
        <w:tc>
          <w:tcPr>
            <w:tcW w:w="2165" w:type="dxa"/>
            <w:shd w:val="clear" w:color="auto" w:fill="auto"/>
            <w:vAlign w:val="center"/>
          </w:tcPr>
          <w:p>
            <w:pPr>
              <w:pStyle w:val="72"/>
            </w:pPr>
            <w:r>
              <w:t>18.9</w:t>
            </w:r>
          </w:p>
        </w:tc>
        <w:tc>
          <w:tcPr>
            <w:tcW w:w="2232" w:type="dxa"/>
            <w:shd w:val="clear" w:color="auto" w:fill="auto"/>
            <w:vAlign w:val="center"/>
          </w:tcPr>
          <w:p>
            <w:pPr>
              <w:pStyle w:val="72"/>
            </w:pPr>
            <w:r>
              <w:t>27.3</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11" w:hRule="atLeast"/>
          <w:jc w:val="center"/>
        </w:trPr>
        <w:tc>
          <w:tcPr>
            <w:tcW w:w="6014" w:type="dxa"/>
            <w:shd w:val="clear" w:color="auto" w:fill="auto"/>
            <w:vAlign w:val="center"/>
          </w:tcPr>
          <w:p>
            <w:pPr>
              <w:pStyle w:val="72"/>
            </w:pPr>
            <w:r>
              <w:t>工业用水量与综合生活用水量的比值</w:t>
            </w:r>
          </w:p>
        </w:tc>
        <w:tc>
          <w:tcPr>
            <w:tcW w:w="2165" w:type="dxa"/>
            <w:shd w:val="clear" w:color="auto" w:fill="auto"/>
            <w:vAlign w:val="center"/>
          </w:tcPr>
          <w:p>
            <w:pPr>
              <w:pStyle w:val="72"/>
            </w:pPr>
            <w:r>
              <w:t>0.3</w:t>
            </w:r>
          </w:p>
        </w:tc>
        <w:tc>
          <w:tcPr>
            <w:tcW w:w="2232" w:type="dxa"/>
            <w:shd w:val="clear" w:color="auto" w:fill="auto"/>
            <w:vAlign w:val="center"/>
          </w:tcPr>
          <w:p>
            <w:pPr>
              <w:pStyle w:val="72"/>
            </w:pPr>
            <w:r>
              <w:t>0.2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18" w:hRule="atLeast"/>
          <w:jc w:val="center"/>
        </w:trPr>
        <w:tc>
          <w:tcPr>
            <w:tcW w:w="6014" w:type="dxa"/>
            <w:shd w:val="clear" w:color="auto" w:fill="auto"/>
            <w:vAlign w:val="center"/>
          </w:tcPr>
          <w:p>
            <w:pPr>
              <w:pStyle w:val="72"/>
            </w:pPr>
            <w:r>
              <w:t>工业用水量(万m</w:t>
            </w:r>
            <w:r>
              <w:rPr>
                <w:vertAlign w:val="superscript"/>
              </w:rPr>
              <w:t>3</w:t>
            </w:r>
            <w:r>
              <w:t>/d)</w:t>
            </w:r>
          </w:p>
        </w:tc>
        <w:tc>
          <w:tcPr>
            <w:tcW w:w="2165" w:type="dxa"/>
            <w:shd w:val="clear" w:color="auto" w:fill="auto"/>
            <w:vAlign w:val="center"/>
          </w:tcPr>
          <w:p>
            <w:pPr>
              <w:pStyle w:val="72"/>
            </w:pPr>
            <w:r>
              <w:t>5.67</w:t>
            </w:r>
          </w:p>
        </w:tc>
        <w:tc>
          <w:tcPr>
            <w:tcW w:w="2232" w:type="dxa"/>
            <w:shd w:val="clear" w:color="auto" w:fill="auto"/>
            <w:vAlign w:val="center"/>
          </w:tcPr>
          <w:p>
            <w:pPr>
              <w:pStyle w:val="72"/>
            </w:pPr>
            <w:r>
              <w:t>5.46</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24" w:hRule="atLeast"/>
          <w:jc w:val="center"/>
        </w:trPr>
        <w:tc>
          <w:tcPr>
            <w:tcW w:w="6014" w:type="dxa"/>
            <w:shd w:val="clear" w:color="auto" w:fill="auto"/>
            <w:vAlign w:val="center"/>
          </w:tcPr>
          <w:p>
            <w:pPr>
              <w:pStyle w:val="72"/>
            </w:pPr>
            <w:r>
              <w:t>浇洒道路和绿化等市政用水量(万m</w:t>
            </w:r>
            <w:r>
              <w:rPr>
                <w:vertAlign w:val="superscript"/>
              </w:rPr>
              <w:t>3</w:t>
            </w:r>
            <w:r>
              <w:t>/d)</w:t>
            </w:r>
          </w:p>
        </w:tc>
        <w:tc>
          <w:tcPr>
            <w:tcW w:w="2165" w:type="dxa"/>
            <w:shd w:val="clear" w:color="auto" w:fill="auto"/>
            <w:vAlign w:val="center"/>
          </w:tcPr>
          <w:p>
            <w:pPr>
              <w:pStyle w:val="72"/>
            </w:pPr>
            <w:r>
              <w:t>0.98</w:t>
            </w:r>
          </w:p>
        </w:tc>
        <w:tc>
          <w:tcPr>
            <w:tcW w:w="2232" w:type="dxa"/>
            <w:shd w:val="clear" w:color="auto" w:fill="auto"/>
            <w:vAlign w:val="center"/>
          </w:tcPr>
          <w:p>
            <w:pPr>
              <w:pStyle w:val="72"/>
            </w:pPr>
            <w:r>
              <w:t>1.31</w:t>
            </w:r>
            <w:r>
              <w:rPr>
                <w:rFonts w:hint="eastAsia"/>
              </w:rPr>
              <w:t>1</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90" w:hRule="atLeast"/>
          <w:jc w:val="center"/>
        </w:trPr>
        <w:tc>
          <w:tcPr>
            <w:tcW w:w="6014" w:type="dxa"/>
            <w:shd w:val="clear" w:color="auto" w:fill="auto"/>
            <w:vAlign w:val="center"/>
          </w:tcPr>
          <w:p>
            <w:pPr>
              <w:pStyle w:val="72"/>
            </w:pPr>
            <w:r>
              <w:t>管网漏损（万m</w:t>
            </w:r>
            <w:r>
              <w:rPr>
                <w:vertAlign w:val="superscript"/>
              </w:rPr>
              <w:t>3</w:t>
            </w:r>
            <w:r>
              <w:t>/d)</w:t>
            </w:r>
          </w:p>
        </w:tc>
        <w:tc>
          <w:tcPr>
            <w:tcW w:w="2165" w:type="dxa"/>
            <w:shd w:val="clear" w:color="auto" w:fill="auto"/>
            <w:vAlign w:val="center"/>
          </w:tcPr>
          <w:p>
            <w:pPr>
              <w:pStyle w:val="72"/>
            </w:pPr>
            <w:r>
              <w:t>3.0</w:t>
            </w:r>
            <w:r>
              <w:rPr>
                <w:rFonts w:hint="eastAsia"/>
              </w:rPr>
              <w:t>7</w:t>
            </w:r>
          </w:p>
        </w:tc>
        <w:tc>
          <w:tcPr>
            <w:tcW w:w="2232" w:type="dxa"/>
            <w:shd w:val="clear" w:color="auto" w:fill="auto"/>
            <w:vAlign w:val="center"/>
          </w:tcPr>
          <w:p>
            <w:pPr>
              <w:pStyle w:val="72"/>
            </w:pPr>
            <w:r>
              <w:t>3.4</w:t>
            </w:r>
            <w:r>
              <w:rPr>
                <w:rFonts w:hint="eastAsia"/>
              </w:rPr>
              <w:t>1</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37" w:hRule="atLeast"/>
          <w:jc w:val="center"/>
        </w:trPr>
        <w:tc>
          <w:tcPr>
            <w:tcW w:w="6014" w:type="dxa"/>
            <w:shd w:val="clear" w:color="auto" w:fill="auto"/>
            <w:vAlign w:val="center"/>
          </w:tcPr>
          <w:p>
            <w:pPr>
              <w:pStyle w:val="72"/>
            </w:pPr>
            <w:r>
              <w:t>未预见水量（万m</w:t>
            </w:r>
            <w:r>
              <w:rPr>
                <w:vertAlign w:val="superscript"/>
              </w:rPr>
              <w:t>3</w:t>
            </w:r>
            <w:r>
              <w:t>/d)</w:t>
            </w:r>
          </w:p>
        </w:tc>
        <w:tc>
          <w:tcPr>
            <w:tcW w:w="2165" w:type="dxa"/>
            <w:shd w:val="clear" w:color="auto" w:fill="auto"/>
            <w:vAlign w:val="center"/>
          </w:tcPr>
          <w:p>
            <w:pPr>
              <w:pStyle w:val="72"/>
            </w:pPr>
            <w:r>
              <w:t>2.2</w:t>
            </w:r>
            <w:r>
              <w:rPr>
                <w:rFonts w:hint="eastAsia"/>
              </w:rPr>
              <w:t>9</w:t>
            </w:r>
          </w:p>
        </w:tc>
        <w:tc>
          <w:tcPr>
            <w:tcW w:w="2232" w:type="dxa"/>
            <w:shd w:val="clear" w:color="auto" w:fill="auto"/>
            <w:vAlign w:val="center"/>
          </w:tcPr>
          <w:p>
            <w:pPr>
              <w:pStyle w:val="72"/>
            </w:pPr>
            <w:r>
              <w:t>4.</w:t>
            </w:r>
            <w:r>
              <w:rPr>
                <w:rFonts w:hint="eastAsia"/>
              </w:rPr>
              <w:t>50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12" w:hRule="atLeast"/>
          <w:jc w:val="center"/>
        </w:trPr>
        <w:tc>
          <w:tcPr>
            <w:tcW w:w="6014" w:type="dxa"/>
            <w:shd w:val="clear" w:color="auto" w:fill="auto"/>
            <w:vAlign w:val="center"/>
          </w:tcPr>
          <w:p>
            <w:pPr>
              <w:pStyle w:val="72"/>
            </w:pPr>
            <w:r>
              <w:t>总需水量(万m</w:t>
            </w:r>
            <w:r>
              <w:rPr>
                <w:vertAlign w:val="superscript"/>
              </w:rPr>
              <w:t>3</w:t>
            </w:r>
            <w:r>
              <w:t>/d)</w:t>
            </w:r>
          </w:p>
        </w:tc>
        <w:tc>
          <w:tcPr>
            <w:tcW w:w="2165" w:type="dxa"/>
            <w:shd w:val="clear" w:color="auto" w:fill="auto"/>
            <w:vAlign w:val="center"/>
          </w:tcPr>
          <w:p>
            <w:pPr>
              <w:pStyle w:val="72"/>
            </w:pPr>
            <w:r>
              <w:t>30.9</w:t>
            </w:r>
            <w:r>
              <w:rPr>
                <w:rFonts w:hint="eastAsia"/>
              </w:rPr>
              <w:t>1</w:t>
            </w:r>
          </w:p>
        </w:tc>
        <w:tc>
          <w:tcPr>
            <w:tcW w:w="2232" w:type="dxa"/>
            <w:shd w:val="clear" w:color="auto" w:fill="auto"/>
            <w:vAlign w:val="center"/>
          </w:tcPr>
          <w:p>
            <w:pPr>
              <w:pStyle w:val="72"/>
            </w:pPr>
            <w:r>
              <w:t>41.97</w:t>
            </w:r>
          </w:p>
        </w:tc>
      </w:tr>
    </w:tbl>
    <w:p>
      <w:pPr>
        <w:pStyle w:val="5"/>
        <w:spacing w:before="120" w:after="120"/>
      </w:pPr>
      <w:bookmarkStart w:id="273" w:name="_Toc8032601"/>
      <w:r>
        <w:t>4.1.4.2人均综合用水量指标法</w:t>
      </w:r>
      <w:bookmarkEnd w:id="273"/>
    </w:p>
    <w:p>
      <w:pPr>
        <w:spacing w:line="360" w:lineRule="auto"/>
        <w:ind w:firstLine="0" w:firstLineChars="0"/>
        <w:jc w:val="center"/>
        <w:rPr>
          <w:szCs w:val="28"/>
        </w:rPr>
      </w:pPr>
      <w:r>
        <w:rPr>
          <w:b/>
          <w:szCs w:val="28"/>
        </w:rPr>
        <w:t xml:space="preserve">表4-2       中心城区需水量预测表 （二）       </w:t>
      </w:r>
    </w:p>
    <w:tbl>
      <w:tblPr>
        <w:tblStyle w:val="39"/>
        <w:tblW w:w="10411" w:type="dxa"/>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6014"/>
        <w:gridCol w:w="2165"/>
        <w:gridCol w:w="2232"/>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42" w:hRule="atLeast"/>
        </w:trPr>
        <w:tc>
          <w:tcPr>
            <w:tcW w:w="6014" w:type="dxa"/>
            <w:tcBorders>
              <w:tl2br w:val="single" w:color="auto" w:sz="2" w:space="0"/>
            </w:tcBorders>
            <w:vAlign w:val="center"/>
          </w:tcPr>
          <w:p>
            <w:pPr>
              <w:pStyle w:val="72"/>
              <w:jc w:val="left"/>
            </w:pPr>
            <w:r>
              <w:t xml:space="preserve">项目                                    </w:t>
            </w:r>
            <w:r>
              <w:rPr>
                <w:rFonts w:hint="eastAsia"/>
              </w:rPr>
              <w:t xml:space="preserve">         </w:t>
            </w:r>
            <w:r>
              <w:t xml:space="preserve"> </w:t>
            </w:r>
            <w:r>
              <w:rPr>
                <w:rFonts w:hint="eastAsia"/>
              </w:rPr>
              <w:t xml:space="preserve">                                 </w:t>
            </w:r>
            <w:r>
              <w:t xml:space="preserve">  年限</w:t>
            </w:r>
          </w:p>
        </w:tc>
        <w:tc>
          <w:tcPr>
            <w:tcW w:w="2165" w:type="dxa"/>
            <w:vAlign w:val="center"/>
          </w:tcPr>
          <w:p>
            <w:pPr>
              <w:pStyle w:val="72"/>
            </w:pPr>
            <w:r>
              <w:t>2020</w:t>
            </w:r>
            <w:r>
              <w:rPr>
                <w:rFonts w:hint="eastAsia"/>
              </w:rPr>
              <w:t>年</w:t>
            </w:r>
          </w:p>
        </w:tc>
        <w:tc>
          <w:tcPr>
            <w:tcW w:w="2232" w:type="dxa"/>
            <w:vAlign w:val="center"/>
          </w:tcPr>
          <w:p>
            <w:pPr>
              <w:pStyle w:val="72"/>
            </w:pPr>
            <w:r>
              <w:t>2035</w:t>
            </w:r>
            <w:r>
              <w:rPr>
                <w:rFonts w:hint="eastAsia"/>
              </w:rPr>
              <w:t>年</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44" w:hRule="atLeast"/>
        </w:trPr>
        <w:tc>
          <w:tcPr>
            <w:tcW w:w="6014" w:type="dxa"/>
            <w:vAlign w:val="center"/>
          </w:tcPr>
          <w:p>
            <w:pPr>
              <w:pStyle w:val="72"/>
            </w:pPr>
            <w:r>
              <w:t>规划人口(万人)</w:t>
            </w:r>
          </w:p>
        </w:tc>
        <w:tc>
          <w:tcPr>
            <w:tcW w:w="2165" w:type="dxa"/>
            <w:vAlign w:val="center"/>
          </w:tcPr>
          <w:p>
            <w:pPr>
              <w:pStyle w:val="72"/>
            </w:pPr>
            <w:r>
              <w:t>105</w:t>
            </w:r>
          </w:p>
        </w:tc>
        <w:tc>
          <w:tcPr>
            <w:tcW w:w="2232" w:type="dxa"/>
            <w:vAlign w:val="center"/>
          </w:tcPr>
          <w:p>
            <w:pPr>
              <w:pStyle w:val="72"/>
            </w:pPr>
            <w:r>
              <w:t>130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44" w:hRule="atLeast"/>
        </w:trPr>
        <w:tc>
          <w:tcPr>
            <w:tcW w:w="6014" w:type="dxa"/>
            <w:vAlign w:val="center"/>
          </w:tcPr>
          <w:p>
            <w:pPr>
              <w:pStyle w:val="72"/>
            </w:pPr>
            <w:r>
              <w:t>给水普及率（%）</w:t>
            </w:r>
          </w:p>
        </w:tc>
        <w:tc>
          <w:tcPr>
            <w:tcW w:w="2165" w:type="dxa"/>
            <w:vAlign w:val="center"/>
          </w:tcPr>
          <w:p>
            <w:pPr>
              <w:pStyle w:val="72"/>
            </w:pPr>
            <w:r>
              <w:t>100</w:t>
            </w:r>
          </w:p>
        </w:tc>
        <w:tc>
          <w:tcPr>
            <w:tcW w:w="2232" w:type="dxa"/>
            <w:vAlign w:val="center"/>
          </w:tcPr>
          <w:p>
            <w:pPr>
              <w:pStyle w:val="72"/>
            </w:pPr>
            <w:r>
              <w:t>100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44" w:hRule="atLeast"/>
        </w:trPr>
        <w:tc>
          <w:tcPr>
            <w:tcW w:w="6014" w:type="dxa"/>
            <w:vAlign w:val="center"/>
          </w:tcPr>
          <w:p>
            <w:pPr>
              <w:pStyle w:val="72"/>
            </w:pPr>
            <w:r>
              <w:t>最高日单位人口综合用水量指标（L/cap.d）</w:t>
            </w:r>
          </w:p>
        </w:tc>
        <w:tc>
          <w:tcPr>
            <w:tcW w:w="2165" w:type="dxa"/>
            <w:vAlign w:val="center"/>
          </w:tcPr>
          <w:p>
            <w:pPr>
              <w:pStyle w:val="72"/>
            </w:pPr>
            <w:r>
              <w:t>2</w:t>
            </w:r>
            <w:r>
              <w:rPr>
                <w:rFonts w:hint="eastAsia"/>
              </w:rPr>
              <w:t>8</w:t>
            </w:r>
            <w:r>
              <w:t>0</w:t>
            </w:r>
          </w:p>
        </w:tc>
        <w:tc>
          <w:tcPr>
            <w:tcW w:w="2232" w:type="dxa"/>
            <w:vAlign w:val="center"/>
          </w:tcPr>
          <w:p>
            <w:pPr>
              <w:pStyle w:val="72"/>
            </w:pPr>
            <w:r>
              <w:t>320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55" w:hRule="atLeast"/>
        </w:trPr>
        <w:tc>
          <w:tcPr>
            <w:tcW w:w="6014" w:type="dxa"/>
            <w:vAlign w:val="center"/>
          </w:tcPr>
          <w:p>
            <w:pPr>
              <w:pStyle w:val="72"/>
            </w:pPr>
            <w:r>
              <w:t>最高日用水量(万m</w:t>
            </w:r>
            <w:r>
              <w:rPr>
                <w:vertAlign w:val="superscript"/>
              </w:rPr>
              <w:t>3</w:t>
            </w:r>
            <w:r>
              <w:t>/d)</w:t>
            </w:r>
          </w:p>
        </w:tc>
        <w:tc>
          <w:tcPr>
            <w:tcW w:w="2165" w:type="dxa"/>
            <w:vAlign w:val="center"/>
          </w:tcPr>
          <w:p>
            <w:pPr>
              <w:pStyle w:val="72"/>
            </w:pPr>
            <w:r>
              <w:rPr>
                <w:rFonts w:hint="eastAsia"/>
              </w:rPr>
              <w:t>29.40</w:t>
            </w:r>
          </w:p>
        </w:tc>
        <w:tc>
          <w:tcPr>
            <w:tcW w:w="2232" w:type="dxa"/>
            <w:vAlign w:val="center"/>
          </w:tcPr>
          <w:p>
            <w:pPr>
              <w:pStyle w:val="72"/>
            </w:pPr>
            <w:r>
              <w:t>41.6</w:t>
            </w:r>
          </w:p>
        </w:tc>
      </w:tr>
    </w:tbl>
    <w:p>
      <w:pPr>
        <w:pStyle w:val="5"/>
        <w:spacing w:before="120" w:after="120"/>
      </w:pPr>
      <w:bookmarkStart w:id="274" w:name="_Toc8032602"/>
      <w:r>
        <w:t>4.1.4.3中心城区需水量确定</w:t>
      </w:r>
      <w:bookmarkEnd w:id="274"/>
    </w:p>
    <w:p>
      <w:pPr>
        <w:pStyle w:val="16"/>
        <w:spacing w:line="360" w:lineRule="auto"/>
        <w:ind w:firstLine="592"/>
        <w:rPr>
          <w:rFonts w:cs="Times New Roman"/>
          <w:spacing w:val="16"/>
        </w:rPr>
      </w:pPr>
      <w:r>
        <w:rPr>
          <w:rFonts w:cs="Times New Roman"/>
          <w:spacing w:val="16"/>
        </w:rPr>
        <w:t xml:space="preserve">根据以上2种预测方法得出的需水量，分类用水指标法和人均综合用水量指标法大体上是吻合的。经综合分析，本规划淮北市需水量按分类用水指标法和人均综合用水量指标法两种计算结果的平均值确定。据此，淮北市最高日需水量见表4-3。 </w:t>
      </w:r>
    </w:p>
    <w:p>
      <w:pPr>
        <w:spacing w:line="360" w:lineRule="auto"/>
        <w:ind w:firstLine="562"/>
        <w:jc w:val="center"/>
        <w:rPr>
          <w:b/>
          <w:szCs w:val="28"/>
        </w:rPr>
      </w:pPr>
      <w:r>
        <w:rPr>
          <w:b/>
          <w:szCs w:val="28"/>
        </w:rPr>
        <w:t xml:space="preserve">  表4-3      中心城区需水量预测表 （三）                      </w:t>
      </w:r>
    </w:p>
    <w:tbl>
      <w:tblPr>
        <w:tblStyle w:val="39"/>
        <w:tblW w:w="10411" w:type="dxa"/>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6212"/>
        <w:gridCol w:w="2163"/>
        <w:gridCol w:w="2036"/>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6212" w:type="dxa"/>
            <w:tcBorders>
              <w:tl2br w:val="single" w:color="auto" w:sz="2" w:space="0"/>
            </w:tcBorders>
            <w:vAlign w:val="center"/>
          </w:tcPr>
          <w:p>
            <w:pPr>
              <w:pStyle w:val="72"/>
            </w:pPr>
            <w:r>
              <w:t xml:space="preserve">                                         年限                     </w:t>
            </w:r>
          </w:p>
          <w:p>
            <w:pPr>
              <w:pStyle w:val="72"/>
              <w:jc w:val="left"/>
            </w:pPr>
            <w:r>
              <w:t>需水量（万m</w:t>
            </w:r>
            <w:r>
              <w:rPr>
                <w:vertAlign w:val="superscript"/>
              </w:rPr>
              <w:t>3</w:t>
            </w:r>
            <w:r>
              <w:t>/d）</w:t>
            </w:r>
          </w:p>
        </w:tc>
        <w:tc>
          <w:tcPr>
            <w:tcW w:w="2163" w:type="dxa"/>
            <w:shd w:val="clear" w:color="auto" w:fill="auto"/>
            <w:vAlign w:val="center"/>
          </w:tcPr>
          <w:p>
            <w:pPr>
              <w:pStyle w:val="72"/>
            </w:pPr>
            <w:r>
              <w:t>2020年</w:t>
            </w:r>
          </w:p>
        </w:tc>
        <w:tc>
          <w:tcPr>
            <w:tcW w:w="2036" w:type="dxa"/>
            <w:shd w:val="clear" w:color="auto" w:fill="auto"/>
            <w:vAlign w:val="center"/>
          </w:tcPr>
          <w:p>
            <w:pPr>
              <w:pStyle w:val="72"/>
            </w:pPr>
            <w:r>
              <w:t>2030年</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25" w:hRule="atLeast"/>
        </w:trPr>
        <w:tc>
          <w:tcPr>
            <w:tcW w:w="6212" w:type="dxa"/>
            <w:shd w:val="clear" w:color="auto" w:fill="auto"/>
            <w:vAlign w:val="center"/>
          </w:tcPr>
          <w:p>
            <w:pPr>
              <w:pStyle w:val="72"/>
            </w:pPr>
            <w:r>
              <w:t>分类用水指标法预测结果（万m</w:t>
            </w:r>
            <w:r>
              <w:rPr>
                <w:vertAlign w:val="superscript"/>
              </w:rPr>
              <w:t>3</w:t>
            </w:r>
            <w:r>
              <w:t>/d）</w:t>
            </w:r>
          </w:p>
        </w:tc>
        <w:tc>
          <w:tcPr>
            <w:tcW w:w="2163" w:type="dxa"/>
            <w:shd w:val="clear" w:color="auto" w:fill="auto"/>
            <w:vAlign w:val="center"/>
          </w:tcPr>
          <w:p>
            <w:pPr>
              <w:pStyle w:val="72"/>
            </w:pPr>
            <w:r>
              <w:rPr>
                <w:rFonts w:hint="eastAsia"/>
              </w:rPr>
              <w:t>30.91</w:t>
            </w:r>
          </w:p>
        </w:tc>
        <w:tc>
          <w:tcPr>
            <w:tcW w:w="2036" w:type="dxa"/>
            <w:shd w:val="clear" w:color="auto" w:fill="auto"/>
            <w:vAlign w:val="center"/>
          </w:tcPr>
          <w:p>
            <w:pPr>
              <w:pStyle w:val="72"/>
            </w:pPr>
            <w:r>
              <w:rPr>
                <w:rFonts w:hint="eastAsia"/>
              </w:rPr>
              <w:t>41.97</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25" w:hRule="atLeast"/>
        </w:trPr>
        <w:tc>
          <w:tcPr>
            <w:tcW w:w="6212" w:type="dxa"/>
            <w:shd w:val="clear" w:color="auto" w:fill="auto"/>
            <w:vAlign w:val="center"/>
          </w:tcPr>
          <w:p>
            <w:pPr>
              <w:pStyle w:val="72"/>
            </w:pPr>
            <w:r>
              <w:t>人均综合用水量指标法预测结果（万m</w:t>
            </w:r>
            <w:r>
              <w:rPr>
                <w:vertAlign w:val="superscript"/>
              </w:rPr>
              <w:t>3</w:t>
            </w:r>
            <w:r>
              <w:t>/d）</w:t>
            </w:r>
          </w:p>
        </w:tc>
        <w:tc>
          <w:tcPr>
            <w:tcW w:w="2163" w:type="dxa"/>
            <w:shd w:val="clear" w:color="auto" w:fill="auto"/>
            <w:vAlign w:val="center"/>
          </w:tcPr>
          <w:p>
            <w:pPr>
              <w:pStyle w:val="72"/>
            </w:pPr>
            <w:r>
              <w:rPr>
                <w:rFonts w:hint="eastAsia"/>
              </w:rPr>
              <w:t>29.40</w:t>
            </w:r>
          </w:p>
        </w:tc>
        <w:tc>
          <w:tcPr>
            <w:tcW w:w="2036" w:type="dxa"/>
            <w:shd w:val="clear" w:color="auto" w:fill="auto"/>
            <w:vAlign w:val="center"/>
          </w:tcPr>
          <w:p>
            <w:pPr>
              <w:pStyle w:val="72"/>
            </w:pPr>
            <w:r>
              <w:rPr>
                <w:rFonts w:hint="eastAsia"/>
              </w:rPr>
              <w:t>41.60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525" w:hRule="atLeast"/>
        </w:trPr>
        <w:tc>
          <w:tcPr>
            <w:tcW w:w="6212" w:type="dxa"/>
            <w:shd w:val="clear" w:color="auto" w:fill="auto"/>
            <w:vAlign w:val="center"/>
          </w:tcPr>
          <w:p>
            <w:pPr>
              <w:pStyle w:val="72"/>
            </w:pPr>
            <w:r>
              <w:t>两种预测结果均值（万m</w:t>
            </w:r>
            <w:r>
              <w:rPr>
                <w:vertAlign w:val="superscript"/>
              </w:rPr>
              <w:t>3</w:t>
            </w:r>
            <w:r>
              <w:t>/d）</w:t>
            </w:r>
          </w:p>
        </w:tc>
        <w:tc>
          <w:tcPr>
            <w:tcW w:w="2163" w:type="dxa"/>
            <w:shd w:val="clear" w:color="auto" w:fill="auto"/>
            <w:vAlign w:val="center"/>
          </w:tcPr>
          <w:p>
            <w:pPr>
              <w:pStyle w:val="72"/>
            </w:pPr>
            <w:r>
              <w:rPr>
                <w:rFonts w:hint="eastAsia"/>
              </w:rPr>
              <w:t>30.155</w:t>
            </w:r>
          </w:p>
        </w:tc>
        <w:tc>
          <w:tcPr>
            <w:tcW w:w="2036" w:type="dxa"/>
            <w:shd w:val="clear" w:color="auto" w:fill="auto"/>
            <w:vAlign w:val="center"/>
          </w:tcPr>
          <w:p>
            <w:pPr>
              <w:pStyle w:val="72"/>
            </w:pPr>
            <w:r>
              <w:rPr>
                <w:rFonts w:hint="eastAsia"/>
              </w:rPr>
              <w:t>41.79</w:t>
            </w:r>
          </w:p>
        </w:tc>
      </w:tr>
    </w:tbl>
    <w:p>
      <w:pPr>
        <w:pStyle w:val="4"/>
        <w:spacing w:line="360" w:lineRule="auto"/>
        <w:rPr>
          <w:rFonts w:cs="Times New Roman"/>
        </w:rPr>
      </w:pPr>
      <w:bookmarkStart w:id="275" w:name="_Toc8032603"/>
      <w:r>
        <w:rPr>
          <w:rFonts w:cs="Times New Roman"/>
        </w:rPr>
        <w:t>4.1.</w:t>
      </w:r>
      <w:r>
        <w:rPr>
          <w:rFonts w:hint="eastAsia" w:cs="Times New Roman"/>
        </w:rPr>
        <w:t>5</w:t>
      </w:r>
      <w:r>
        <w:rPr>
          <w:rFonts w:cs="Times New Roman"/>
        </w:rPr>
        <w:t>供水规模确定</w:t>
      </w:r>
      <w:bookmarkEnd w:id="275"/>
    </w:p>
    <w:p>
      <w:pPr>
        <w:spacing w:line="360" w:lineRule="auto"/>
        <w:ind w:firstLine="560"/>
      </w:pPr>
      <w:r>
        <w:t>依据以上预测结果，结合资金、建设等方面因素的综合考虑，以及需水量预测中存在的一些不确定因素，确定淮北市供水规模为：</w:t>
      </w:r>
    </w:p>
    <w:p>
      <w:pPr>
        <w:pStyle w:val="16"/>
        <w:spacing w:line="360" w:lineRule="auto"/>
        <w:ind w:firstLine="560"/>
        <w:rPr>
          <w:rFonts w:cs="Times New Roman"/>
          <w:bCs/>
        </w:rPr>
      </w:pPr>
      <w:r>
        <w:rPr>
          <w:rFonts w:cs="Times New Roman"/>
          <w:bCs/>
        </w:rPr>
        <w:t>2020</w:t>
      </w:r>
      <w:r>
        <w:rPr>
          <w:rFonts w:hint="eastAsia" w:cs="Times New Roman"/>
          <w:bCs/>
        </w:rPr>
        <w:t xml:space="preserve"> </w:t>
      </w:r>
      <w:r>
        <w:rPr>
          <w:rFonts w:cs="Times New Roman"/>
          <w:bCs/>
        </w:rPr>
        <w:t>年：最高日供水规模</w:t>
      </w:r>
      <w:r>
        <w:rPr>
          <w:rFonts w:hint="eastAsia" w:cs="Times New Roman"/>
          <w:bCs/>
        </w:rPr>
        <w:t>30</w:t>
      </w:r>
      <w:r>
        <w:rPr>
          <w:rFonts w:cs="Times New Roman"/>
          <w:bCs/>
        </w:rPr>
        <w:t>万m</w:t>
      </w:r>
      <w:r>
        <w:rPr>
          <w:rFonts w:cs="Times New Roman"/>
          <w:bCs/>
          <w:vertAlign w:val="superscript"/>
        </w:rPr>
        <w:t>3</w:t>
      </w:r>
      <w:r>
        <w:rPr>
          <w:rFonts w:cs="Times New Roman"/>
          <w:bCs/>
        </w:rPr>
        <w:t>/d。</w:t>
      </w:r>
    </w:p>
    <w:p>
      <w:pPr>
        <w:spacing w:line="360" w:lineRule="auto"/>
        <w:ind w:firstLine="560"/>
        <w:rPr>
          <w:bCs/>
        </w:rPr>
      </w:pPr>
      <w:r>
        <w:rPr>
          <w:bCs/>
        </w:rPr>
        <w:t>203</w:t>
      </w:r>
      <w:r>
        <w:rPr>
          <w:rFonts w:hint="eastAsia"/>
          <w:bCs/>
        </w:rPr>
        <w:t>5</w:t>
      </w:r>
      <w:r>
        <w:rPr>
          <w:bCs/>
        </w:rPr>
        <w:t>年：最高日供水规模4</w:t>
      </w:r>
      <w:r>
        <w:rPr>
          <w:rFonts w:hint="eastAsia"/>
          <w:bCs/>
        </w:rPr>
        <w:t>2</w:t>
      </w:r>
      <w:r>
        <w:rPr>
          <w:bCs/>
        </w:rPr>
        <w:t>万m</w:t>
      </w:r>
      <w:r>
        <w:rPr>
          <w:bCs/>
          <w:vertAlign w:val="superscript"/>
        </w:rPr>
        <w:t>3</w:t>
      </w:r>
      <w:r>
        <w:rPr>
          <w:bCs/>
        </w:rPr>
        <w:t>/d。</w:t>
      </w:r>
    </w:p>
    <w:p>
      <w:pPr>
        <w:pStyle w:val="3"/>
        <w:spacing w:before="120" w:after="60" w:line="360" w:lineRule="auto"/>
        <w:ind w:firstLine="602"/>
        <w:rPr>
          <w:rFonts w:ascii="Times New Roman" w:hAnsi="Times New Roman"/>
        </w:rPr>
      </w:pPr>
      <w:bookmarkStart w:id="276" w:name="_Toc8032604"/>
      <w:r>
        <w:rPr>
          <w:rFonts w:hint="eastAsia" w:ascii="Times New Roman" w:hAnsi="Times New Roman"/>
        </w:rPr>
        <w:t>4.2</w:t>
      </w:r>
      <w:r>
        <w:rPr>
          <w:rFonts w:ascii="Times New Roman" w:hAnsi="Times New Roman"/>
        </w:rPr>
        <w:t xml:space="preserve"> 水源评价及选择</w:t>
      </w:r>
      <w:bookmarkEnd w:id="276"/>
    </w:p>
    <w:p>
      <w:pPr>
        <w:spacing w:line="360" w:lineRule="auto"/>
        <w:ind w:firstLine="560"/>
      </w:pPr>
      <w:r>
        <w:t>淮北市水资源分布特点：规划区内北部地表水、浅层地下水资源较贫乏，但分 布有一定量的岩溶地下水量，南部地表水、浅、中深层孔隙水较为丰富。淮北市地 表水资源不丰富，境内河流均为雨源型河流，受季节性降水控制，自净能力较差， 主要河流有濉河、沱河、浍河等，均为淮河的二级河流，此外还有大量塌陷水域。 地表水资源量由地表河流蓄水、水库蓄水、山塘水坝、塌陷区和大沟所组成，主要由大气降水转变的地表水资源。</w:t>
      </w:r>
    </w:p>
    <w:p>
      <w:pPr>
        <w:spacing w:line="360" w:lineRule="auto"/>
        <w:ind w:firstLine="560"/>
      </w:pPr>
      <w:r>
        <w:t>受降雨特性影响，城区地表水资源量年内月际差别大，年内径流量主要集中在 6～9 月份。因河道管理工作滞后，群众随意耕种现象比较普遍，河道淤积严重；同 时河道调蓄工程缺乏，已有工程不配套，多年老化失修，地表水调蓄能力低。另外 ， 随着水污染加剧，地表水可开发利用量越来越少，开发潜力越来越小。根据四十多年来的降雨资料分析，降雨年际变化大，年内分配不均，多年平均降雨量 831.5 毫 米。丰水年汛期地表水资源较为丰富，偏枯年份较为贫乏。</w:t>
      </w:r>
    </w:p>
    <w:p>
      <w:pPr>
        <w:spacing w:line="360" w:lineRule="auto"/>
        <w:ind w:firstLine="560"/>
      </w:pPr>
      <w:r>
        <w:t>流经城区的河流多为雨源型河流，常出现断流，自净能力较差。由于工业和城 市建设的迅速发展，污水废水排入量迅速增长，水污染呈上升趋势。据监测，肖濉 新河、龙岱河、老濉河有机物污染严重，主要是受到萧县及城区工业区废水和生活 污水的污染，COD、BOD 严重超标。</w:t>
      </w:r>
    </w:p>
    <w:p>
      <w:pPr>
        <w:spacing w:line="360" w:lineRule="auto"/>
        <w:ind w:firstLine="560"/>
        <w:rPr>
          <w:bCs/>
        </w:rPr>
      </w:pPr>
      <w:r>
        <w:rPr>
          <w:bCs/>
        </w:rPr>
        <w:t>根据水资源评价成果，淮北市年均地表水资源量 4.05 亿 m</w:t>
      </w:r>
      <w:r>
        <w:rPr>
          <w:bCs/>
          <w:vertAlign w:val="superscript"/>
        </w:rPr>
        <w:t>3</w:t>
      </w:r>
      <w:r>
        <w:rPr>
          <w:bCs/>
        </w:rPr>
        <w:t>，可利用量 1.55 亿 m</w:t>
      </w:r>
      <w:r>
        <w:rPr>
          <w:bCs/>
          <w:vertAlign w:val="superscript"/>
        </w:rPr>
        <w:t>3</w:t>
      </w:r>
      <w:r>
        <w:rPr>
          <w:bCs/>
        </w:rPr>
        <w:t>，实际开采量 1.03 亿 m</w:t>
      </w:r>
      <w:r>
        <w:rPr>
          <w:bCs/>
          <w:vertAlign w:val="superscript"/>
        </w:rPr>
        <w:t>3</w:t>
      </w:r>
      <w:r>
        <w:rPr>
          <w:bCs/>
        </w:rPr>
        <w:t>；其中市区可利用量 0.25 亿 m</w:t>
      </w:r>
      <w:r>
        <w:rPr>
          <w:bCs/>
          <w:vertAlign w:val="superscript"/>
        </w:rPr>
        <w:t>3</w:t>
      </w:r>
      <w:r>
        <w:rPr>
          <w:bCs/>
        </w:rPr>
        <w:t>，实际开采量 0.24 亿 m</w:t>
      </w:r>
      <w:r>
        <w:rPr>
          <w:bCs/>
          <w:vertAlign w:val="superscript"/>
        </w:rPr>
        <w:t>3</w:t>
      </w:r>
      <w:r>
        <w:rPr>
          <w:bCs/>
        </w:rPr>
        <w:t>， 开发利用程度达 96%。</w:t>
      </w:r>
    </w:p>
    <w:p>
      <w:pPr>
        <w:pStyle w:val="16"/>
        <w:spacing w:before="153" w:line="393" w:lineRule="auto"/>
        <w:ind w:firstLine="560"/>
        <w:rPr>
          <w:bCs/>
        </w:rPr>
      </w:pPr>
      <w:r>
        <w:rPr>
          <w:bCs/>
        </w:rPr>
        <w:t>地表河流监测断面主要高锰酸盐指数分别为：新濉河渠沟断面 7.93mg/l，青龙 山断面 31.8mg/l，陈路口断面 37.0mg/l，古饶断面 31.8mg/l，根据《地表水环境质 量标准》（GB3838-2002）评价标准，严重超过</w:t>
      </w:r>
      <w:r>
        <w:rPr>
          <w:rFonts w:hint="eastAsia" w:ascii="宋体" w:hAnsi="宋体"/>
          <w:bCs/>
        </w:rPr>
        <w:t>Ⅴ</w:t>
      </w:r>
      <w:r>
        <w:rPr>
          <w:bCs/>
        </w:rPr>
        <w:t>类水体水质标准，水质处于重污染状态。南沱河洪河头断面 4.7mg/l，后常桥断面 6.9mg/l，达到</w:t>
      </w:r>
      <w:r>
        <w:rPr>
          <w:rFonts w:hint="eastAsia" w:ascii="宋体" w:hAnsi="宋体"/>
          <w:bCs/>
        </w:rPr>
        <w:t>Ⅲ</w:t>
      </w:r>
      <w:r>
        <w:rPr>
          <w:bCs/>
        </w:rPr>
        <w:t>类水质标准，水质较好。塌陷区水质状况良好，达到</w:t>
      </w:r>
      <w:r>
        <w:rPr>
          <w:rFonts w:hint="eastAsia" w:ascii="宋体" w:hAnsi="宋体"/>
          <w:bCs/>
        </w:rPr>
        <w:t>Ⅲ</w:t>
      </w:r>
      <w:r>
        <w:rPr>
          <w:bCs/>
        </w:rPr>
        <w:t>类水质标准。濉河流经淮北市区、濉溪县，沿岸居民聚居区较集中，工业、企业分布较多，杨庄塌陷区在烈山区境内</w:t>
      </w:r>
      <w:r>
        <w:rPr>
          <w:rFonts w:hint="eastAsia"/>
          <w:bCs/>
        </w:rPr>
        <w:t>，</w:t>
      </w:r>
      <w:r>
        <w:rPr>
          <w:bCs/>
        </w:rPr>
        <w:t>水质达到Ⅲ类水质标准</w:t>
      </w:r>
      <w:r>
        <w:rPr>
          <w:rFonts w:hint="eastAsia"/>
          <w:bCs/>
        </w:rPr>
        <w:t>，</w:t>
      </w:r>
      <w:r>
        <w:rPr>
          <w:bCs/>
        </w:rPr>
        <w:t>其指标符合国家《生活饮用水卫生标准》的要求。</w:t>
      </w:r>
    </w:p>
    <w:p>
      <w:pPr>
        <w:spacing w:line="360" w:lineRule="auto"/>
        <w:ind w:firstLine="560"/>
        <w:rPr>
          <w:bCs/>
        </w:rPr>
      </w:pPr>
      <w:r>
        <w:rPr>
          <w:bCs/>
        </w:rPr>
        <w:t>随着城市和工业的发展，水污染也在加剧，可以开采的地表水资源越来越少，地下水的开发利用对工农业生产和城乡供水产生巨大作用。</w:t>
      </w:r>
    </w:p>
    <w:p>
      <w:pPr>
        <w:spacing w:line="360" w:lineRule="auto"/>
        <w:ind w:firstLine="560"/>
        <w:rPr>
          <w:bCs/>
        </w:rPr>
      </w:pPr>
      <w:r>
        <w:rPr>
          <w:bCs/>
        </w:rPr>
        <w:t>地下水可分为浅层水和岩溶地下水资源。浅层水多为 HCO</w:t>
      </w:r>
      <w:r>
        <w:rPr>
          <w:bCs/>
          <w:vertAlign w:val="subscript"/>
        </w:rPr>
        <w:t>3</w:t>
      </w:r>
      <w:r>
        <w:rPr>
          <w:bCs/>
        </w:rPr>
        <w:t>Ca 型，矿化度0.66g/l，pH 值 7-8 左右，水质较差，难以集中开采；岩溶地下水水质较好，矿化度0.48g/l，pH 值 7-8 左右，水质多为 HCO</w:t>
      </w:r>
      <w:r>
        <w:rPr>
          <w:bCs/>
          <w:vertAlign w:val="subscript"/>
        </w:rPr>
        <w:t>3</w:t>
      </w:r>
      <w:r>
        <w:rPr>
          <w:bCs/>
        </w:rPr>
        <w:t>-Ca，唯硬度稍高，岩溶地下水是淮北市生活用水的主要供水水源。</w:t>
      </w:r>
    </w:p>
    <w:p>
      <w:pPr>
        <w:spacing w:line="360" w:lineRule="auto"/>
        <w:ind w:firstLine="560"/>
        <w:rPr>
          <w:bCs/>
        </w:rPr>
      </w:pPr>
      <w:r>
        <w:rPr>
          <w:bCs/>
        </w:rPr>
        <w:t>城区地下水总体质量良好，主要指标均符合国家《地下水质量标准》中</w:t>
      </w:r>
      <w:r>
        <w:rPr>
          <w:rFonts w:hint="eastAsia" w:ascii="宋体" w:hAnsi="宋体" w:cs="宋体"/>
          <w:bCs/>
        </w:rPr>
        <w:t>Ⅱ</w:t>
      </w:r>
      <w:r>
        <w:rPr>
          <w:bCs/>
        </w:rPr>
        <w:t>-</w:t>
      </w:r>
      <w:r>
        <w:rPr>
          <w:rFonts w:hint="eastAsia" w:ascii="宋体" w:hAnsi="宋体" w:cs="宋体"/>
          <w:bCs/>
        </w:rPr>
        <w:t>Ⅲ</w:t>
      </w:r>
      <w:r>
        <w:rPr>
          <w:bCs/>
        </w:rPr>
        <w:t>类 水质要求。但城区岩溶水补给区仍有少数企业单位，排放的有害废水、污水正污染 着浅层地下水并侵袭岩溶水源地。</w:t>
      </w:r>
    </w:p>
    <w:p>
      <w:pPr>
        <w:spacing w:line="360" w:lineRule="auto"/>
        <w:ind w:firstLine="560"/>
        <w:rPr>
          <w:bCs/>
        </w:rPr>
      </w:pPr>
      <w:r>
        <w:rPr>
          <w:bCs/>
        </w:rPr>
        <w:t>近年来，淮北市有了较大发展，需水量在不断增加，水资源供需矛盾日益突出。针对未来需水量日益增长，为了有效防治因地下水超采造成的地下水位持续下降、 控制岩溶水超采漏斗的扩展和地面沉降或塌陷，地下水源主要保证城乡居民的生活 用水。城市高耗水工业用水可考虑使用污水处理后的再生水和开发引入华家水库和 矿山集塌陷洼地中的闸河水，以及“淮水北调”引入地表水。</w:t>
      </w:r>
    </w:p>
    <w:p>
      <w:pPr>
        <w:spacing w:line="360" w:lineRule="auto"/>
        <w:ind w:firstLine="560"/>
        <w:rPr>
          <w:rFonts w:hint="eastAsia" w:eastAsia="宋体"/>
          <w:lang w:eastAsia="zh-CN"/>
        </w:rPr>
      </w:pPr>
      <w:r>
        <w:t>  淮水北调工程以淮北市、宿州市城区为主要供水对象，同时兼顾输水沿线的五河、固镇、灵璧、萧县等城镇补水和生态用水。淮水北调是全省“三横三纵”水资源配置体系的跨区域骨干调水工程，是支撑和保障皖北地区加快发展的重大基础设施，也是国家南水北调东线的配水工程和今后引江济淮的延伸工程，兼有工业供水、灌溉补水和减少地下水开采、保护生态环境等显著综合效益。</w:t>
      </w:r>
    </w:p>
    <w:p>
      <w:pPr>
        <w:spacing w:line="360" w:lineRule="auto"/>
        <w:ind w:firstLine="560"/>
      </w:pPr>
      <w:r>
        <w:t>       淮水北调工程近期水源为淮河干流及怀洪新河水系过境退水和南水北调东线分配的水量，具有相机调水特点，以置换和减轻现状工业及新增工业对地下水超采，遇部分干旱年份调水量不足时再临时启用当地中深层地下水应急补给，总体上起到兼顾经济社会发展和减少地下水开采总量之目的。远期可增加利用引江济淮工程水源，进一步扩大供水量和提高供水保证率，最终实现中深层地下水全面禁采。</w:t>
      </w:r>
    </w:p>
    <w:p>
      <w:pPr>
        <w:spacing w:line="360" w:lineRule="auto"/>
        <w:ind w:firstLine="400"/>
        <w:rPr>
          <w:rFonts w:hint="eastAsia" w:eastAsia="宋体"/>
          <w:lang w:eastAsia="zh-CN"/>
        </w:rPr>
      </w:pPr>
      <w:r>
        <w:rPr>
          <w:rFonts w:ascii="Arial" w:hAnsi="Arial" w:cs="Arial"/>
          <w:color w:val="000000"/>
          <w:sz w:val="20"/>
          <w:szCs w:val="20"/>
          <w:shd w:val="clear" w:color="auto" w:fill="FFFFFF"/>
        </w:rPr>
        <w:t> </w:t>
      </w:r>
      <w:r>
        <w:t>依据南水北调东线分配水量、淮河干流可利用洪水资源和淮水北调工程供水任务，确定的淮水北调工程规模为：抽淮流量50m</w:t>
      </w:r>
      <w:r>
        <w:rPr>
          <w:vertAlign w:val="superscript"/>
        </w:rPr>
        <w:t>3</w:t>
      </w:r>
      <w:r>
        <w:t>/s，出香涧湖36m</w:t>
      </w:r>
      <w:r>
        <w:rPr>
          <w:vertAlign w:val="superscript"/>
        </w:rPr>
        <w:t>3</w:t>
      </w:r>
      <w:r>
        <w:t>/s，多年平均出湖水量25652万m</w:t>
      </w:r>
      <w:r>
        <w:rPr>
          <w:vertAlign w:val="superscript"/>
        </w:rPr>
        <w:t>3</w:t>
      </w:r>
      <w:r>
        <w:t>；到宿州二铺闸上30m</w:t>
      </w:r>
      <w:r>
        <w:rPr>
          <w:vertAlign w:val="superscript"/>
        </w:rPr>
        <w:t>3</w:t>
      </w:r>
      <w:r>
        <w:t>/s，多年平均调水量24176万m</w:t>
      </w:r>
      <w:r>
        <w:rPr>
          <w:vertAlign w:val="superscript"/>
        </w:rPr>
        <w:t>3</w:t>
      </w:r>
      <w:r>
        <w:t>；到淮北四铺闸上18m</w:t>
      </w:r>
      <w:r>
        <w:rPr>
          <w:vertAlign w:val="superscript"/>
        </w:rPr>
        <w:t>3</w:t>
      </w:r>
      <w:r>
        <w:t>/s，多年平均调水量13156万m</w:t>
      </w:r>
      <w:r>
        <w:rPr>
          <w:vertAlign w:val="superscript"/>
        </w:rPr>
        <w:t>3</w:t>
      </w:r>
      <w:r>
        <w:t>。远期利用引江济淮工程水源，可进一步扩大调水量。</w:t>
      </w:r>
    </w:p>
    <w:p>
      <w:pPr>
        <w:spacing w:line="360" w:lineRule="auto"/>
        <w:ind w:firstLine="400"/>
      </w:pPr>
      <w:r>
        <w:t>       本着以水定供、以供定需的原则，淮水北调工程近期多年平均口门调水量2.8亿m</w:t>
      </w:r>
      <w:r>
        <w:rPr>
          <w:vertAlign w:val="superscript"/>
        </w:rPr>
        <w:t>3</w:t>
      </w:r>
      <w:r>
        <w:t>，其中分配水源地蚌埠市香涧湖周边的水量为0.4亿m</w:t>
      </w:r>
      <w:r>
        <w:rPr>
          <w:vertAlign w:val="superscript"/>
        </w:rPr>
        <w:t>3</w:t>
      </w:r>
      <w:r>
        <w:t>，宿州市区及灵璧县、萧县的水量为1.2亿m</w:t>
      </w:r>
      <w:r>
        <w:rPr>
          <w:vertAlign w:val="superscript"/>
        </w:rPr>
        <w:t>3</w:t>
      </w:r>
      <w:r>
        <w:t>，淮北市区及濉溪县的水量为1.2亿m</w:t>
      </w:r>
      <w:r>
        <w:rPr>
          <w:vertAlign w:val="superscript"/>
        </w:rPr>
        <w:t>3</w:t>
      </w:r>
      <w:r>
        <w:t>。在淮河干流水量丰沛时，近期最大年份调水量为6.8亿m</w:t>
      </w:r>
      <w:r>
        <w:rPr>
          <w:vertAlign w:val="superscript"/>
        </w:rPr>
        <w:t>3</w:t>
      </w:r>
      <w:r>
        <w:t>，其中分配至蚌埠市香涧湖周边的水量为2.0亿m</w:t>
      </w:r>
      <w:r>
        <w:rPr>
          <w:vertAlign w:val="superscript"/>
        </w:rPr>
        <w:t>3</w:t>
      </w:r>
      <w:r>
        <w:t>，宿州市及灵璧县、萧县的水量为2.4亿m</w:t>
      </w:r>
      <w:r>
        <w:rPr>
          <w:vertAlign w:val="superscript"/>
        </w:rPr>
        <w:t>3</w:t>
      </w:r>
      <w:r>
        <w:t>、淮北市及濉溪县为2.4亿m</w:t>
      </w:r>
      <w:r>
        <w:rPr>
          <w:vertAlign w:val="superscript"/>
        </w:rPr>
        <w:t>3</w:t>
      </w:r>
      <w:r>
        <w:t>。</w:t>
      </w:r>
    </w:p>
    <w:p>
      <w:pPr>
        <w:spacing w:line="360" w:lineRule="auto"/>
        <w:ind w:firstLine="560"/>
      </w:pPr>
      <w:r>
        <w:t>根据《淮北市城市总体规划》和淮北市水资源开发利用状况，与安徽省淮水北调工程建设方案相衔接，规划在2020年利用淮水北调水源保障新增工业用水并置换部分现状工业用地下水，以遏制地下水超采和水环境恶化趋势；远期通过增加引江济淮工程水源，保障城市安全用水，从根本上抑制地下水超采。</w:t>
      </w:r>
    </w:p>
    <w:p>
      <w:pPr>
        <w:pStyle w:val="3"/>
        <w:spacing w:before="120" w:after="60" w:line="360" w:lineRule="auto"/>
        <w:ind w:firstLine="602"/>
        <w:rPr>
          <w:rFonts w:ascii="Times New Roman" w:hAnsi="Times New Roman"/>
        </w:rPr>
      </w:pPr>
      <w:bookmarkStart w:id="277" w:name="_Toc8032605"/>
      <w:r>
        <w:rPr>
          <w:rFonts w:ascii="Times New Roman" w:hAnsi="Times New Roman"/>
        </w:rPr>
        <w:t>4.</w:t>
      </w:r>
      <w:r>
        <w:rPr>
          <w:rFonts w:hint="eastAsia" w:ascii="Times New Roman" w:hAnsi="Times New Roman"/>
        </w:rPr>
        <w:t>3</w:t>
      </w:r>
      <w:r>
        <w:rPr>
          <w:rFonts w:ascii="Times New Roman" w:hAnsi="Times New Roman"/>
        </w:rPr>
        <w:t>水量供需平衡分析</w:t>
      </w:r>
      <w:bookmarkEnd w:id="277"/>
    </w:p>
    <w:p>
      <w:pPr>
        <w:spacing w:line="360" w:lineRule="auto"/>
        <w:ind w:firstLine="560"/>
      </w:pPr>
      <w:r>
        <w:t>由于淮北市区大部分河道水质受到</w:t>
      </w:r>
      <w:r>
        <w:rPr>
          <w:rFonts w:hint="eastAsia"/>
        </w:rPr>
        <w:t>一定程度的</w:t>
      </w:r>
      <w:r>
        <w:t>污染，在非汛期及偏枯年份，地表水大部分已不能作为城区生活用水水源。淮北市城区主要的供水水源为地下水，在有限的水资源条件下，对各种水源资进行统一调配使用，并贯彻“优水优用”的原则， 优质水优先满足生活用水，因此地下水源应优先满足城乡人民生活用水，对用水水质要求不高的工业用水可采用污水回用水源或利用矿塌陷区蓄水及实施跨流域调水来满足。</w:t>
      </w:r>
    </w:p>
    <w:p>
      <w:pPr>
        <w:spacing w:line="360" w:lineRule="auto"/>
        <w:ind w:firstLine="560"/>
      </w:pPr>
      <w:r>
        <w:t>淮北市岩溶水源地可划分为相山濉溪水源地、徐楼水源地、二电厂水源地。相山濉溪水源地包括高岳～相山，淮北发电厂～三堤口、濉溪县城区，岩溶水分布面积101.4km</w:t>
      </w:r>
      <w:r>
        <w:rPr>
          <w:vertAlign w:val="superscript"/>
        </w:rPr>
        <w:t>2</w:t>
      </w:r>
      <w:r>
        <w:t>，有裸露区、隐伏区、连通区三种类型；徐楼水源地岩溶水分布面积176.63km</w:t>
      </w:r>
      <w:r>
        <w:rPr>
          <w:vertAlign w:val="superscript"/>
        </w:rPr>
        <w:t>2</w:t>
      </w:r>
      <w:r>
        <w:t>，仅有隐伏区；二电厂水源地包括时村、青谷、孟山、穆浅子～赵集一带，岩溶水分布面积241.4km</w:t>
      </w:r>
      <w:r>
        <w:rPr>
          <w:vertAlign w:val="superscript"/>
        </w:rPr>
        <w:t>2</w:t>
      </w:r>
      <w:r>
        <w:t>，有裸露区、隐伏区、连通区三种类型。</w:t>
      </w:r>
    </w:p>
    <w:p>
      <w:pPr>
        <w:spacing w:line="360" w:lineRule="auto"/>
        <w:ind w:firstLine="560"/>
      </w:pPr>
      <w:r>
        <w:t>岩溶地下水可开采量仍采用可开采系数法计算，由于缺乏研究成果及实验资料，只能根据实际开采量资料及经验确定，相山濉溪水源地和二电厂水源地开采系数取0.72，徐楼水源地开采系数取0.7，计算成果见表4-4。</w:t>
      </w:r>
    </w:p>
    <w:p>
      <w:pPr>
        <w:widowControl/>
        <w:autoSpaceDE/>
        <w:autoSpaceDN/>
        <w:adjustRightInd/>
        <w:spacing w:line="240" w:lineRule="auto"/>
        <w:ind w:firstLine="0" w:firstLineChars="0"/>
        <w:rPr>
          <w:rFonts w:ascii="宋体" w:hAnsi="宋体"/>
          <w:b/>
          <w:sz w:val="24"/>
        </w:rPr>
      </w:pPr>
      <w:r>
        <w:rPr>
          <w:rFonts w:ascii="宋体" w:hAnsi="宋体"/>
          <w:b/>
          <w:sz w:val="24"/>
        </w:rPr>
        <w:br w:type="page"/>
      </w:r>
    </w:p>
    <w:p>
      <w:pPr>
        <w:spacing w:line="360" w:lineRule="auto"/>
        <w:ind w:firstLine="482"/>
        <w:jc w:val="center"/>
        <w:rPr>
          <w:rFonts w:ascii="宋体" w:hAnsi="宋体"/>
          <w:b/>
          <w:sz w:val="24"/>
        </w:rPr>
      </w:pPr>
      <w:r>
        <w:rPr>
          <w:rFonts w:ascii="宋体" w:hAnsi="宋体"/>
          <w:b/>
          <w:sz w:val="24"/>
        </w:rPr>
        <w:t>表4-4  淮北市岩溶地下水可开采量  单位：亿m</w:t>
      </w:r>
      <w:r>
        <w:rPr>
          <w:rFonts w:ascii="宋体" w:hAnsi="宋体"/>
          <w:b/>
          <w:sz w:val="24"/>
          <w:vertAlign w:val="superscript"/>
        </w:rPr>
        <w:t>3</w:t>
      </w:r>
      <w:r>
        <w:rPr>
          <w:rFonts w:ascii="宋体" w:hAnsi="宋体"/>
          <w:b/>
          <w:sz w:val="24"/>
        </w:rPr>
        <w:t>/a</w:t>
      </w:r>
    </w:p>
    <w:tbl>
      <w:tblPr>
        <w:tblStyle w:val="39"/>
        <w:tblW w:w="8694"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3182"/>
        <w:gridCol w:w="2543"/>
        <w:gridCol w:w="2969"/>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3182" w:type="dxa"/>
            <w:vAlign w:val="center"/>
          </w:tcPr>
          <w:p>
            <w:pPr>
              <w:pStyle w:val="72"/>
            </w:pPr>
            <w:r>
              <w:t>分区</w:t>
            </w:r>
          </w:p>
        </w:tc>
        <w:tc>
          <w:tcPr>
            <w:tcW w:w="2543" w:type="dxa"/>
            <w:vAlign w:val="center"/>
          </w:tcPr>
          <w:p>
            <w:pPr>
              <w:pStyle w:val="72"/>
            </w:pPr>
            <w:r>
              <w:t>总补给量</w:t>
            </w:r>
          </w:p>
        </w:tc>
        <w:tc>
          <w:tcPr>
            <w:tcW w:w="2969" w:type="dxa"/>
            <w:vAlign w:val="center"/>
          </w:tcPr>
          <w:p>
            <w:pPr>
              <w:pStyle w:val="72"/>
            </w:pPr>
            <w:r>
              <w:t>可开采量</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3182" w:type="dxa"/>
            <w:vAlign w:val="center"/>
          </w:tcPr>
          <w:p>
            <w:pPr>
              <w:pStyle w:val="72"/>
            </w:pPr>
            <w:r>
              <w:t>北区</w:t>
            </w:r>
          </w:p>
        </w:tc>
        <w:tc>
          <w:tcPr>
            <w:tcW w:w="2543" w:type="dxa"/>
            <w:vAlign w:val="center"/>
          </w:tcPr>
          <w:p>
            <w:pPr>
              <w:pStyle w:val="72"/>
            </w:pPr>
            <w:r>
              <w:t>0.994</w:t>
            </w:r>
          </w:p>
        </w:tc>
        <w:tc>
          <w:tcPr>
            <w:tcW w:w="2969" w:type="dxa"/>
            <w:vAlign w:val="center"/>
          </w:tcPr>
          <w:p>
            <w:pPr>
              <w:pStyle w:val="72"/>
            </w:pPr>
            <w:r>
              <w:t>0.716</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3182" w:type="dxa"/>
            <w:vAlign w:val="center"/>
          </w:tcPr>
          <w:p>
            <w:pPr>
              <w:pStyle w:val="72"/>
            </w:pPr>
            <w:r>
              <w:t>中区</w:t>
            </w:r>
          </w:p>
        </w:tc>
        <w:tc>
          <w:tcPr>
            <w:tcW w:w="2543" w:type="dxa"/>
            <w:vAlign w:val="center"/>
          </w:tcPr>
          <w:p>
            <w:pPr>
              <w:pStyle w:val="72"/>
            </w:pPr>
            <w:r>
              <w:t>0.161</w:t>
            </w:r>
          </w:p>
        </w:tc>
        <w:tc>
          <w:tcPr>
            <w:tcW w:w="2969" w:type="dxa"/>
            <w:vAlign w:val="center"/>
          </w:tcPr>
          <w:p>
            <w:pPr>
              <w:pStyle w:val="72"/>
            </w:pPr>
            <w:r>
              <w:t>0.113</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3182" w:type="dxa"/>
            <w:noWrap/>
            <w:vAlign w:val="center"/>
          </w:tcPr>
          <w:p>
            <w:pPr>
              <w:pStyle w:val="72"/>
            </w:pPr>
            <w:r>
              <w:t>合计</w:t>
            </w:r>
          </w:p>
        </w:tc>
        <w:tc>
          <w:tcPr>
            <w:tcW w:w="2543" w:type="dxa"/>
            <w:vAlign w:val="center"/>
          </w:tcPr>
          <w:p>
            <w:pPr>
              <w:pStyle w:val="72"/>
            </w:pPr>
            <w:r>
              <w:t>1.155</w:t>
            </w:r>
          </w:p>
        </w:tc>
        <w:tc>
          <w:tcPr>
            <w:tcW w:w="2969" w:type="dxa"/>
            <w:noWrap/>
            <w:vAlign w:val="center"/>
          </w:tcPr>
          <w:p>
            <w:pPr>
              <w:pStyle w:val="72"/>
            </w:pPr>
            <w:r>
              <w:t xml:space="preserve">0.828 </w:t>
            </w:r>
          </w:p>
        </w:tc>
      </w:tr>
    </w:tbl>
    <w:p>
      <w:pPr>
        <w:spacing w:line="360" w:lineRule="auto"/>
        <w:ind w:firstLine="560"/>
        <w:rPr>
          <w:b/>
        </w:rPr>
      </w:pPr>
      <w:r>
        <w:t>由上表可知，地下水源可供水量为0.828</w:t>
      </w:r>
      <w:r>
        <w:rPr>
          <w:rFonts w:hint="eastAsia"/>
        </w:rPr>
        <w:t>亿m³</w:t>
      </w:r>
      <w:r>
        <w:t>/</w:t>
      </w:r>
      <w:r>
        <w:rPr>
          <w:rFonts w:hint="eastAsia"/>
        </w:rPr>
        <w:t>a（22.68万m³/d）</w:t>
      </w:r>
      <w:r>
        <w:t>，而 20</w:t>
      </w:r>
      <w:r>
        <w:rPr>
          <w:rFonts w:hint="eastAsia"/>
        </w:rPr>
        <w:t>20</w:t>
      </w:r>
      <w:r>
        <w:t xml:space="preserve"> 年（近期）的供水规模为</w:t>
      </w:r>
      <w:r>
        <w:rPr>
          <w:rFonts w:hint="eastAsia"/>
        </w:rPr>
        <w:t>30</w:t>
      </w:r>
      <w:r>
        <w:t>万吨/日（最高日），20</w:t>
      </w:r>
      <w:r>
        <w:rPr>
          <w:rFonts w:hint="eastAsia"/>
        </w:rPr>
        <w:t>35</w:t>
      </w:r>
      <w:r>
        <w:t xml:space="preserve"> 年（远期）的供水规模为 </w:t>
      </w:r>
      <w:r>
        <w:rPr>
          <w:rFonts w:hint="eastAsia"/>
        </w:rPr>
        <w:t>42</w:t>
      </w:r>
      <w:r>
        <w:t xml:space="preserve"> 万吨/日（最高日），</w:t>
      </w:r>
      <w:r>
        <w:rPr>
          <w:rFonts w:hint="eastAsia"/>
        </w:rPr>
        <w:t>近</w:t>
      </w:r>
      <w:r>
        <w:t>期缺水规模为</w:t>
      </w:r>
      <w:r>
        <w:rPr>
          <w:rFonts w:hint="eastAsia"/>
        </w:rPr>
        <w:t>7.32</w:t>
      </w:r>
      <w:r>
        <w:t xml:space="preserve"> 万吨/日，</w:t>
      </w:r>
      <w:r>
        <w:rPr>
          <w:rFonts w:hint="eastAsia"/>
        </w:rPr>
        <w:t>缺水率24.4%，</w:t>
      </w:r>
      <w:r>
        <w:t>远期缺水规模为</w:t>
      </w:r>
      <w:r>
        <w:rPr>
          <w:rFonts w:hint="eastAsia"/>
        </w:rPr>
        <w:t>19.32</w:t>
      </w:r>
      <w:r>
        <w:t xml:space="preserve"> 万吨/日，缺水率为 46%。</w:t>
      </w:r>
      <w:r>
        <w:rPr>
          <w:b/>
        </w:rPr>
        <w:t xml:space="preserve"> </w:t>
      </w:r>
    </w:p>
    <w:p>
      <w:pPr>
        <w:spacing w:line="360" w:lineRule="auto"/>
        <w:ind w:firstLine="560"/>
        <w:rPr>
          <w:bCs/>
        </w:rPr>
      </w:pPr>
      <w:r>
        <w:rPr>
          <w:bCs/>
        </w:rPr>
        <w:t>现状年淮北市已呈现出缺水的问题，如果没有供水投入，维持现状的供水能力和节水水平已不能满足经济和社会发展的需求，水资源短缺将严重制约地区经济和社会的发展。因此，从整体上考虑，必须开展节水型</w:t>
      </w:r>
      <w:r>
        <w:rPr>
          <w:rFonts w:hint="eastAsia"/>
          <w:bCs/>
        </w:rPr>
        <w:t>城市</w:t>
      </w:r>
      <w:r>
        <w:rPr>
          <w:bCs/>
        </w:rPr>
        <w:t>建设，全面提高用水效率，治污挖潜，同时开辟新的供水水源，才能从根本上解决淮北市的缺水问题。</w:t>
      </w:r>
    </w:p>
    <w:p>
      <w:pPr>
        <w:spacing w:line="360" w:lineRule="auto"/>
        <w:ind w:firstLine="560"/>
        <w:rPr>
          <w:bCs/>
        </w:rPr>
      </w:pPr>
      <w:r>
        <w:rPr>
          <w:bCs/>
        </w:rPr>
        <w:t>在立足于当地供水水源的基础上，为了满足淮北市未来的用水需求，将主要在以下三个方面开展新水源建设，包括：污水处理回用，采煤沉陷区水资源利用和跨流域调水工程。</w:t>
      </w:r>
    </w:p>
    <w:p>
      <w:pPr>
        <w:spacing w:line="360" w:lineRule="auto"/>
        <w:ind w:firstLine="560"/>
        <w:rPr>
          <w:bCs/>
        </w:rPr>
      </w:pPr>
      <w:r>
        <w:rPr>
          <w:rFonts w:hint="eastAsia"/>
          <w:bCs/>
        </w:rPr>
        <w:t>（</w:t>
      </w:r>
      <w:r>
        <w:rPr>
          <w:bCs/>
        </w:rPr>
        <w:t>1</w:t>
      </w:r>
      <w:r>
        <w:rPr>
          <w:rFonts w:hint="eastAsia"/>
          <w:bCs/>
        </w:rPr>
        <w:t>）</w:t>
      </w:r>
      <w:r>
        <w:rPr>
          <w:bCs/>
        </w:rPr>
        <w:t>污水处理回用</w:t>
      </w:r>
    </w:p>
    <w:p>
      <w:pPr>
        <w:spacing w:line="360" w:lineRule="auto"/>
        <w:ind w:firstLine="560"/>
        <w:rPr>
          <w:bCs/>
        </w:rPr>
      </w:pPr>
      <w:r>
        <w:rPr>
          <w:bCs/>
        </w:rPr>
        <w:t>提高污水处理率、增加回用量不但是减少污染、保护环境的必要途径，也是实现淮北市水资源供需平衡的重要措施。循环冷却水用水量大且对水质要求不高，将是污水处理回用的主要对象；经二级处理后的污水可用于一般功能的河道景观用水；三级处理的污水可满足市区景观河道及公园湖泊补水；回用于城市的低标准处理水排放于下游河道，基本可满足农田灌溉水质标准。</w:t>
      </w:r>
    </w:p>
    <w:p>
      <w:pPr>
        <w:spacing w:line="360" w:lineRule="auto"/>
        <w:ind w:firstLine="560"/>
        <w:rPr>
          <w:bCs/>
        </w:rPr>
      </w:pPr>
      <w:r>
        <w:rPr>
          <w:rFonts w:hint="eastAsia"/>
          <w:bCs/>
        </w:rPr>
        <w:t>（</w:t>
      </w:r>
      <w:r>
        <w:rPr>
          <w:bCs/>
        </w:rPr>
        <w:t>2</w:t>
      </w:r>
      <w:r>
        <w:rPr>
          <w:rFonts w:hint="eastAsia"/>
          <w:bCs/>
        </w:rPr>
        <w:t>）</w:t>
      </w:r>
      <w:r>
        <w:rPr>
          <w:bCs/>
        </w:rPr>
        <w:t>沉陷区蓄水工程</w:t>
      </w:r>
    </w:p>
    <w:p>
      <w:pPr>
        <w:spacing w:line="360" w:lineRule="auto"/>
        <w:ind w:firstLine="560"/>
        <w:rPr>
          <w:bCs/>
        </w:rPr>
      </w:pPr>
      <w:r>
        <w:rPr>
          <w:bCs/>
        </w:rPr>
        <w:t>淮北市</w:t>
      </w:r>
      <w:r>
        <w:rPr>
          <w:rFonts w:hint="eastAsia"/>
          <w:bCs/>
        </w:rPr>
        <w:t>已</w:t>
      </w:r>
      <w:r>
        <w:rPr>
          <w:bCs/>
        </w:rPr>
        <w:t>对采煤沉陷区进行综合整治，对一部分沉陷区，增大其调蓄库容，以提高其拦蓄地表水能力，为淮北市生活及工业提供用水，同时，也为“淮水北调”提供了地表蓄水空间。</w:t>
      </w:r>
    </w:p>
    <w:p>
      <w:pPr>
        <w:spacing w:line="360" w:lineRule="auto"/>
        <w:ind w:firstLine="560"/>
        <w:rPr>
          <w:bCs/>
        </w:rPr>
      </w:pPr>
      <w:r>
        <w:rPr>
          <w:rFonts w:hint="eastAsia"/>
          <w:bCs/>
        </w:rPr>
        <w:t>（</w:t>
      </w:r>
      <w:r>
        <w:rPr>
          <w:bCs/>
        </w:rPr>
        <w:t>3</w:t>
      </w:r>
      <w:r>
        <w:rPr>
          <w:rFonts w:hint="eastAsia"/>
          <w:bCs/>
        </w:rPr>
        <w:t>）</w:t>
      </w:r>
      <w:r>
        <w:rPr>
          <w:bCs/>
        </w:rPr>
        <w:t>跨流域调水工程</w:t>
      </w:r>
    </w:p>
    <w:p>
      <w:pPr>
        <w:spacing w:line="360" w:lineRule="auto"/>
        <w:ind w:firstLine="560"/>
        <w:rPr>
          <w:bCs/>
        </w:rPr>
      </w:pPr>
      <w:r>
        <w:rPr>
          <w:bCs/>
        </w:rPr>
        <w:t>根据有关规划，从域外向淮北地区调水主要线路有两条，一条是通过引江济淮线路向淮北送水，另一条是南水北调东线工程。两条线路各自有相对独立的供水范围，但前者可替代后者，而后者不具备替代前者的条件。从供水可靠性上看，在干旱年份，因涉及与省际和北方受水区用水矛盾，南水北调东线供水实际上存在诸多不确定因素，供水风险较大，其调水安全保证程度远不及引江济淮线路。</w:t>
      </w:r>
    </w:p>
    <w:p>
      <w:pPr>
        <w:spacing w:line="360" w:lineRule="auto"/>
        <w:ind w:firstLine="560"/>
      </w:pPr>
      <w:r>
        <w:t>本规划主要以淮水北调地表水来平衡缺水量，具体供需平衡分析见下表：</w:t>
      </w:r>
    </w:p>
    <w:p>
      <w:pPr>
        <w:spacing w:line="360" w:lineRule="auto"/>
        <w:ind w:firstLine="482"/>
        <w:jc w:val="center"/>
        <w:rPr>
          <w:rFonts w:ascii="宋体" w:hAnsi="宋体"/>
          <w:b/>
          <w:sz w:val="24"/>
        </w:rPr>
      </w:pPr>
      <w:r>
        <w:rPr>
          <w:rFonts w:ascii="宋体" w:hAnsi="宋体"/>
          <w:b/>
          <w:sz w:val="24"/>
        </w:rPr>
        <w:t>表4</w:t>
      </w:r>
      <w:r>
        <w:rPr>
          <w:rFonts w:hint="eastAsia" w:ascii="宋体" w:hAnsi="宋体"/>
          <w:b/>
          <w:sz w:val="24"/>
        </w:rPr>
        <w:t>-5</w:t>
      </w:r>
      <w:r>
        <w:rPr>
          <w:rFonts w:ascii="宋体" w:hAnsi="宋体"/>
          <w:b/>
          <w:sz w:val="24"/>
        </w:rPr>
        <w:t xml:space="preserve"> 水源配置规划</w:t>
      </w:r>
    </w:p>
    <w:tbl>
      <w:tblPr>
        <w:tblStyle w:val="67"/>
        <w:tblW w:w="8073" w:type="dxa"/>
        <w:jc w:val="center"/>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2582"/>
        <w:gridCol w:w="1459"/>
        <w:gridCol w:w="2203"/>
        <w:gridCol w:w="1829"/>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75" w:hRule="exact"/>
          <w:jc w:val="center"/>
        </w:trPr>
        <w:tc>
          <w:tcPr>
            <w:tcW w:w="2582" w:type="dxa"/>
            <w:vMerge w:val="restart"/>
            <w:vAlign w:val="center"/>
          </w:tcPr>
          <w:p>
            <w:pPr>
              <w:pStyle w:val="72"/>
              <w:rPr>
                <w:rFonts w:asciiTheme="minorHAnsi" w:hAnsiTheme="minorHAnsi" w:eastAsiaTheme="minorEastAsia"/>
              </w:rPr>
            </w:pPr>
            <w:r>
              <w:rPr>
                <w:rFonts w:asciiTheme="minorHAnsi" w:hAnsiTheme="minorHAnsi" w:eastAsiaTheme="minorEastAsia"/>
              </w:rPr>
              <w:t>规划期限</w:t>
            </w:r>
          </w:p>
        </w:tc>
        <w:tc>
          <w:tcPr>
            <w:tcW w:w="1459" w:type="dxa"/>
            <w:vMerge w:val="restart"/>
            <w:vAlign w:val="center"/>
          </w:tcPr>
          <w:p>
            <w:pPr>
              <w:pStyle w:val="72"/>
              <w:rPr>
                <w:rFonts w:asciiTheme="minorHAnsi" w:hAnsiTheme="minorHAnsi" w:eastAsiaTheme="minorEastAsia"/>
              </w:rPr>
            </w:pPr>
            <w:r>
              <w:rPr>
                <w:rFonts w:asciiTheme="minorHAnsi" w:hAnsiTheme="minorHAnsi" w:eastAsiaTheme="minorEastAsia"/>
              </w:rPr>
              <w:t>需水量</w:t>
            </w:r>
          </w:p>
        </w:tc>
        <w:tc>
          <w:tcPr>
            <w:tcW w:w="4032" w:type="dxa"/>
            <w:gridSpan w:val="2"/>
            <w:vAlign w:val="center"/>
          </w:tcPr>
          <w:p>
            <w:pPr>
              <w:pStyle w:val="72"/>
              <w:rPr>
                <w:rFonts w:asciiTheme="minorHAnsi" w:hAnsiTheme="minorHAnsi" w:eastAsiaTheme="minorEastAsia"/>
              </w:rPr>
            </w:pPr>
            <w:r>
              <w:rPr>
                <w:rFonts w:asciiTheme="minorHAnsi" w:hAnsiTheme="minorHAnsi" w:eastAsiaTheme="minorEastAsia"/>
              </w:rPr>
              <w:t>供水量(×10</w:t>
            </w:r>
            <w:r>
              <w:rPr>
                <w:rFonts w:asciiTheme="minorHAnsi" w:hAnsiTheme="minorHAnsi" w:eastAsiaTheme="minorEastAsia"/>
                <w:vertAlign w:val="superscript"/>
              </w:rPr>
              <w:t>4</w:t>
            </w:r>
            <w:r>
              <w:rPr>
                <w:rFonts w:asciiTheme="minorHAnsi" w:hAnsiTheme="minorHAnsi" w:eastAsiaTheme="minorEastAsia"/>
              </w:rPr>
              <w:t>m</w:t>
            </w:r>
            <w:r>
              <w:rPr>
                <w:rFonts w:asciiTheme="minorHAnsi" w:hAnsiTheme="minorHAnsi" w:eastAsiaTheme="minorEastAsia"/>
                <w:vertAlign w:val="superscript"/>
              </w:rPr>
              <w:t>3</w:t>
            </w:r>
            <w:r>
              <w:rPr>
                <w:rFonts w:asciiTheme="minorHAnsi" w:hAnsiTheme="minorHAnsi" w:eastAsiaTheme="minorEastAsia"/>
              </w:rPr>
              <w:t>/d)</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0" w:hRule="exact"/>
          <w:jc w:val="center"/>
        </w:trPr>
        <w:tc>
          <w:tcPr>
            <w:tcW w:w="2582" w:type="dxa"/>
            <w:vMerge w:val="continue"/>
            <w:vAlign w:val="center"/>
          </w:tcPr>
          <w:p>
            <w:pPr>
              <w:pStyle w:val="72"/>
              <w:rPr>
                <w:rFonts w:asciiTheme="minorHAnsi" w:hAnsiTheme="minorHAnsi" w:eastAsiaTheme="minorEastAsia"/>
              </w:rPr>
            </w:pPr>
          </w:p>
        </w:tc>
        <w:tc>
          <w:tcPr>
            <w:tcW w:w="1459" w:type="dxa"/>
            <w:vMerge w:val="continue"/>
            <w:vAlign w:val="center"/>
          </w:tcPr>
          <w:p>
            <w:pPr>
              <w:pStyle w:val="72"/>
              <w:rPr>
                <w:rFonts w:asciiTheme="minorHAnsi" w:hAnsiTheme="minorHAnsi" w:eastAsiaTheme="minorEastAsia"/>
              </w:rPr>
            </w:pPr>
          </w:p>
        </w:tc>
        <w:tc>
          <w:tcPr>
            <w:tcW w:w="2203" w:type="dxa"/>
            <w:vAlign w:val="center"/>
          </w:tcPr>
          <w:p>
            <w:pPr>
              <w:pStyle w:val="72"/>
              <w:rPr>
                <w:rFonts w:asciiTheme="minorHAnsi" w:hAnsiTheme="minorHAnsi" w:eastAsiaTheme="minorEastAsia"/>
              </w:rPr>
            </w:pPr>
            <w:r>
              <w:rPr>
                <w:rFonts w:asciiTheme="minorHAnsi" w:hAnsiTheme="minorHAnsi" w:eastAsiaTheme="minorEastAsia"/>
              </w:rPr>
              <w:t>岩溶地下水</w:t>
            </w:r>
          </w:p>
        </w:tc>
        <w:tc>
          <w:tcPr>
            <w:tcW w:w="1829" w:type="dxa"/>
            <w:vAlign w:val="center"/>
          </w:tcPr>
          <w:p>
            <w:pPr>
              <w:pStyle w:val="72"/>
              <w:rPr>
                <w:rFonts w:asciiTheme="minorHAnsi" w:hAnsiTheme="minorHAnsi" w:eastAsiaTheme="minorEastAsia"/>
              </w:rPr>
            </w:pPr>
            <w:r>
              <w:rPr>
                <w:rFonts w:asciiTheme="minorHAnsi" w:hAnsiTheme="minorHAnsi" w:eastAsiaTheme="minorEastAsia"/>
              </w:rPr>
              <w:t>淮水北调</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75" w:hRule="exact"/>
          <w:jc w:val="center"/>
        </w:trPr>
        <w:tc>
          <w:tcPr>
            <w:tcW w:w="2582" w:type="dxa"/>
            <w:vAlign w:val="center"/>
          </w:tcPr>
          <w:p>
            <w:pPr>
              <w:pStyle w:val="72"/>
              <w:rPr>
                <w:rFonts w:asciiTheme="minorHAnsi" w:hAnsiTheme="minorHAnsi" w:eastAsiaTheme="minorEastAsia"/>
              </w:rPr>
            </w:pPr>
            <w:r>
              <w:rPr>
                <w:rFonts w:asciiTheme="minorHAnsi" w:hAnsiTheme="minorHAnsi" w:eastAsiaTheme="minorEastAsia"/>
              </w:rPr>
              <w:t>2</w:t>
            </w:r>
            <w:r>
              <w:rPr>
                <w:rFonts w:hint="eastAsia" w:asciiTheme="minorHAnsi" w:hAnsiTheme="minorHAnsi" w:eastAsiaTheme="minorEastAsia"/>
              </w:rPr>
              <w:t>020</w:t>
            </w:r>
            <w:r>
              <w:rPr>
                <w:rFonts w:asciiTheme="minorHAnsi" w:hAnsiTheme="minorHAnsi" w:eastAsiaTheme="minorEastAsia"/>
              </w:rPr>
              <w:t>（近期）</w:t>
            </w:r>
          </w:p>
        </w:tc>
        <w:tc>
          <w:tcPr>
            <w:tcW w:w="1459" w:type="dxa"/>
            <w:vAlign w:val="center"/>
          </w:tcPr>
          <w:p>
            <w:pPr>
              <w:pStyle w:val="72"/>
              <w:rPr>
                <w:rFonts w:asciiTheme="minorHAnsi" w:hAnsiTheme="minorHAnsi" w:eastAsiaTheme="minorEastAsia"/>
              </w:rPr>
            </w:pPr>
            <w:r>
              <w:rPr>
                <w:rFonts w:hint="eastAsia" w:asciiTheme="minorHAnsi" w:hAnsiTheme="minorHAnsi" w:eastAsiaTheme="minorEastAsia"/>
              </w:rPr>
              <w:t>30</w:t>
            </w:r>
          </w:p>
        </w:tc>
        <w:tc>
          <w:tcPr>
            <w:tcW w:w="2203" w:type="dxa"/>
            <w:vAlign w:val="center"/>
          </w:tcPr>
          <w:p>
            <w:pPr>
              <w:pStyle w:val="72"/>
              <w:rPr>
                <w:rFonts w:asciiTheme="minorHAnsi" w:hAnsiTheme="minorHAnsi" w:eastAsiaTheme="minorEastAsia"/>
              </w:rPr>
            </w:pPr>
            <w:r>
              <w:rPr>
                <w:rFonts w:hint="eastAsia" w:asciiTheme="minorHAnsi" w:hAnsiTheme="minorHAnsi" w:eastAsiaTheme="minorEastAsia"/>
              </w:rPr>
              <w:t>20</w:t>
            </w:r>
          </w:p>
        </w:tc>
        <w:tc>
          <w:tcPr>
            <w:tcW w:w="1829" w:type="dxa"/>
            <w:vAlign w:val="center"/>
          </w:tcPr>
          <w:p>
            <w:pPr>
              <w:pStyle w:val="72"/>
              <w:rPr>
                <w:rFonts w:asciiTheme="minorHAnsi" w:hAnsiTheme="minorHAnsi" w:eastAsiaTheme="minorEastAsia"/>
              </w:rPr>
            </w:pPr>
            <w:r>
              <w:rPr>
                <w:rFonts w:hint="eastAsia" w:asciiTheme="minorHAnsi" w:hAnsiTheme="minorHAnsi" w:eastAsiaTheme="minorEastAsia"/>
              </w:rPr>
              <w:t>10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0" w:hRule="exact"/>
          <w:jc w:val="center"/>
        </w:trPr>
        <w:tc>
          <w:tcPr>
            <w:tcW w:w="2582" w:type="dxa"/>
            <w:vAlign w:val="center"/>
          </w:tcPr>
          <w:p>
            <w:pPr>
              <w:pStyle w:val="72"/>
              <w:rPr>
                <w:rFonts w:asciiTheme="minorHAnsi" w:hAnsiTheme="minorHAnsi" w:eastAsiaTheme="minorEastAsia"/>
              </w:rPr>
            </w:pPr>
            <w:r>
              <w:rPr>
                <w:rFonts w:asciiTheme="minorHAnsi" w:hAnsiTheme="minorHAnsi" w:eastAsiaTheme="minorEastAsia"/>
              </w:rPr>
              <w:t>20</w:t>
            </w:r>
            <w:r>
              <w:rPr>
                <w:rFonts w:hint="eastAsia" w:asciiTheme="minorHAnsi" w:hAnsiTheme="minorHAnsi" w:eastAsiaTheme="minorEastAsia"/>
              </w:rPr>
              <w:t>35</w:t>
            </w:r>
            <w:r>
              <w:rPr>
                <w:rFonts w:asciiTheme="minorHAnsi" w:hAnsiTheme="minorHAnsi" w:eastAsiaTheme="minorEastAsia"/>
              </w:rPr>
              <w:t>（远期）</w:t>
            </w:r>
          </w:p>
        </w:tc>
        <w:tc>
          <w:tcPr>
            <w:tcW w:w="1459" w:type="dxa"/>
            <w:vAlign w:val="center"/>
          </w:tcPr>
          <w:p>
            <w:pPr>
              <w:pStyle w:val="72"/>
              <w:rPr>
                <w:rFonts w:asciiTheme="minorHAnsi" w:hAnsiTheme="minorHAnsi" w:eastAsiaTheme="minorEastAsia"/>
              </w:rPr>
            </w:pPr>
            <w:r>
              <w:rPr>
                <w:rFonts w:hint="eastAsia" w:asciiTheme="minorHAnsi" w:hAnsiTheme="minorHAnsi" w:eastAsiaTheme="minorEastAsia"/>
              </w:rPr>
              <w:t>42</w:t>
            </w:r>
          </w:p>
        </w:tc>
        <w:tc>
          <w:tcPr>
            <w:tcW w:w="2203" w:type="dxa"/>
            <w:vAlign w:val="center"/>
          </w:tcPr>
          <w:p>
            <w:pPr>
              <w:pStyle w:val="72"/>
              <w:rPr>
                <w:rFonts w:asciiTheme="minorHAnsi" w:hAnsiTheme="minorHAnsi" w:eastAsiaTheme="minorEastAsia"/>
              </w:rPr>
            </w:pPr>
            <w:r>
              <w:rPr>
                <w:rFonts w:hint="eastAsia" w:asciiTheme="minorHAnsi" w:hAnsiTheme="minorHAnsi" w:eastAsiaTheme="minorEastAsia"/>
              </w:rPr>
              <w:t>12</w:t>
            </w:r>
          </w:p>
        </w:tc>
        <w:tc>
          <w:tcPr>
            <w:tcW w:w="1829" w:type="dxa"/>
            <w:vAlign w:val="center"/>
          </w:tcPr>
          <w:p>
            <w:pPr>
              <w:pStyle w:val="72"/>
              <w:rPr>
                <w:rFonts w:asciiTheme="minorHAnsi" w:hAnsiTheme="minorHAnsi" w:eastAsiaTheme="minorEastAsia"/>
              </w:rPr>
            </w:pPr>
            <w:r>
              <w:rPr>
                <w:rFonts w:hint="eastAsia" w:asciiTheme="minorHAnsi" w:hAnsiTheme="minorHAnsi" w:eastAsiaTheme="minorEastAsia"/>
              </w:rPr>
              <w:t>30</w:t>
            </w:r>
          </w:p>
        </w:tc>
      </w:tr>
    </w:tbl>
    <w:p>
      <w:pPr>
        <w:pStyle w:val="3"/>
        <w:spacing w:before="120" w:after="60" w:line="360" w:lineRule="auto"/>
        <w:ind w:firstLine="602"/>
        <w:rPr>
          <w:rFonts w:ascii="Times New Roman" w:hAnsi="Times New Roman"/>
        </w:rPr>
      </w:pPr>
      <w:bookmarkStart w:id="278" w:name="_Toc8032606"/>
      <w:bookmarkStart w:id="279" w:name="_Toc531180111"/>
      <w:r>
        <w:rPr>
          <w:rFonts w:ascii="Times New Roman" w:hAnsi="Times New Roman"/>
        </w:rPr>
        <w:t>4</w:t>
      </w:r>
      <w:r>
        <w:rPr>
          <w:rFonts w:hint="eastAsia" w:ascii="Times New Roman" w:hAnsi="Times New Roman"/>
        </w:rPr>
        <w:t>.4 规划节水潜力</w:t>
      </w:r>
      <w:r>
        <w:rPr>
          <w:rFonts w:ascii="Times New Roman" w:hAnsi="Times New Roman"/>
        </w:rPr>
        <w:t>分析</w:t>
      </w:r>
      <w:bookmarkEnd w:id="278"/>
      <w:bookmarkEnd w:id="279"/>
    </w:p>
    <w:p>
      <w:pPr>
        <w:spacing w:line="360" w:lineRule="auto"/>
        <w:ind w:firstLine="560"/>
        <w:rPr>
          <w:bCs/>
        </w:rPr>
      </w:pPr>
      <w:r>
        <w:rPr>
          <w:rFonts w:hint="eastAsia"/>
          <w:bCs/>
        </w:rPr>
        <w:t>节水潜力是以基准年为参照，在经济社会条件下的人口、经济量和实物量发展规律，按照近期水平年（2020年）及远期水平年（2035年）的节水标准计算出的需水量与现状用水量的差值。分析计算如下：</w:t>
      </w:r>
    </w:p>
    <w:p>
      <w:pPr>
        <w:pStyle w:val="4"/>
        <w:spacing w:line="360" w:lineRule="auto"/>
        <w:rPr>
          <w:rFonts w:cs="Times New Roman"/>
        </w:rPr>
      </w:pPr>
      <w:bookmarkStart w:id="280" w:name="_Toc531180112"/>
      <w:bookmarkStart w:id="281" w:name="_Toc8032607"/>
      <w:bookmarkStart w:id="282" w:name="_Toc529972203"/>
      <w:bookmarkStart w:id="283" w:name="_Toc514062556"/>
      <w:r>
        <w:rPr>
          <w:rFonts w:cs="Times New Roman"/>
        </w:rPr>
        <w:t>4</w:t>
      </w:r>
      <w:r>
        <w:rPr>
          <w:rFonts w:hint="eastAsia" w:cs="Times New Roman"/>
        </w:rPr>
        <w:t>.</w:t>
      </w:r>
      <w:r>
        <w:rPr>
          <w:rFonts w:cs="Times New Roman"/>
        </w:rPr>
        <w:t>4</w:t>
      </w:r>
      <w:r>
        <w:rPr>
          <w:rFonts w:hint="eastAsia" w:cs="Times New Roman"/>
        </w:rPr>
        <w:t>.</w:t>
      </w:r>
      <w:r>
        <w:rPr>
          <w:rFonts w:cs="Times New Roman"/>
        </w:rPr>
        <w:t>1</w:t>
      </w:r>
      <w:r>
        <w:rPr>
          <w:rFonts w:hint="eastAsia" w:cs="Times New Roman"/>
        </w:rPr>
        <w:t>规划工业节水量分析</w:t>
      </w:r>
      <w:bookmarkEnd w:id="280"/>
      <w:bookmarkEnd w:id="281"/>
      <w:bookmarkEnd w:id="282"/>
      <w:bookmarkEnd w:id="283"/>
    </w:p>
    <w:p>
      <w:pPr>
        <w:spacing w:line="360" w:lineRule="auto"/>
        <w:ind w:firstLine="560"/>
        <w:rPr>
          <w:bCs/>
        </w:rPr>
      </w:pPr>
      <w:r>
        <w:rPr>
          <w:rFonts w:hint="eastAsia"/>
          <w:bCs/>
        </w:rPr>
        <w:t>工业节水潜力计算</w:t>
      </w:r>
    </w:p>
    <w:p>
      <w:pPr>
        <w:spacing w:before="120"/>
        <w:ind w:firstLine="560"/>
        <w:jc w:val="center"/>
        <w:rPr>
          <w:snapToGrid w:val="0"/>
        </w:rPr>
      </w:pPr>
      <w:bookmarkStart w:id="284" w:name="_Toc504305267"/>
      <w:bookmarkEnd w:id="284"/>
      <w:r>
        <w:drawing>
          <wp:inline distT="0" distB="0" distL="0" distR="0">
            <wp:extent cx="1365885" cy="225425"/>
            <wp:effectExtent l="19050" t="0" r="5715" b="0"/>
            <wp:docPr id="25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7"/>
                    <pic:cNvPicPr>
                      <a:picLocks noChangeAspect="1" noChangeArrowheads="1"/>
                    </pic:cNvPicPr>
                  </pic:nvPicPr>
                  <pic:blipFill>
                    <a:blip r:embed="rId63"/>
                    <a:srcRect/>
                    <a:stretch>
                      <a:fillRect/>
                    </a:stretch>
                  </pic:blipFill>
                  <pic:spPr>
                    <a:xfrm>
                      <a:off x="0" y="0"/>
                      <a:ext cx="1365885" cy="225425"/>
                    </a:xfrm>
                    <a:prstGeom prst="rect">
                      <a:avLst/>
                    </a:prstGeom>
                    <a:noFill/>
                    <a:ln w="9525">
                      <a:noFill/>
                      <a:miter lim="800000"/>
                      <a:headEnd/>
                      <a:tailEnd/>
                    </a:ln>
                  </pic:spPr>
                </pic:pic>
              </a:graphicData>
            </a:graphic>
          </wp:inline>
        </w:drawing>
      </w:r>
    </w:p>
    <w:p>
      <w:pPr>
        <w:spacing w:before="120"/>
        <w:ind w:firstLine="560"/>
        <w:rPr>
          <w:snapToGrid w:val="0"/>
        </w:rPr>
      </w:pPr>
      <w:r>
        <w:rPr>
          <w:rFonts w:hint="eastAsia"/>
          <w:snapToGrid w:val="0"/>
        </w:rPr>
        <w:t>式中：</w:t>
      </w:r>
      <w:r>
        <w:rPr>
          <w:position w:val="-14"/>
        </w:rPr>
        <w:drawing>
          <wp:inline distT="0" distB="0" distL="0" distR="0">
            <wp:extent cx="308610" cy="225425"/>
            <wp:effectExtent l="0" t="0" r="0" b="0"/>
            <wp:docPr id="6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6"/>
                    <pic:cNvPicPr>
                      <a:picLocks noChangeAspect="1" noChangeArrowheads="1"/>
                    </pic:cNvPicPr>
                  </pic:nvPicPr>
                  <pic:blipFill>
                    <a:blip r:embed="rId64"/>
                    <a:srcRect/>
                    <a:stretch>
                      <a:fillRect/>
                    </a:stretch>
                  </pic:blipFill>
                  <pic:spPr>
                    <a:xfrm>
                      <a:off x="0" y="0"/>
                      <a:ext cx="308610" cy="225425"/>
                    </a:xfrm>
                    <a:prstGeom prst="rect">
                      <a:avLst/>
                    </a:prstGeom>
                    <a:noFill/>
                    <a:ln w="9525">
                      <a:noFill/>
                      <a:miter lim="800000"/>
                      <a:headEnd/>
                      <a:tailEnd/>
                    </a:ln>
                  </pic:spPr>
                </pic:pic>
              </a:graphicData>
            </a:graphic>
          </wp:inline>
        </w:drawing>
      </w:r>
      <w:r>
        <w:rPr>
          <w:rFonts w:hint="eastAsia"/>
          <w:snapToGrid w:val="0"/>
        </w:rPr>
        <w:t>—工业节水潜力；</w:t>
      </w:r>
      <w:r>
        <w:rPr>
          <w:position w:val="-12"/>
        </w:rPr>
        <w:drawing>
          <wp:inline distT="0" distB="0" distL="0" distR="0">
            <wp:extent cx="189865" cy="225425"/>
            <wp:effectExtent l="19050" t="0" r="635" b="0"/>
            <wp:docPr id="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5"/>
                    <pic:cNvPicPr>
                      <a:picLocks noChangeAspect="1" noChangeArrowheads="1"/>
                    </pic:cNvPicPr>
                  </pic:nvPicPr>
                  <pic:blipFill>
                    <a:blip r:embed="rId65"/>
                    <a:srcRect/>
                    <a:stretch>
                      <a:fillRect/>
                    </a:stretch>
                  </pic:blipFill>
                  <pic:spPr>
                    <a:xfrm>
                      <a:off x="0" y="0"/>
                      <a:ext cx="189865" cy="225425"/>
                    </a:xfrm>
                    <a:prstGeom prst="rect">
                      <a:avLst/>
                    </a:prstGeom>
                    <a:noFill/>
                    <a:ln w="9525">
                      <a:noFill/>
                      <a:miter lim="800000"/>
                      <a:headEnd/>
                      <a:tailEnd/>
                    </a:ln>
                  </pic:spPr>
                </pic:pic>
              </a:graphicData>
            </a:graphic>
          </wp:inline>
        </w:drawing>
      </w:r>
      <w:r>
        <w:rPr>
          <w:rFonts w:hint="eastAsia"/>
          <w:snapToGrid w:val="0"/>
        </w:rPr>
        <w:t>—基准年工业增加值；</w:t>
      </w:r>
      <w:r>
        <w:rPr>
          <w:position w:val="-12"/>
        </w:rPr>
        <w:drawing>
          <wp:inline distT="0" distB="0" distL="0" distR="0">
            <wp:extent cx="285115" cy="225425"/>
            <wp:effectExtent l="19050" t="0" r="635" b="0"/>
            <wp:docPr id="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4"/>
                    <pic:cNvPicPr>
                      <a:picLocks noChangeAspect="1" noChangeArrowheads="1"/>
                    </pic:cNvPicPr>
                  </pic:nvPicPr>
                  <pic:blipFill>
                    <a:blip r:embed="rId66"/>
                    <a:srcRect/>
                    <a:stretch>
                      <a:fillRect/>
                    </a:stretch>
                  </pic:blipFill>
                  <pic:spPr>
                    <a:xfrm>
                      <a:off x="0" y="0"/>
                      <a:ext cx="285115" cy="225425"/>
                    </a:xfrm>
                    <a:prstGeom prst="rect">
                      <a:avLst/>
                    </a:prstGeom>
                    <a:noFill/>
                    <a:ln w="9525">
                      <a:noFill/>
                      <a:miter lim="800000"/>
                      <a:headEnd/>
                      <a:tailEnd/>
                    </a:ln>
                  </pic:spPr>
                </pic:pic>
              </a:graphicData>
            </a:graphic>
          </wp:inline>
        </w:drawing>
      </w:r>
      <w:r>
        <w:rPr>
          <w:rFonts w:hint="eastAsia"/>
          <w:snapToGrid w:val="0"/>
        </w:rPr>
        <w:t>、</w:t>
      </w:r>
      <w:r>
        <w:rPr>
          <w:position w:val="-12"/>
        </w:rPr>
        <w:drawing>
          <wp:inline distT="0" distB="0" distL="0" distR="0">
            <wp:extent cx="225425" cy="225425"/>
            <wp:effectExtent l="19050" t="0" r="3175" b="0"/>
            <wp:docPr id="5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3"/>
                    <pic:cNvPicPr>
                      <a:picLocks noChangeAspect="1" noChangeArrowheads="1"/>
                    </pic:cNvPicPr>
                  </pic:nvPicPr>
                  <pic:blipFill>
                    <a:blip r:embed="rId67"/>
                    <a:srcRect/>
                    <a:stretch>
                      <a:fillRect/>
                    </a:stretch>
                  </pic:blipFill>
                  <pic:spPr>
                    <a:xfrm>
                      <a:off x="0" y="0"/>
                      <a:ext cx="225425" cy="225425"/>
                    </a:xfrm>
                    <a:prstGeom prst="rect">
                      <a:avLst/>
                    </a:prstGeom>
                    <a:noFill/>
                    <a:ln w="9525">
                      <a:noFill/>
                      <a:miter lim="800000"/>
                      <a:headEnd/>
                      <a:tailEnd/>
                    </a:ln>
                  </pic:spPr>
                </pic:pic>
              </a:graphicData>
            </a:graphic>
          </wp:inline>
        </w:drawing>
      </w:r>
      <w:r>
        <w:rPr>
          <w:rFonts w:hint="eastAsia"/>
          <w:snapToGrid w:val="0"/>
        </w:rPr>
        <w:t>—分别是基准年和预测年万元工业增加值取水量（按年增长5%计算）。淮北市基准年、2020年和2035年工业增加值分别为</w:t>
      </w:r>
      <w:r>
        <w:rPr>
          <w:snapToGrid w:val="0"/>
        </w:rPr>
        <w:t>16</w:t>
      </w:r>
      <w:r>
        <w:rPr>
          <w:rFonts w:hint="eastAsia"/>
          <w:snapToGrid w:val="0"/>
        </w:rPr>
        <w:t>4亿元，</w:t>
      </w:r>
      <w:r>
        <w:rPr>
          <w:snapToGrid w:val="0"/>
        </w:rPr>
        <w:t>190</w:t>
      </w:r>
      <w:r>
        <w:rPr>
          <w:rFonts w:hint="eastAsia"/>
          <w:snapToGrid w:val="0"/>
        </w:rPr>
        <w:t>亿元，</w:t>
      </w:r>
      <w:r>
        <w:rPr>
          <w:snapToGrid w:val="0"/>
        </w:rPr>
        <w:t>394</w:t>
      </w:r>
      <w:r>
        <w:rPr>
          <w:rFonts w:hint="eastAsia"/>
          <w:snapToGrid w:val="0"/>
        </w:rPr>
        <w:t>亿元，按照节水方案条件下考虑，基准年、2020年和203</w:t>
      </w:r>
      <w:r>
        <w:rPr>
          <w:snapToGrid w:val="0"/>
        </w:rPr>
        <w:t>5</w:t>
      </w:r>
      <w:r>
        <w:rPr>
          <w:rFonts w:hint="eastAsia"/>
          <w:snapToGrid w:val="0"/>
        </w:rPr>
        <w:t>年万元工业增加值取水量分别为12.29m</w:t>
      </w:r>
      <w:r>
        <w:rPr>
          <w:rFonts w:hint="eastAsia"/>
          <w:snapToGrid w:val="0"/>
          <w:vertAlign w:val="superscript"/>
        </w:rPr>
        <w:t>3</w:t>
      </w:r>
      <w:r>
        <w:rPr>
          <w:rFonts w:hint="eastAsia"/>
          <w:snapToGrid w:val="0"/>
        </w:rPr>
        <w:t>/万元、12 m</w:t>
      </w:r>
      <w:r>
        <w:rPr>
          <w:rFonts w:hint="eastAsia"/>
          <w:snapToGrid w:val="0"/>
          <w:vertAlign w:val="superscript"/>
        </w:rPr>
        <w:t>3</w:t>
      </w:r>
      <w:r>
        <w:rPr>
          <w:rFonts w:hint="eastAsia"/>
          <w:snapToGrid w:val="0"/>
        </w:rPr>
        <w:t>/万元和10m</w:t>
      </w:r>
      <w:r>
        <w:rPr>
          <w:rFonts w:hint="eastAsia"/>
          <w:snapToGrid w:val="0"/>
          <w:vertAlign w:val="superscript"/>
        </w:rPr>
        <w:t>3</w:t>
      </w:r>
      <w:r>
        <w:rPr>
          <w:rFonts w:hint="eastAsia"/>
          <w:snapToGrid w:val="0"/>
        </w:rPr>
        <w:t>/万元，则2020年和2035年工业每年节水潜力分别为55.10万m</w:t>
      </w:r>
      <w:r>
        <w:rPr>
          <w:rFonts w:hint="eastAsia"/>
          <w:snapToGrid w:val="0"/>
          <w:vertAlign w:val="superscript"/>
        </w:rPr>
        <w:t>3</w:t>
      </w:r>
      <w:r>
        <w:rPr>
          <w:rFonts w:hint="eastAsia"/>
          <w:snapToGrid w:val="0"/>
        </w:rPr>
        <w:t>和902.26万m</w:t>
      </w:r>
      <w:r>
        <w:rPr>
          <w:rFonts w:hint="eastAsia"/>
          <w:snapToGrid w:val="0"/>
          <w:vertAlign w:val="superscript"/>
        </w:rPr>
        <w:t>3</w:t>
      </w:r>
      <w:r>
        <w:rPr>
          <w:rFonts w:hint="eastAsia"/>
          <w:snapToGrid w:val="0"/>
        </w:rPr>
        <w:t xml:space="preserve">。 </w:t>
      </w:r>
    </w:p>
    <w:p>
      <w:pPr>
        <w:pStyle w:val="4"/>
        <w:spacing w:line="360" w:lineRule="auto"/>
        <w:rPr>
          <w:rFonts w:cs="Times New Roman"/>
        </w:rPr>
      </w:pPr>
      <w:bookmarkStart w:id="285" w:name="_Toc8032608"/>
      <w:bookmarkStart w:id="286" w:name="_Toc514062557"/>
      <w:bookmarkStart w:id="287" w:name="_Toc529972204"/>
      <w:bookmarkStart w:id="288" w:name="_Toc531180113"/>
      <w:r>
        <w:rPr>
          <w:rFonts w:cs="Times New Roman"/>
        </w:rPr>
        <w:t>4</w:t>
      </w:r>
      <w:r>
        <w:rPr>
          <w:rFonts w:hint="eastAsia" w:cs="Times New Roman"/>
        </w:rPr>
        <w:t>.</w:t>
      </w:r>
      <w:r>
        <w:rPr>
          <w:rFonts w:cs="Times New Roman"/>
        </w:rPr>
        <w:t>4</w:t>
      </w:r>
      <w:r>
        <w:rPr>
          <w:rFonts w:hint="eastAsia" w:cs="Times New Roman"/>
        </w:rPr>
        <w:t>.</w:t>
      </w:r>
      <w:r>
        <w:rPr>
          <w:rFonts w:cs="Times New Roman"/>
        </w:rPr>
        <w:t>2</w:t>
      </w:r>
      <w:r>
        <w:rPr>
          <w:rFonts w:hint="eastAsia" w:cs="Times New Roman"/>
        </w:rPr>
        <w:t>规划生活节水量分析</w:t>
      </w:r>
      <w:bookmarkEnd w:id="285"/>
      <w:bookmarkEnd w:id="286"/>
      <w:bookmarkEnd w:id="287"/>
      <w:bookmarkEnd w:id="288"/>
    </w:p>
    <w:p>
      <w:pPr>
        <w:spacing w:line="360" w:lineRule="auto"/>
        <w:ind w:firstLine="560"/>
        <w:rPr>
          <w:bCs/>
        </w:rPr>
      </w:pPr>
      <w:r>
        <w:rPr>
          <w:rFonts w:hint="eastAsia"/>
          <w:bCs/>
        </w:rPr>
        <w:t>城镇生活节水潜力计算</w:t>
      </w:r>
    </w:p>
    <w:p>
      <w:pPr>
        <w:spacing w:line="360" w:lineRule="auto"/>
        <w:ind w:firstLine="560"/>
        <w:rPr>
          <w:bCs/>
        </w:rPr>
      </w:pPr>
      <w:r>
        <w:rPr>
          <w:rFonts w:hint="eastAsia"/>
          <w:bCs/>
        </w:rPr>
        <w:t>主要有供水管网节水和节水器具节水两部分组成，供水管网节水潜力用下式计算：</w:t>
      </w:r>
    </w:p>
    <w:p>
      <w:pPr>
        <w:spacing w:before="120"/>
        <w:ind w:firstLine="560"/>
        <w:jc w:val="center"/>
        <w:rPr>
          <w:snapToGrid w:val="0"/>
        </w:rPr>
      </w:pPr>
      <w:bookmarkStart w:id="289" w:name="_Toc504305268"/>
      <w:bookmarkEnd w:id="289"/>
      <w:r>
        <w:drawing>
          <wp:inline distT="0" distB="0" distL="0" distR="0">
            <wp:extent cx="2315845" cy="225425"/>
            <wp:effectExtent l="19050" t="0" r="8255" b="0"/>
            <wp:docPr id="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2"/>
                    <pic:cNvPicPr>
                      <a:picLocks noChangeAspect="1" noChangeArrowheads="1"/>
                    </pic:cNvPicPr>
                  </pic:nvPicPr>
                  <pic:blipFill>
                    <a:blip r:embed="rId68"/>
                    <a:srcRect/>
                    <a:stretch>
                      <a:fillRect/>
                    </a:stretch>
                  </pic:blipFill>
                  <pic:spPr>
                    <a:xfrm>
                      <a:off x="0" y="0"/>
                      <a:ext cx="2315845" cy="225425"/>
                    </a:xfrm>
                    <a:prstGeom prst="rect">
                      <a:avLst/>
                    </a:prstGeom>
                    <a:noFill/>
                    <a:ln w="9525">
                      <a:noFill/>
                      <a:miter lim="800000"/>
                      <a:headEnd/>
                      <a:tailEnd/>
                    </a:ln>
                  </pic:spPr>
                </pic:pic>
              </a:graphicData>
            </a:graphic>
          </wp:inline>
        </w:drawing>
      </w:r>
    </w:p>
    <w:p>
      <w:pPr>
        <w:spacing w:line="360" w:lineRule="auto"/>
        <w:ind w:firstLine="560"/>
        <w:rPr>
          <w:bCs/>
        </w:rPr>
      </w:pPr>
      <w:r>
        <w:rPr>
          <w:rFonts w:hint="eastAsia"/>
          <w:bCs/>
        </w:rPr>
        <w:t>式中：</w:t>
      </w:r>
      <w:r>
        <w:rPr>
          <w:bCs/>
        </w:rPr>
        <w:drawing>
          <wp:inline distT="0" distB="0" distL="0" distR="0">
            <wp:extent cx="344170" cy="225425"/>
            <wp:effectExtent l="0" t="0" r="0" b="0"/>
            <wp:docPr id="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
                    <pic:cNvPicPr>
                      <a:picLocks noChangeAspect="1" noChangeArrowheads="1"/>
                    </pic:cNvPicPr>
                  </pic:nvPicPr>
                  <pic:blipFill>
                    <a:blip r:embed="rId69"/>
                    <a:srcRect/>
                    <a:stretch>
                      <a:fillRect/>
                    </a:stretch>
                  </pic:blipFill>
                  <pic:spPr>
                    <a:xfrm>
                      <a:off x="0" y="0"/>
                      <a:ext cx="344170" cy="225425"/>
                    </a:xfrm>
                    <a:prstGeom prst="rect">
                      <a:avLst/>
                    </a:prstGeom>
                    <a:noFill/>
                    <a:ln w="9525">
                      <a:noFill/>
                      <a:miter lim="800000"/>
                      <a:headEnd/>
                      <a:tailEnd/>
                    </a:ln>
                  </pic:spPr>
                </pic:pic>
              </a:graphicData>
            </a:graphic>
          </wp:inline>
        </w:drawing>
      </w:r>
      <w:r>
        <w:rPr>
          <w:rFonts w:hint="eastAsia"/>
          <w:bCs/>
        </w:rPr>
        <w:t>—供水管网节水潜力；</w:t>
      </w:r>
      <w:r>
        <w:rPr>
          <w:bCs/>
        </w:rPr>
        <w:drawing>
          <wp:inline distT="0" distB="0" distL="0" distR="0">
            <wp:extent cx="308610" cy="225425"/>
            <wp:effectExtent l="19050" t="0" r="0" b="0"/>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pic:cNvPicPr>
                      <a:picLocks noChangeAspect="1" noChangeArrowheads="1"/>
                    </pic:cNvPicPr>
                  </pic:nvPicPr>
                  <pic:blipFill>
                    <a:blip r:embed="rId70"/>
                    <a:srcRect/>
                    <a:stretch>
                      <a:fillRect/>
                    </a:stretch>
                  </pic:blipFill>
                  <pic:spPr>
                    <a:xfrm>
                      <a:off x="0" y="0"/>
                      <a:ext cx="308610" cy="225425"/>
                    </a:xfrm>
                    <a:prstGeom prst="rect">
                      <a:avLst/>
                    </a:prstGeom>
                    <a:noFill/>
                    <a:ln w="9525">
                      <a:noFill/>
                      <a:miter lim="800000"/>
                      <a:headEnd/>
                      <a:tailEnd/>
                    </a:ln>
                  </pic:spPr>
                </pic:pic>
              </a:graphicData>
            </a:graphic>
          </wp:inline>
        </w:drawing>
      </w:r>
      <w:r>
        <w:rPr>
          <w:rFonts w:hint="eastAsia"/>
          <w:bCs/>
        </w:rPr>
        <w:t>—自来水厂供出的城镇生活用水量；</w:t>
      </w:r>
      <w:r>
        <w:rPr>
          <w:bCs/>
        </w:rPr>
        <w:drawing>
          <wp:inline distT="0" distB="0" distL="0" distR="0">
            <wp:extent cx="189865" cy="225425"/>
            <wp:effectExtent l="19050" t="0" r="0" b="0"/>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noChangeArrowheads="1"/>
                    </pic:cNvPicPr>
                  </pic:nvPicPr>
                  <pic:blipFill>
                    <a:blip r:embed="rId71"/>
                    <a:srcRect/>
                    <a:stretch>
                      <a:fillRect/>
                    </a:stretch>
                  </pic:blipFill>
                  <pic:spPr>
                    <a:xfrm>
                      <a:off x="0" y="0"/>
                      <a:ext cx="189865" cy="225425"/>
                    </a:xfrm>
                    <a:prstGeom prst="rect">
                      <a:avLst/>
                    </a:prstGeom>
                    <a:noFill/>
                    <a:ln w="9525">
                      <a:noFill/>
                      <a:miter lim="800000"/>
                      <a:headEnd/>
                      <a:tailEnd/>
                    </a:ln>
                  </pic:spPr>
                </pic:pic>
              </a:graphicData>
            </a:graphic>
          </wp:inline>
        </w:drawing>
      </w:r>
      <w:r>
        <w:rPr>
          <w:rFonts w:hint="eastAsia"/>
          <w:bCs/>
        </w:rPr>
        <w:t>、</w:t>
      </w:r>
      <w:r>
        <w:rPr>
          <w:bCs/>
        </w:rPr>
        <w:drawing>
          <wp:inline distT="0" distB="0" distL="0" distR="0">
            <wp:extent cx="166370" cy="225425"/>
            <wp:effectExtent l="19050" t="0" r="5080" b="0"/>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noChangeArrowheads="1"/>
                    </pic:cNvPicPr>
                  </pic:nvPicPr>
                  <pic:blipFill>
                    <a:blip r:embed="rId72"/>
                    <a:srcRect/>
                    <a:stretch>
                      <a:fillRect/>
                    </a:stretch>
                  </pic:blipFill>
                  <pic:spPr>
                    <a:xfrm>
                      <a:off x="0" y="0"/>
                      <a:ext cx="166370" cy="225425"/>
                    </a:xfrm>
                    <a:prstGeom prst="rect">
                      <a:avLst/>
                    </a:prstGeom>
                    <a:noFill/>
                    <a:ln w="9525">
                      <a:noFill/>
                      <a:miter lim="800000"/>
                      <a:headEnd/>
                      <a:tailEnd/>
                    </a:ln>
                  </pic:spPr>
                </pic:pic>
              </a:graphicData>
            </a:graphic>
          </wp:inline>
        </w:drawing>
      </w:r>
      <w:r>
        <w:rPr>
          <w:rFonts w:hint="eastAsia"/>
          <w:bCs/>
        </w:rPr>
        <w:t>—分别是基准年和预测年供水管网漏失率。按照节水方案条件下考虑，2020年</w:t>
      </w:r>
      <w:r>
        <w:rPr>
          <w:bCs/>
        </w:rPr>
        <w:t>和</w:t>
      </w:r>
      <w:r>
        <w:rPr>
          <w:rFonts w:hint="eastAsia"/>
          <w:bCs/>
        </w:rPr>
        <w:t>2035年</w:t>
      </w:r>
      <w:r>
        <w:rPr>
          <w:bCs/>
        </w:rPr>
        <w:t>自来水厂供水规模为</w:t>
      </w:r>
      <w:r>
        <w:rPr>
          <w:rFonts w:hint="eastAsia"/>
          <w:bCs/>
        </w:rPr>
        <w:t>30万m</w:t>
      </w:r>
      <w:r>
        <w:rPr>
          <w:rFonts w:hint="eastAsia"/>
          <w:bCs/>
          <w:vertAlign w:val="superscript"/>
        </w:rPr>
        <w:t>3</w:t>
      </w:r>
      <w:r>
        <w:rPr>
          <w:bCs/>
        </w:rPr>
        <w:t>/d</w:t>
      </w:r>
      <w:r>
        <w:rPr>
          <w:rFonts w:hint="eastAsia"/>
          <w:bCs/>
        </w:rPr>
        <w:t>和42万m</w:t>
      </w:r>
      <w:r>
        <w:rPr>
          <w:rFonts w:hint="eastAsia"/>
          <w:bCs/>
          <w:vertAlign w:val="superscript"/>
        </w:rPr>
        <w:t>3</w:t>
      </w:r>
      <w:r>
        <w:rPr>
          <w:bCs/>
        </w:rPr>
        <w:t>/d</w:t>
      </w:r>
      <w:r>
        <w:rPr>
          <w:rFonts w:hint="eastAsia"/>
          <w:bCs/>
        </w:rPr>
        <w:t>，基准年、2020年和2035年供水管网漏失率分别为11.41%、10%和8%，则2020年和2035年供水管网每年节水潜力分别为118.77万m</w:t>
      </w:r>
      <w:r>
        <w:rPr>
          <w:rFonts w:hint="eastAsia"/>
          <w:bCs/>
          <w:vertAlign w:val="superscript"/>
        </w:rPr>
        <w:t>3</w:t>
      </w:r>
      <w:r>
        <w:rPr>
          <w:rFonts w:hint="eastAsia"/>
          <w:bCs/>
        </w:rPr>
        <w:t>、402.12万m</w:t>
      </w:r>
      <w:r>
        <w:rPr>
          <w:rFonts w:hint="eastAsia"/>
          <w:bCs/>
          <w:vertAlign w:val="superscript"/>
        </w:rPr>
        <w:t>3</w:t>
      </w:r>
      <w:r>
        <w:rPr>
          <w:rFonts w:hint="eastAsia"/>
          <w:bCs/>
        </w:rPr>
        <w:t>。</w:t>
      </w:r>
    </w:p>
    <w:p>
      <w:pPr>
        <w:spacing w:line="360" w:lineRule="auto"/>
        <w:ind w:firstLine="560"/>
        <w:rPr>
          <w:bCs/>
        </w:rPr>
      </w:pPr>
      <w:r>
        <w:rPr>
          <w:rFonts w:hint="eastAsia"/>
          <w:bCs/>
        </w:rPr>
        <w:t xml:space="preserve">节水器具节水潜力可采用下式估算： </w:t>
      </w:r>
    </w:p>
    <w:p>
      <w:pPr>
        <w:spacing w:before="120"/>
        <w:ind w:firstLine="560"/>
        <w:jc w:val="center"/>
        <w:rPr>
          <w:snapToGrid w:val="0"/>
        </w:rPr>
      </w:pPr>
      <w:bookmarkStart w:id="290" w:name="_Toc504305269"/>
      <w:bookmarkEnd w:id="290"/>
      <w:r>
        <w:drawing>
          <wp:inline distT="0" distB="0" distL="0" distR="0">
            <wp:extent cx="2291715" cy="225425"/>
            <wp:effectExtent l="19050" t="0" r="0" b="0"/>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noChangeArrowheads="1"/>
                    </pic:cNvPicPr>
                  </pic:nvPicPr>
                  <pic:blipFill>
                    <a:blip r:embed="rId73"/>
                    <a:srcRect/>
                    <a:stretch>
                      <a:fillRect/>
                    </a:stretch>
                  </pic:blipFill>
                  <pic:spPr>
                    <a:xfrm>
                      <a:off x="0" y="0"/>
                      <a:ext cx="2291715" cy="225425"/>
                    </a:xfrm>
                    <a:prstGeom prst="rect">
                      <a:avLst/>
                    </a:prstGeom>
                    <a:noFill/>
                    <a:ln w="9525">
                      <a:noFill/>
                      <a:miter lim="800000"/>
                      <a:headEnd/>
                      <a:tailEnd/>
                    </a:ln>
                  </pic:spPr>
                </pic:pic>
              </a:graphicData>
            </a:graphic>
          </wp:inline>
        </w:drawing>
      </w:r>
    </w:p>
    <w:p>
      <w:pPr>
        <w:spacing w:line="360" w:lineRule="auto"/>
        <w:ind w:firstLine="560"/>
        <w:rPr>
          <w:bCs/>
        </w:rPr>
      </w:pPr>
      <w:r>
        <w:rPr>
          <w:rFonts w:hint="eastAsia"/>
          <w:bCs/>
        </w:rPr>
        <w:t>式中：</w:t>
      </w:r>
      <w:r>
        <w:rPr>
          <w:bCs/>
        </w:rPr>
        <w:drawing>
          <wp:inline distT="0" distB="0" distL="0" distR="0">
            <wp:extent cx="332740" cy="225425"/>
            <wp:effectExtent l="0" t="0" r="0" b="0"/>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noChangeArrowheads="1"/>
                    </pic:cNvPicPr>
                  </pic:nvPicPr>
                  <pic:blipFill>
                    <a:blip r:embed="rId74"/>
                    <a:srcRect/>
                    <a:stretch>
                      <a:fillRect/>
                    </a:stretch>
                  </pic:blipFill>
                  <pic:spPr>
                    <a:xfrm>
                      <a:off x="0" y="0"/>
                      <a:ext cx="332740" cy="225425"/>
                    </a:xfrm>
                    <a:prstGeom prst="rect">
                      <a:avLst/>
                    </a:prstGeom>
                    <a:noFill/>
                    <a:ln w="9525">
                      <a:noFill/>
                      <a:miter lim="800000"/>
                      <a:headEnd/>
                      <a:tailEnd/>
                    </a:ln>
                  </pic:spPr>
                </pic:pic>
              </a:graphicData>
            </a:graphic>
          </wp:inline>
        </w:drawing>
      </w:r>
      <w:r>
        <w:rPr>
          <w:rFonts w:hint="eastAsia"/>
          <w:bCs/>
        </w:rPr>
        <w:t>—节水器具节水潜力；</w:t>
      </w:r>
      <w:r>
        <w:rPr>
          <w:bCs/>
        </w:rPr>
        <w:drawing>
          <wp:inline distT="0" distB="0" distL="0" distR="0">
            <wp:extent cx="142240" cy="166370"/>
            <wp:effectExtent l="19050" t="0" r="0" b="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noChangeArrowheads="1"/>
                    </pic:cNvPicPr>
                  </pic:nvPicPr>
                  <pic:blipFill>
                    <a:blip r:embed="rId75"/>
                    <a:srcRect/>
                    <a:stretch>
                      <a:fillRect/>
                    </a:stretch>
                  </pic:blipFill>
                  <pic:spPr>
                    <a:xfrm>
                      <a:off x="0" y="0"/>
                      <a:ext cx="142240" cy="166370"/>
                    </a:xfrm>
                    <a:prstGeom prst="rect">
                      <a:avLst/>
                    </a:prstGeom>
                    <a:noFill/>
                    <a:ln w="9525">
                      <a:noFill/>
                      <a:miter lim="800000"/>
                      <a:headEnd/>
                      <a:tailEnd/>
                    </a:ln>
                  </pic:spPr>
                </pic:pic>
              </a:graphicData>
            </a:graphic>
          </wp:inline>
        </w:drawing>
      </w:r>
      <w:r>
        <w:rPr>
          <w:rFonts w:hint="eastAsia"/>
          <w:bCs/>
        </w:rPr>
        <w:t>—城市人口；</w:t>
      </w:r>
      <w:r>
        <w:rPr>
          <w:bCs/>
        </w:rPr>
        <w:drawing>
          <wp:inline distT="0" distB="0" distL="0" distR="0">
            <wp:extent cx="201930" cy="213995"/>
            <wp:effectExtent l="0" t="0" r="7620" b="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noChangeArrowheads="1"/>
                    </pic:cNvPicPr>
                  </pic:nvPicPr>
                  <pic:blipFill>
                    <a:blip r:embed="rId76"/>
                    <a:srcRect/>
                    <a:stretch>
                      <a:fillRect/>
                    </a:stretch>
                  </pic:blipFill>
                  <pic:spPr>
                    <a:xfrm>
                      <a:off x="0" y="0"/>
                      <a:ext cx="201930" cy="213995"/>
                    </a:xfrm>
                    <a:prstGeom prst="rect">
                      <a:avLst/>
                    </a:prstGeom>
                    <a:noFill/>
                    <a:ln w="9525">
                      <a:noFill/>
                      <a:miter lim="800000"/>
                      <a:headEnd/>
                      <a:tailEnd/>
                    </a:ln>
                  </pic:spPr>
                </pic:pic>
              </a:graphicData>
            </a:graphic>
          </wp:inline>
        </w:drawing>
      </w:r>
      <w:r>
        <w:rPr>
          <w:rFonts w:hint="eastAsia"/>
          <w:bCs/>
        </w:rPr>
        <w:t>—取28；</w:t>
      </w:r>
      <w:r>
        <w:rPr>
          <w:bCs/>
        </w:rPr>
        <w:drawing>
          <wp:inline distT="0" distB="0" distL="0" distR="0">
            <wp:extent cx="189865" cy="225425"/>
            <wp:effectExtent l="0" t="0" r="635" b="0"/>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noChangeArrowheads="1"/>
                    </pic:cNvPicPr>
                  </pic:nvPicPr>
                  <pic:blipFill>
                    <a:blip r:embed="rId77"/>
                    <a:srcRect/>
                    <a:stretch>
                      <a:fillRect/>
                    </a:stretch>
                  </pic:blipFill>
                  <pic:spPr>
                    <a:xfrm>
                      <a:off x="0" y="0"/>
                      <a:ext cx="189865" cy="225425"/>
                    </a:xfrm>
                    <a:prstGeom prst="rect">
                      <a:avLst/>
                    </a:prstGeom>
                    <a:noFill/>
                    <a:ln w="9525">
                      <a:noFill/>
                      <a:miter lim="800000"/>
                      <a:headEnd/>
                      <a:tailEnd/>
                    </a:ln>
                  </pic:spPr>
                </pic:pic>
              </a:graphicData>
            </a:graphic>
          </wp:inline>
        </w:drawing>
      </w:r>
      <w:r>
        <w:rPr>
          <w:rFonts w:hint="eastAsia"/>
          <w:bCs/>
        </w:rPr>
        <w:t>、</w:t>
      </w:r>
      <w:r>
        <w:rPr>
          <w:bCs/>
        </w:rPr>
        <w:drawing>
          <wp:inline distT="0" distB="0" distL="0" distR="0">
            <wp:extent cx="166370" cy="225425"/>
            <wp:effectExtent l="0" t="0" r="5080"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noChangeArrowheads="1"/>
                    </pic:cNvPicPr>
                  </pic:nvPicPr>
                  <pic:blipFill>
                    <a:blip r:embed="rId78"/>
                    <a:srcRect/>
                    <a:stretch>
                      <a:fillRect/>
                    </a:stretch>
                  </pic:blipFill>
                  <pic:spPr>
                    <a:xfrm>
                      <a:off x="0" y="0"/>
                      <a:ext cx="166370" cy="225425"/>
                    </a:xfrm>
                    <a:prstGeom prst="rect">
                      <a:avLst/>
                    </a:prstGeom>
                    <a:noFill/>
                    <a:ln w="9525">
                      <a:noFill/>
                      <a:miter lim="800000"/>
                      <a:headEnd/>
                      <a:tailEnd/>
                    </a:ln>
                  </pic:spPr>
                </pic:pic>
              </a:graphicData>
            </a:graphic>
          </wp:inline>
        </w:drawing>
      </w:r>
      <w:r>
        <w:rPr>
          <w:rFonts w:hint="eastAsia"/>
          <w:bCs/>
        </w:rPr>
        <w:t>—分别是基准年和预测年节水器具普及率。依据节水目标，2020年</w:t>
      </w:r>
      <w:r>
        <w:rPr>
          <w:bCs/>
        </w:rPr>
        <w:t>和</w:t>
      </w:r>
      <w:r>
        <w:rPr>
          <w:rFonts w:hint="eastAsia"/>
          <w:bCs/>
        </w:rPr>
        <w:t>2035年淮北市城区人口为</w:t>
      </w:r>
      <w:r>
        <w:rPr>
          <w:bCs/>
        </w:rPr>
        <w:t>105</w:t>
      </w:r>
      <w:r>
        <w:rPr>
          <w:rFonts w:hint="eastAsia"/>
          <w:bCs/>
        </w:rPr>
        <w:t>万人</w:t>
      </w:r>
      <w:r>
        <w:rPr>
          <w:bCs/>
        </w:rPr>
        <w:t>和</w:t>
      </w:r>
      <w:r>
        <w:rPr>
          <w:rFonts w:hint="eastAsia"/>
          <w:bCs/>
        </w:rPr>
        <w:t>130万人，而基准年、2020年及2035年城镇节水器具普及率均为100%，2020年和2035年节水器具方面的节水潜力不大。随着技术的进步，节水器具的节水效能不断提升，节水管理部门应及时更新推荐的节水器具目录，逐步更换节水效能更高的器具，仍可挖掘</w:t>
      </w:r>
      <w:r>
        <w:rPr>
          <w:bCs/>
        </w:rPr>
        <w:t>这方面的</w:t>
      </w:r>
      <w:r>
        <w:rPr>
          <w:rFonts w:hint="eastAsia"/>
          <w:bCs/>
        </w:rPr>
        <w:t>节水潜力，其具体节水量取决于更高效的节水器具开发，推广和实用情况。</w:t>
      </w:r>
    </w:p>
    <w:p>
      <w:pPr>
        <w:spacing w:line="360" w:lineRule="auto"/>
        <w:ind w:firstLine="560"/>
        <w:rPr>
          <w:bCs/>
        </w:rPr>
      </w:pPr>
      <w:r>
        <w:rPr>
          <w:rFonts w:hint="eastAsia"/>
          <w:bCs/>
        </w:rPr>
        <w:t>综上，2020年</w:t>
      </w:r>
      <w:r>
        <w:rPr>
          <w:bCs/>
        </w:rPr>
        <w:t>和</w:t>
      </w:r>
      <w:r>
        <w:rPr>
          <w:rFonts w:hint="eastAsia"/>
          <w:bCs/>
        </w:rPr>
        <w:t>2035年淮北</w:t>
      </w:r>
      <w:r>
        <w:rPr>
          <w:bCs/>
        </w:rPr>
        <w:t>市</w:t>
      </w:r>
      <w:r>
        <w:rPr>
          <w:rFonts w:hint="eastAsia"/>
          <w:bCs/>
        </w:rPr>
        <w:t>生活</w:t>
      </w:r>
      <w:r>
        <w:rPr>
          <w:bCs/>
        </w:rPr>
        <w:t>节水潜力分别为118.77</w:t>
      </w:r>
      <w:r>
        <w:rPr>
          <w:rFonts w:hint="eastAsia"/>
          <w:bCs/>
        </w:rPr>
        <w:t>万m</w:t>
      </w:r>
      <w:r>
        <w:rPr>
          <w:rFonts w:hint="eastAsia"/>
          <w:bCs/>
          <w:vertAlign w:val="superscript"/>
        </w:rPr>
        <w:t>3</w:t>
      </w:r>
      <w:r>
        <w:rPr>
          <w:rFonts w:hint="eastAsia"/>
          <w:bCs/>
        </w:rPr>
        <w:t>和</w:t>
      </w:r>
      <w:r>
        <w:rPr>
          <w:bCs/>
        </w:rPr>
        <w:t>402.12</w:t>
      </w:r>
      <w:r>
        <w:rPr>
          <w:rFonts w:hint="eastAsia"/>
          <w:bCs/>
        </w:rPr>
        <w:t>万m</w:t>
      </w:r>
      <w:r>
        <w:rPr>
          <w:rFonts w:hint="eastAsia"/>
          <w:bCs/>
          <w:vertAlign w:val="superscript"/>
        </w:rPr>
        <w:t>3</w:t>
      </w:r>
      <w:r>
        <w:rPr>
          <w:rFonts w:hint="eastAsia"/>
          <w:bCs/>
        </w:rPr>
        <w:t>。</w:t>
      </w:r>
    </w:p>
    <w:p>
      <w:pPr>
        <w:pStyle w:val="4"/>
        <w:spacing w:line="360" w:lineRule="auto"/>
        <w:rPr>
          <w:rFonts w:cs="Times New Roman"/>
        </w:rPr>
      </w:pPr>
      <w:bookmarkStart w:id="291" w:name="_Toc8032609"/>
      <w:bookmarkStart w:id="292" w:name="_Toc531180114"/>
      <w:bookmarkStart w:id="293" w:name="_Toc529972205"/>
      <w:bookmarkStart w:id="294" w:name="_Toc514062558"/>
      <w:r>
        <w:rPr>
          <w:rFonts w:cs="Times New Roman"/>
        </w:rPr>
        <w:t>4</w:t>
      </w:r>
      <w:r>
        <w:rPr>
          <w:rFonts w:hint="eastAsia" w:cs="Times New Roman"/>
        </w:rPr>
        <w:t>.</w:t>
      </w:r>
      <w:r>
        <w:rPr>
          <w:rFonts w:cs="Times New Roman"/>
        </w:rPr>
        <w:t>4</w:t>
      </w:r>
      <w:r>
        <w:rPr>
          <w:rFonts w:hint="eastAsia" w:cs="Times New Roman"/>
        </w:rPr>
        <w:t>.</w:t>
      </w:r>
      <w:r>
        <w:rPr>
          <w:rFonts w:cs="Times New Roman"/>
        </w:rPr>
        <w:t>3</w:t>
      </w:r>
      <w:r>
        <w:rPr>
          <w:rFonts w:hint="eastAsia" w:cs="Times New Roman"/>
        </w:rPr>
        <w:t>非常规水资源利用节水潜力分析</w:t>
      </w:r>
      <w:bookmarkEnd w:id="291"/>
      <w:bookmarkEnd w:id="292"/>
      <w:bookmarkEnd w:id="293"/>
      <w:bookmarkEnd w:id="294"/>
    </w:p>
    <w:p>
      <w:pPr>
        <w:spacing w:line="360" w:lineRule="auto"/>
        <w:ind w:firstLine="560"/>
      </w:pPr>
      <w:r>
        <w:rPr>
          <w:rFonts w:hint="eastAsia"/>
        </w:rPr>
        <w:t>2020年，预测城市供水量为</w:t>
      </w:r>
      <w:r>
        <w:t>8423</w:t>
      </w:r>
      <w:r>
        <w:rPr>
          <w:rFonts w:hint="eastAsia"/>
        </w:rPr>
        <w:t>万m</w:t>
      </w:r>
      <w:r>
        <w:rPr>
          <w:rFonts w:hint="eastAsia"/>
          <w:vertAlign w:val="superscript"/>
        </w:rPr>
        <w:t>3</w:t>
      </w:r>
      <w:r>
        <w:rPr>
          <w:rFonts w:hint="eastAsia"/>
        </w:rPr>
        <w:t>/年，按照产污系数0.85计算，控制城市再生水回用率不低于</w:t>
      </w:r>
      <w:r>
        <w:t>50</w:t>
      </w:r>
      <w:r>
        <w:rPr>
          <w:rFonts w:hint="eastAsia"/>
        </w:rPr>
        <w:t>%，则回用水规模为</w:t>
      </w:r>
      <w:r>
        <w:t>3579.80</w:t>
      </w:r>
      <w:r>
        <w:rPr>
          <w:rFonts w:hint="eastAsia"/>
        </w:rPr>
        <w:t>万m</w:t>
      </w:r>
      <w:r>
        <w:rPr>
          <w:rFonts w:hint="eastAsia"/>
          <w:vertAlign w:val="superscript"/>
        </w:rPr>
        <w:t>3</w:t>
      </w:r>
      <w:r>
        <w:rPr>
          <w:rFonts w:hint="eastAsia"/>
        </w:rPr>
        <w:t>/年；结合海绵城市建设，综合利用“渗、滞、蓄、净、用、排”等措施消纳径流，具备条件的优先考虑雨水回用，在201</w:t>
      </w:r>
      <w:r>
        <w:t>7</w:t>
      </w:r>
      <w:r>
        <w:rPr>
          <w:rFonts w:hint="eastAsia"/>
        </w:rPr>
        <w:t>年雨水收集利用量达</w:t>
      </w:r>
      <w:r>
        <w:t>50</w:t>
      </w:r>
      <w:r>
        <w:rPr>
          <w:rFonts w:hint="eastAsia"/>
        </w:rPr>
        <w:t>万m</w:t>
      </w:r>
      <w:r>
        <w:rPr>
          <w:rFonts w:hint="eastAsia"/>
          <w:vertAlign w:val="superscript"/>
        </w:rPr>
        <w:t>3</w:t>
      </w:r>
      <w:r>
        <w:rPr>
          <w:rFonts w:hint="eastAsia"/>
        </w:rPr>
        <w:t>基础上，每年增加10%，则2020年雨水收集利用规模为：</w:t>
      </w:r>
      <w:r>
        <w:t>66.55</w:t>
      </w:r>
      <w:r>
        <w:rPr>
          <w:rFonts w:hint="eastAsia"/>
        </w:rPr>
        <w:t>万m</w:t>
      </w:r>
      <w:r>
        <w:rPr>
          <w:rFonts w:hint="eastAsia"/>
          <w:vertAlign w:val="superscript"/>
        </w:rPr>
        <w:t>3</w:t>
      </w:r>
      <w:r>
        <w:rPr>
          <w:rFonts w:hint="eastAsia"/>
        </w:rPr>
        <w:t>/年。2020年</w:t>
      </w:r>
      <w:r>
        <w:t>非常规水资源利用总量为3646.35</w:t>
      </w:r>
      <w:r>
        <w:rPr>
          <w:rFonts w:hint="eastAsia"/>
        </w:rPr>
        <w:t>万m</w:t>
      </w:r>
      <w:r>
        <w:rPr>
          <w:rFonts w:hint="eastAsia"/>
          <w:vertAlign w:val="superscript"/>
        </w:rPr>
        <w:t>3</w:t>
      </w:r>
      <w:r>
        <w:rPr>
          <w:rFonts w:hint="eastAsia"/>
        </w:rPr>
        <w:t>/年。</w:t>
      </w:r>
    </w:p>
    <w:p>
      <w:pPr>
        <w:spacing w:line="360" w:lineRule="auto"/>
        <w:ind w:firstLine="560"/>
      </w:pPr>
      <w:r>
        <w:rPr>
          <w:rFonts w:hint="eastAsia"/>
        </w:rPr>
        <w:t>2035年，预测城市供水量为</w:t>
      </w:r>
      <w:r>
        <w:t>11792</w:t>
      </w:r>
      <w:r>
        <w:rPr>
          <w:rFonts w:hint="eastAsia"/>
        </w:rPr>
        <w:t>万m</w:t>
      </w:r>
      <w:r>
        <w:rPr>
          <w:rFonts w:hint="eastAsia"/>
          <w:vertAlign w:val="superscript"/>
        </w:rPr>
        <w:t>3</w:t>
      </w:r>
      <w:r>
        <w:rPr>
          <w:rFonts w:hint="eastAsia"/>
        </w:rPr>
        <w:t>/年，按照产污系数0.85计算，控制城市再生水回用率不低于</w:t>
      </w:r>
      <w:r>
        <w:t>50</w:t>
      </w:r>
      <w:r>
        <w:rPr>
          <w:rFonts w:hint="eastAsia"/>
        </w:rPr>
        <w:t>%，则回用水规模为</w:t>
      </w:r>
      <w:r>
        <w:t>5011.73</w:t>
      </w:r>
      <w:r>
        <w:rPr>
          <w:rFonts w:hint="eastAsia"/>
        </w:rPr>
        <w:t>万m</w:t>
      </w:r>
      <w:r>
        <w:rPr>
          <w:rFonts w:hint="eastAsia"/>
          <w:vertAlign w:val="superscript"/>
        </w:rPr>
        <w:t>3</w:t>
      </w:r>
      <w:r>
        <w:rPr>
          <w:rFonts w:hint="eastAsia"/>
        </w:rPr>
        <w:t>/年；雨水回用规模在20</w:t>
      </w:r>
      <w:r>
        <w:t>17</w:t>
      </w:r>
      <w:r>
        <w:rPr>
          <w:rFonts w:hint="eastAsia"/>
        </w:rPr>
        <w:t>年雨水收集利用量基础上，每年增加</w:t>
      </w:r>
      <w:r>
        <w:t>10</w:t>
      </w:r>
      <w:r>
        <w:rPr>
          <w:rFonts w:hint="eastAsia"/>
        </w:rPr>
        <w:t>%，则2035年雨水收集利用规模为：</w:t>
      </w:r>
      <w:r>
        <w:t>278</w:t>
      </w:r>
      <w:r>
        <w:rPr>
          <w:rFonts w:hint="eastAsia"/>
        </w:rPr>
        <w:t>万m</w:t>
      </w:r>
      <w:r>
        <w:rPr>
          <w:rFonts w:hint="eastAsia"/>
          <w:vertAlign w:val="superscript"/>
        </w:rPr>
        <w:t>3</w:t>
      </w:r>
      <w:r>
        <w:rPr>
          <w:rFonts w:hint="eastAsia"/>
        </w:rPr>
        <w:t>/年。20</w:t>
      </w:r>
      <w:r>
        <w:t>3</w:t>
      </w:r>
      <w:r>
        <w:rPr>
          <w:rFonts w:hint="eastAsia"/>
        </w:rPr>
        <w:t>5年</w:t>
      </w:r>
      <w:r>
        <w:t>非常规水资源利用总量为5289.73</w:t>
      </w:r>
      <w:r>
        <w:rPr>
          <w:rFonts w:hint="eastAsia"/>
        </w:rPr>
        <w:t>万m</w:t>
      </w:r>
      <w:r>
        <w:rPr>
          <w:rFonts w:hint="eastAsia"/>
          <w:vertAlign w:val="superscript"/>
        </w:rPr>
        <w:t>3</w:t>
      </w:r>
      <w:r>
        <w:rPr>
          <w:rFonts w:hint="eastAsia"/>
        </w:rPr>
        <w:t>/年。</w:t>
      </w:r>
    </w:p>
    <w:p>
      <w:pPr>
        <w:pStyle w:val="4"/>
        <w:spacing w:line="360" w:lineRule="auto"/>
        <w:rPr>
          <w:rFonts w:cs="Times New Roman"/>
        </w:rPr>
      </w:pPr>
      <w:bookmarkStart w:id="295" w:name="_Toc531180115"/>
      <w:bookmarkStart w:id="296" w:name="_Toc529972206"/>
      <w:bookmarkStart w:id="297" w:name="_Toc8032610"/>
      <w:bookmarkStart w:id="298" w:name="_Toc514062559"/>
      <w:r>
        <w:rPr>
          <w:rFonts w:cs="Times New Roman"/>
        </w:rPr>
        <w:t>4</w:t>
      </w:r>
      <w:r>
        <w:rPr>
          <w:rFonts w:hint="eastAsia" w:cs="Times New Roman"/>
        </w:rPr>
        <w:t>.</w:t>
      </w:r>
      <w:r>
        <w:rPr>
          <w:rFonts w:cs="Times New Roman"/>
        </w:rPr>
        <w:t>4</w:t>
      </w:r>
      <w:r>
        <w:rPr>
          <w:rFonts w:hint="eastAsia" w:cs="Times New Roman"/>
        </w:rPr>
        <w:t>.</w:t>
      </w:r>
      <w:r>
        <w:rPr>
          <w:rFonts w:cs="Times New Roman"/>
        </w:rPr>
        <w:t>4</w:t>
      </w:r>
      <w:r>
        <w:rPr>
          <w:rFonts w:hint="eastAsia" w:cs="Times New Roman"/>
        </w:rPr>
        <w:t>总体节水潜力分析</w:t>
      </w:r>
      <w:bookmarkEnd w:id="295"/>
      <w:bookmarkEnd w:id="296"/>
      <w:bookmarkEnd w:id="297"/>
      <w:bookmarkEnd w:id="298"/>
    </w:p>
    <w:p>
      <w:pPr>
        <w:spacing w:before="120"/>
        <w:ind w:firstLine="560"/>
        <w:rPr>
          <w:snapToGrid w:val="0"/>
        </w:rPr>
      </w:pPr>
      <w:r>
        <w:rPr>
          <w:rFonts w:hint="eastAsia"/>
          <w:snapToGrid w:val="0"/>
        </w:rPr>
        <w:t>综上所述，淮北市各行业节水潜力成果见表</w:t>
      </w:r>
      <w:r>
        <w:rPr>
          <w:snapToGrid w:val="0"/>
        </w:rPr>
        <w:t>4-6</w:t>
      </w:r>
      <w:r>
        <w:rPr>
          <w:rFonts w:hint="eastAsia"/>
          <w:snapToGrid w:val="0"/>
        </w:rPr>
        <w:t>。</w:t>
      </w:r>
    </w:p>
    <w:p>
      <w:pPr>
        <w:spacing w:line="360" w:lineRule="auto"/>
        <w:ind w:firstLine="482"/>
        <w:jc w:val="center"/>
        <w:rPr>
          <w:rFonts w:ascii="宋体" w:hAnsi="宋体"/>
          <w:b/>
          <w:sz w:val="24"/>
        </w:rPr>
      </w:pPr>
      <w:r>
        <w:rPr>
          <w:rFonts w:hint="eastAsia" w:ascii="宋体" w:hAnsi="宋体"/>
          <w:b/>
          <w:sz w:val="24"/>
        </w:rPr>
        <w:t>表</w:t>
      </w:r>
      <w:r>
        <w:rPr>
          <w:rFonts w:ascii="宋体" w:hAnsi="宋体"/>
          <w:b/>
          <w:sz w:val="24"/>
        </w:rPr>
        <w:t>4-6</w:t>
      </w:r>
      <w:r>
        <w:rPr>
          <w:rFonts w:hint="eastAsia" w:ascii="宋体" w:hAnsi="宋体"/>
          <w:b/>
          <w:sz w:val="24"/>
        </w:rPr>
        <w:t xml:space="preserve"> 淮北市规划范围各行业节水潜力分析表</w:t>
      </w:r>
    </w:p>
    <w:tbl>
      <w:tblPr>
        <w:tblStyle w:val="39"/>
        <w:tblW w:w="8835" w:type="dxa"/>
        <w:jc w:val="center"/>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28" w:type="dxa"/>
          <w:bottom w:w="0" w:type="dxa"/>
          <w:right w:w="28" w:type="dxa"/>
        </w:tblCellMar>
      </w:tblPr>
      <w:tblGrid>
        <w:gridCol w:w="3890"/>
        <w:gridCol w:w="2309"/>
        <w:gridCol w:w="2636"/>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28" w:type="dxa"/>
            <w:bottom w:w="0" w:type="dxa"/>
            <w:right w:w="28" w:type="dxa"/>
          </w:tblCellMar>
        </w:tblPrEx>
        <w:trPr>
          <w:trHeight w:val="397" w:hRule="atLeast"/>
          <w:jc w:val="center"/>
        </w:trPr>
        <w:tc>
          <w:tcPr>
            <w:tcW w:w="3890" w:type="dxa"/>
            <w:vMerge w:val="restart"/>
            <w:shd w:val="clear" w:color="auto" w:fill="auto"/>
            <w:noWrap/>
            <w:vAlign w:val="center"/>
          </w:tcPr>
          <w:p>
            <w:pPr>
              <w:pStyle w:val="72"/>
            </w:pPr>
            <w:r>
              <w:rPr>
                <w:rFonts w:hint="eastAsia"/>
              </w:rPr>
              <w:t>分类</w:t>
            </w:r>
          </w:p>
        </w:tc>
        <w:tc>
          <w:tcPr>
            <w:tcW w:w="4945" w:type="dxa"/>
            <w:gridSpan w:val="2"/>
          </w:tcPr>
          <w:p>
            <w:pPr>
              <w:pStyle w:val="72"/>
            </w:pPr>
            <w:r>
              <w:rPr>
                <w:rFonts w:hint="eastAsia"/>
              </w:rPr>
              <w:t>年节水量（万m</w:t>
            </w:r>
            <w:r>
              <w:rPr>
                <w:rFonts w:hint="eastAsia"/>
                <w:vertAlign w:val="superscript"/>
              </w:rPr>
              <w:t>3</w:t>
            </w:r>
            <w:r>
              <w:rPr>
                <w:rFonts w:hint="eastAsia"/>
              </w:rPr>
              <w:t>/年）</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28" w:type="dxa"/>
            <w:bottom w:w="0" w:type="dxa"/>
            <w:right w:w="28" w:type="dxa"/>
          </w:tblCellMar>
        </w:tblPrEx>
        <w:trPr>
          <w:trHeight w:val="397" w:hRule="atLeast"/>
          <w:jc w:val="center"/>
        </w:trPr>
        <w:tc>
          <w:tcPr>
            <w:tcW w:w="3890" w:type="dxa"/>
            <w:vMerge w:val="continue"/>
            <w:shd w:val="clear" w:color="auto" w:fill="auto"/>
            <w:noWrap/>
            <w:vAlign w:val="center"/>
          </w:tcPr>
          <w:p>
            <w:pPr>
              <w:pStyle w:val="72"/>
            </w:pPr>
          </w:p>
        </w:tc>
        <w:tc>
          <w:tcPr>
            <w:tcW w:w="2309" w:type="dxa"/>
            <w:vAlign w:val="center"/>
          </w:tcPr>
          <w:p>
            <w:pPr>
              <w:pStyle w:val="72"/>
            </w:pPr>
            <w:r>
              <w:t>2020年</w:t>
            </w:r>
          </w:p>
        </w:tc>
        <w:tc>
          <w:tcPr>
            <w:tcW w:w="2636" w:type="dxa"/>
            <w:vAlign w:val="center"/>
          </w:tcPr>
          <w:p>
            <w:pPr>
              <w:pStyle w:val="72"/>
            </w:pPr>
            <w:r>
              <w:t>2035年</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28" w:type="dxa"/>
            <w:bottom w:w="0" w:type="dxa"/>
            <w:right w:w="28" w:type="dxa"/>
          </w:tblCellMar>
        </w:tblPrEx>
        <w:trPr>
          <w:trHeight w:val="397" w:hRule="atLeast"/>
          <w:jc w:val="center"/>
        </w:trPr>
        <w:tc>
          <w:tcPr>
            <w:tcW w:w="3890" w:type="dxa"/>
            <w:shd w:val="clear" w:color="auto" w:fill="auto"/>
            <w:noWrap/>
            <w:vAlign w:val="center"/>
          </w:tcPr>
          <w:p>
            <w:pPr>
              <w:pStyle w:val="72"/>
            </w:pPr>
            <w:r>
              <w:rPr>
                <w:rFonts w:hint="eastAsia"/>
              </w:rPr>
              <w:t>工业节水潜力</w:t>
            </w:r>
          </w:p>
        </w:tc>
        <w:tc>
          <w:tcPr>
            <w:tcW w:w="2309" w:type="dxa"/>
            <w:vAlign w:val="center"/>
          </w:tcPr>
          <w:p>
            <w:pPr>
              <w:pStyle w:val="72"/>
            </w:pPr>
            <w:r>
              <w:t>55.10</w:t>
            </w:r>
          </w:p>
        </w:tc>
        <w:tc>
          <w:tcPr>
            <w:tcW w:w="2636" w:type="dxa"/>
            <w:vAlign w:val="center"/>
          </w:tcPr>
          <w:p>
            <w:pPr>
              <w:pStyle w:val="72"/>
            </w:pPr>
            <w:r>
              <w:t>902.26</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28" w:type="dxa"/>
            <w:bottom w:w="0" w:type="dxa"/>
            <w:right w:w="28" w:type="dxa"/>
          </w:tblCellMar>
        </w:tblPrEx>
        <w:trPr>
          <w:trHeight w:val="395" w:hRule="atLeast"/>
          <w:jc w:val="center"/>
        </w:trPr>
        <w:tc>
          <w:tcPr>
            <w:tcW w:w="3890" w:type="dxa"/>
            <w:shd w:val="clear" w:color="auto" w:fill="auto"/>
            <w:noWrap/>
            <w:vAlign w:val="center"/>
          </w:tcPr>
          <w:p>
            <w:pPr>
              <w:pStyle w:val="72"/>
            </w:pPr>
            <w:r>
              <w:rPr>
                <w:rFonts w:hint="eastAsia"/>
              </w:rPr>
              <w:t>城镇生活节水潜力</w:t>
            </w:r>
          </w:p>
        </w:tc>
        <w:tc>
          <w:tcPr>
            <w:tcW w:w="2309" w:type="dxa"/>
            <w:vAlign w:val="center"/>
          </w:tcPr>
          <w:p>
            <w:pPr>
              <w:pStyle w:val="72"/>
            </w:pPr>
            <w:r>
              <w:t>118.77</w:t>
            </w:r>
          </w:p>
        </w:tc>
        <w:tc>
          <w:tcPr>
            <w:tcW w:w="2636" w:type="dxa"/>
            <w:vAlign w:val="center"/>
          </w:tcPr>
          <w:p>
            <w:pPr>
              <w:pStyle w:val="72"/>
            </w:pPr>
            <w:r>
              <w:rPr>
                <w:rFonts w:hint="eastAsia"/>
              </w:rPr>
              <w:t>402.12</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28" w:type="dxa"/>
            <w:bottom w:w="0" w:type="dxa"/>
            <w:right w:w="28" w:type="dxa"/>
          </w:tblCellMar>
        </w:tblPrEx>
        <w:trPr>
          <w:trHeight w:val="395" w:hRule="atLeast"/>
          <w:jc w:val="center"/>
        </w:trPr>
        <w:tc>
          <w:tcPr>
            <w:tcW w:w="3890" w:type="dxa"/>
            <w:shd w:val="clear" w:color="auto" w:fill="auto"/>
            <w:noWrap/>
            <w:vAlign w:val="center"/>
          </w:tcPr>
          <w:p>
            <w:pPr>
              <w:pStyle w:val="72"/>
            </w:pPr>
            <w:r>
              <w:rPr>
                <w:rFonts w:hint="eastAsia"/>
              </w:rPr>
              <w:t>非常规水资源利用潜力</w:t>
            </w:r>
          </w:p>
        </w:tc>
        <w:tc>
          <w:tcPr>
            <w:tcW w:w="2309" w:type="dxa"/>
            <w:vAlign w:val="center"/>
          </w:tcPr>
          <w:p>
            <w:pPr>
              <w:pStyle w:val="72"/>
            </w:pPr>
            <w:r>
              <w:t>3646.35</w:t>
            </w:r>
          </w:p>
        </w:tc>
        <w:tc>
          <w:tcPr>
            <w:tcW w:w="2636" w:type="dxa"/>
            <w:vAlign w:val="center"/>
          </w:tcPr>
          <w:p>
            <w:pPr>
              <w:pStyle w:val="72"/>
            </w:pPr>
            <w:r>
              <w:t>5289.73</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28" w:type="dxa"/>
            <w:bottom w:w="0" w:type="dxa"/>
            <w:right w:w="28" w:type="dxa"/>
          </w:tblCellMar>
        </w:tblPrEx>
        <w:trPr>
          <w:trHeight w:val="397" w:hRule="atLeast"/>
          <w:jc w:val="center"/>
        </w:trPr>
        <w:tc>
          <w:tcPr>
            <w:tcW w:w="3890" w:type="dxa"/>
            <w:shd w:val="clear" w:color="auto" w:fill="auto"/>
            <w:noWrap/>
            <w:vAlign w:val="center"/>
          </w:tcPr>
          <w:p>
            <w:pPr>
              <w:pStyle w:val="72"/>
            </w:pPr>
            <w:r>
              <w:rPr>
                <w:rFonts w:hint="eastAsia"/>
              </w:rPr>
              <w:t>合计</w:t>
            </w:r>
          </w:p>
        </w:tc>
        <w:tc>
          <w:tcPr>
            <w:tcW w:w="2309" w:type="dxa"/>
            <w:vAlign w:val="center"/>
          </w:tcPr>
          <w:p>
            <w:pPr>
              <w:pStyle w:val="72"/>
            </w:pPr>
            <w:r>
              <w:rPr>
                <w:rFonts w:hint="eastAsia"/>
              </w:rPr>
              <w:t>3820.22</w:t>
            </w:r>
          </w:p>
        </w:tc>
        <w:tc>
          <w:tcPr>
            <w:tcW w:w="2636" w:type="dxa"/>
            <w:vAlign w:val="center"/>
          </w:tcPr>
          <w:p>
            <w:pPr>
              <w:pStyle w:val="72"/>
            </w:pPr>
            <w:r>
              <w:rPr>
                <w:rFonts w:hint="eastAsia"/>
              </w:rPr>
              <w:t>6594.11</w:t>
            </w:r>
          </w:p>
        </w:tc>
      </w:tr>
    </w:tbl>
    <w:p>
      <w:pPr>
        <w:spacing w:line="360" w:lineRule="auto"/>
        <w:ind w:firstLine="560"/>
      </w:pPr>
    </w:p>
    <w:p>
      <w:pPr>
        <w:spacing w:line="360" w:lineRule="auto"/>
        <w:ind w:firstLine="560"/>
      </w:pPr>
      <w:r>
        <w:rPr>
          <w:rFonts w:hint="eastAsia"/>
        </w:rPr>
        <w:t>综合节水潜力计算结果可知，</w:t>
      </w:r>
      <w:r>
        <w:t xml:space="preserve"> </w:t>
      </w:r>
      <w:bookmarkStart w:id="299" w:name="_Hlk22294417"/>
      <w:r>
        <w:rPr>
          <w:rFonts w:hint="eastAsia"/>
        </w:rPr>
        <w:t>2020年、2035年工业用水可节约55.10万</w:t>
      </w:r>
      <w:r>
        <w:t>m</w:t>
      </w:r>
      <w:r>
        <w:rPr>
          <w:vertAlign w:val="superscript"/>
        </w:rPr>
        <w:t>3</w:t>
      </w:r>
      <w:r>
        <w:rPr>
          <w:rFonts w:hint="eastAsia"/>
        </w:rPr>
        <w:t>和902.26万</w:t>
      </w:r>
      <w:r>
        <w:t>m</w:t>
      </w:r>
      <w:r>
        <w:rPr>
          <w:vertAlign w:val="superscript"/>
        </w:rPr>
        <w:t>3</w:t>
      </w:r>
      <w:r>
        <w:rPr>
          <w:rFonts w:hint="eastAsia"/>
        </w:rPr>
        <w:t>；城镇生活可节约用水118.77万</w:t>
      </w:r>
      <w:r>
        <w:t>m</w:t>
      </w:r>
      <w:r>
        <w:rPr>
          <w:vertAlign w:val="superscript"/>
        </w:rPr>
        <w:t>3</w:t>
      </w:r>
      <w:r>
        <w:rPr>
          <w:rFonts w:hint="eastAsia"/>
        </w:rPr>
        <w:t>和402.12万</w:t>
      </w:r>
      <w:r>
        <w:t>m</w:t>
      </w:r>
      <w:r>
        <w:rPr>
          <w:vertAlign w:val="superscript"/>
        </w:rPr>
        <w:t>3</w:t>
      </w:r>
      <w:r>
        <w:rPr>
          <w:rFonts w:hint="eastAsia"/>
        </w:rPr>
        <w:t>。非常规水资源利用潜力可节约用水3646.35万</w:t>
      </w:r>
      <w:r>
        <w:t>m</w:t>
      </w:r>
      <w:r>
        <w:rPr>
          <w:vertAlign w:val="superscript"/>
        </w:rPr>
        <w:t>3</w:t>
      </w:r>
      <w:r>
        <w:rPr>
          <w:rFonts w:hint="eastAsia"/>
        </w:rPr>
        <w:t>和5289.73万</w:t>
      </w:r>
      <w:r>
        <w:t>m</w:t>
      </w:r>
      <w:r>
        <w:rPr>
          <w:vertAlign w:val="superscript"/>
        </w:rPr>
        <w:t>3</w:t>
      </w:r>
      <w:r>
        <w:rPr>
          <w:rFonts w:hint="eastAsia"/>
        </w:rPr>
        <w:t>。2020年、2035年节约用水总量将分别为3820.22万</w:t>
      </w:r>
      <w:r>
        <w:t>m</w:t>
      </w:r>
      <w:r>
        <w:rPr>
          <w:vertAlign w:val="superscript"/>
        </w:rPr>
        <w:t>3</w:t>
      </w:r>
      <w:r>
        <w:rPr>
          <w:rFonts w:hint="eastAsia"/>
        </w:rPr>
        <w:t>和6594.11万</w:t>
      </w:r>
      <w:r>
        <w:t>m</w:t>
      </w:r>
      <w:r>
        <w:rPr>
          <w:vertAlign w:val="superscript"/>
        </w:rPr>
        <w:t>3</w:t>
      </w:r>
      <w:r>
        <w:rPr>
          <w:rFonts w:hint="eastAsia"/>
        </w:rPr>
        <w:t>。未来淮北市通过实施节水规划可以有效控制水资源开发利用总量，提高用水水平和用水效率</w:t>
      </w:r>
      <w:bookmarkEnd w:id="299"/>
      <w:r>
        <w:rPr>
          <w:rFonts w:hint="eastAsia"/>
        </w:rPr>
        <w:t>。</w:t>
      </w:r>
    </w:p>
    <w:p>
      <w:pPr>
        <w:widowControl/>
        <w:autoSpaceDE/>
        <w:autoSpaceDN/>
        <w:adjustRightInd/>
        <w:spacing w:line="240" w:lineRule="auto"/>
        <w:ind w:firstLine="0" w:firstLineChars="0"/>
        <w:rPr>
          <w:b/>
          <w:bCs/>
          <w:kern w:val="44"/>
          <w:sz w:val="44"/>
          <w:szCs w:val="44"/>
        </w:rPr>
      </w:pPr>
      <w:r>
        <w:br w:type="page"/>
      </w:r>
    </w:p>
    <w:bookmarkEnd w:id="121"/>
    <w:p>
      <w:pPr>
        <w:pStyle w:val="2"/>
        <w:spacing w:before="120"/>
        <w:ind w:firstLine="883"/>
      </w:pPr>
      <w:bookmarkStart w:id="300" w:name="_Toc478634377"/>
      <w:bookmarkStart w:id="301" w:name="_Toc8032611"/>
      <w:r>
        <w:rPr>
          <w:rFonts w:hint="eastAsia"/>
        </w:rPr>
        <w:t xml:space="preserve">第五章 </w:t>
      </w:r>
      <w:r>
        <w:t xml:space="preserve"> 节约用水指标体系和规划目标</w:t>
      </w:r>
      <w:bookmarkEnd w:id="300"/>
      <w:bookmarkEnd w:id="301"/>
    </w:p>
    <w:p>
      <w:pPr>
        <w:pStyle w:val="3"/>
        <w:spacing w:before="120" w:after="60" w:line="360" w:lineRule="auto"/>
        <w:ind w:firstLine="602"/>
        <w:rPr>
          <w:rFonts w:ascii="Times New Roman" w:hAnsi="Times New Roman"/>
        </w:rPr>
      </w:pPr>
      <w:bookmarkStart w:id="302" w:name="_Toc478634378"/>
      <w:bookmarkStart w:id="303" w:name="_Toc8032612"/>
      <w:r>
        <w:rPr>
          <w:rFonts w:ascii="Times New Roman" w:hAnsi="Times New Roman"/>
        </w:rPr>
        <w:t xml:space="preserve">5.1 </w:t>
      </w:r>
      <w:r>
        <w:rPr>
          <w:rFonts w:ascii="Times New Roman" w:hAnsi="Times New Roman"/>
          <w:spacing w:val="42"/>
        </w:rPr>
        <w:t xml:space="preserve"> </w:t>
      </w:r>
      <w:r>
        <w:rPr>
          <w:rFonts w:ascii="Times New Roman" w:hAnsi="Times New Roman"/>
          <w:spacing w:val="17"/>
        </w:rPr>
        <w:t>节约用水指标体系</w:t>
      </w:r>
      <w:bookmarkEnd w:id="302"/>
      <w:bookmarkEnd w:id="303"/>
    </w:p>
    <w:p>
      <w:pPr>
        <w:spacing w:line="360" w:lineRule="auto"/>
        <w:ind w:firstLine="560"/>
      </w:pPr>
      <w:r>
        <w:t>节约用水指标主要反映了一个城市的总体节水水平，可以从横向和纵向上比较各城市 的节水潜力 和发展趋势。为贯彻落实《国务院关于实行最严格水资源管理制度的意见》（国 发〔2012〕3 号），推动节约型社会建设，加强对节水型城市建设工作的指导，规范国家节水型城市的申报与考核管理，2012年4月12日，住房城乡建设部和国家发展和改革委员会共同修订颁布了《国家节水型城市申报与考核办法》（建城〔201</w:t>
      </w:r>
      <w:r>
        <w:rPr>
          <w:rFonts w:hint="eastAsia"/>
        </w:rPr>
        <w:t>8</w:t>
      </w:r>
      <w:r>
        <w:t>〕</w:t>
      </w:r>
      <w:r>
        <w:rPr>
          <w:rFonts w:hint="eastAsia"/>
        </w:rPr>
        <w:t>25</w:t>
      </w:r>
      <w:r>
        <w:t xml:space="preserve"> 号）。办法规定《国家节水型城市考核标准》分为基本条件、基础管理指标和技术考核指标（详见说明书后附表 1），其中应具备的5个基本条件是：</w:t>
      </w:r>
    </w:p>
    <w:p>
      <w:pPr>
        <w:spacing w:line="360" w:lineRule="auto"/>
        <w:ind w:firstLine="560"/>
      </w:pPr>
      <w:r>
        <w:t>（1）法规制度健全：</w:t>
      </w:r>
    </w:p>
    <w:p>
      <w:pPr>
        <w:spacing w:line="360" w:lineRule="auto"/>
        <w:ind w:firstLine="560"/>
      </w:pPr>
      <w:r>
        <w:t>具有本级人大或政府颁发的有关城市节水管理方面的法规、规范性文件；具有健全的城市节水管理制度和长效机制。</w:t>
      </w:r>
    </w:p>
    <w:p>
      <w:pPr>
        <w:spacing w:line="360" w:lineRule="auto"/>
        <w:ind w:firstLine="560"/>
      </w:pPr>
      <w:r>
        <w:t>（2）</w:t>
      </w:r>
      <w:r>
        <w:rPr>
          <w:rFonts w:hint="eastAsia"/>
        </w:rPr>
        <w:t>城市节水机构依法履责：</w:t>
      </w:r>
    </w:p>
    <w:p>
      <w:pPr>
        <w:spacing w:line="360" w:lineRule="auto"/>
        <w:ind w:firstLine="560"/>
      </w:pPr>
      <w:r>
        <w:t>根据市编委文件专门设立城市节水管理机构，职责明确、人员配置齐备；依法对供水、用水单位进行全面的节水监督检查、指导管理；组织城市节水技术与产品推广。</w:t>
      </w:r>
    </w:p>
    <w:p>
      <w:pPr>
        <w:spacing w:line="360" w:lineRule="auto"/>
        <w:ind w:firstLine="560"/>
      </w:pPr>
      <w:r>
        <w:t>（3）建立城市节水统计制度：</w:t>
      </w:r>
    </w:p>
    <w:p>
      <w:pPr>
        <w:spacing w:line="360" w:lineRule="auto"/>
        <w:ind w:firstLine="560"/>
      </w:pPr>
      <w:r>
        <w:t>实行规范的城市节水统计制度，按照国家节水统计的要求，建立科学合理的城市节水统计指标体系，定期上报本市节水统计报表。</w:t>
      </w:r>
    </w:p>
    <w:p>
      <w:pPr>
        <w:spacing w:line="360" w:lineRule="auto"/>
        <w:ind w:firstLine="560"/>
      </w:pPr>
      <w:r>
        <w:t>（4）建立节水财政投入制度：</w:t>
      </w:r>
    </w:p>
    <w:p>
      <w:pPr>
        <w:spacing w:line="360" w:lineRule="auto"/>
        <w:ind w:firstLine="560"/>
      </w:pPr>
      <w:r>
        <w:t>有稳定的年度政府节水专项财政投入，确保节水基础管理、节水技术推广、节水设施改造与建设、节水宣传教育等活动的开展。</w:t>
      </w:r>
    </w:p>
    <w:p>
      <w:pPr>
        <w:spacing w:line="360" w:lineRule="auto"/>
        <w:ind w:firstLine="560"/>
      </w:pPr>
      <w:r>
        <w:t>（5）全面开展</w:t>
      </w:r>
      <w:r>
        <w:rPr>
          <w:rFonts w:hint="eastAsia"/>
        </w:rPr>
        <w:t>创建</w:t>
      </w:r>
      <w:r>
        <w:t>活动：</w:t>
      </w:r>
    </w:p>
    <w:p>
      <w:pPr>
        <w:spacing w:line="360" w:lineRule="auto"/>
        <w:ind w:firstLine="560"/>
      </w:pPr>
      <w:r>
        <w:t>成立节水工作领导小组，制定和实施节水工作计划；全面开展节水型企业（单位）及节水型居民小区等评比活动；获得省级节水型城市称号满一年以上；广泛开展节水宣传日（周）及日常城市节水宣传活动。</w:t>
      </w:r>
    </w:p>
    <w:p>
      <w:pPr>
        <w:spacing w:line="360" w:lineRule="auto"/>
        <w:ind w:firstLine="560"/>
      </w:pPr>
      <w:r>
        <w:t>这些基本条件通过考核标准来量化，分为基础管理指标和技术考核指标两大类，共2</w:t>
      </w:r>
      <w:r>
        <w:rPr>
          <w:rFonts w:hint="eastAsia"/>
        </w:rPr>
        <w:t>5</w:t>
      </w:r>
      <w:r>
        <w:t>小项</w:t>
      </w:r>
      <w:r>
        <w:rPr>
          <w:rFonts w:hint="eastAsia"/>
        </w:rPr>
        <w:t>。</w:t>
      </w:r>
    </w:p>
    <w:p>
      <w:pPr>
        <w:spacing w:line="360" w:lineRule="auto"/>
        <w:ind w:firstLine="560"/>
        <w:rPr>
          <w:spacing w:val="14"/>
        </w:rPr>
      </w:pPr>
      <w:r>
        <w:t>淮北市节约用</w:t>
      </w:r>
      <w:r>
        <w:rPr>
          <w:spacing w:val="19"/>
        </w:rPr>
        <w:t>水</w:t>
      </w:r>
      <w:r>
        <w:t>指</w:t>
      </w:r>
      <w:r>
        <w:rPr>
          <w:spacing w:val="19"/>
        </w:rPr>
        <w:t>标</w:t>
      </w:r>
      <w:r>
        <w:t>体系可归纳为</w:t>
      </w:r>
      <w:r>
        <w:rPr>
          <w:spacing w:val="19"/>
        </w:rPr>
        <w:t>基</w:t>
      </w:r>
      <w:r>
        <w:t>础</w:t>
      </w:r>
      <w:r>
        <w:rPr>
          <w:spacing w:val="19"/>
        </w:rPr>
        <w:t>管</w:t>
      </w:r>
      <w:r>
        <w:t>理指标和技术</w:t>
      </w:r>
      <w:r>
        <w:rPr>
          <w:spacing w:val="19"/>
        </w:rPr>
        <w:t>考</w:t>
      </w:r>
      <w:r>
        <w:t>核</w:t>
      </w:r>
      <w:r>
        <w:rPr>
          <w:spacing w:val="19"/>
        </w:rPr>
        <w:t>指</w:t>
      </w:r>
      <w:r>
        <w:t>标</w:t>
      </w:r>
      <w:r>
        <w:rPr>
          <w:spacing w:val="-20"/>
        </w:rPr>
        <w:t>。</w:t>
      </w:r>
      <w:r>
        <w:t>节水型</w:t>
      </w:r>
      <w:r>
        <w:rPr>
          <w:spacing w:val="19"/>
        </w:rPr>
        <w:t>城</w:t>
      </w:r>
      <w:r>
        <w:t>市考</w:t>
      </w:r>
      <w:r>
        <w:rPr>
          <w:spacing w:val="19"/>
        </w:rPr>
        <w:t>核</w:t>
      </w:r>
      <w:r>
        <w:t>指标构成了该体</w:t>
      </w:r>
      <w:r>
        <w:rPr>
          <w:spacing w:val="19"/>
        </w:rPr>
        <w:t>系</w:t>
      </w:r>
      <w:r>
        <w:t>的</w:t>
      </w:r>
      <w:r>
        <w:rPr>
          <w:spacing w:val="19"/>
        </w:rPr>
        <w:t>基</w:t>
      </w:r>
      <w:r>
        <w:t>础</w:t>
      </w:r>
      <w:r>
        <w:rPr>
          <w:spacing w:val="-82"/>
        </w:rPr>
        <w:t>，</w:t>
      </w:r>
      <w:r>
        <w:t>在此</w:t>
      </w:r>
      <w:r>
        <w:rPr>
          <w:spacing w:val="19"/>
        </w:rPr>
        <w:t>基</w:t>
      </w:r>
      <w:r>
        <w:t>础上充</w:t>
      </w:r>
      <w:r>
        <w:rPr>
          <w:spacing w:val="19"/>
        </w:rPr>
        <w:t>分</w:t>
      </w:r>
      <w:r>
        <w:t>考虑了淮北市</w:t>
      </w:r>
      <w:r>
        <w:rPr>
          <w:spacing w:val="19"/>
        </w:rPr>
        <w:t>市</w:t>
      </w:r>
      <w:r>
        <w:t>区</w:t>
      </w:r>
      <w:r>
        <w:rPr>
          <w:spacing w:val="19"/>
        </w:rPr>
        <w:t>节</w:t>
      </w:r>
      <w:r>
        <w:t>水水平的实际</w:t>
      </w:r>
      <w:r>
        <w:rPr>
          <w:spacing w:val="19"/>
        </w:rPr>
        <w:t>情</w:t>
      </w:r>
      <w:r>
        <w:t>况</w:t>
      </w:r>
      <w:r>
        <w:rPr>
          <w:spacing w:val="-80"/>
        </w:rPr>
        <w:t>，</w:t>
      </w:r>
      <w:r>
        <w:t>参</w:t>
      </w:r>
      <w:r>
        <w:rPr>
          <w:spacing w:val="-82"/>
        </w:rPr>
        <w:t>照</w:t>
      </w:r>
      <w:r>
        <w:t>《国</w:t>
      </w:r>
      <w:r>
        <w:rPr>
          <w:spacing w:val="15"/>
        </w:rPr>
        <w:t>家节水型城市考核标准》及《全国节水规划纲要》提出的相关指标确定淮北市城市节水指标。节水指标体系总共有</w:t>
      </w:r>
      <w:r>
        <w:rPr>
          <w:spacing w:val="4"/>
        </w:rPr>
        <w:t>2</w:t>
      </w:r>
      <w:r>
        <w:rPr>
          <w:rFonts w:hint="eastAsia"/>
          <w:spacing w:val="4"/>
        </w:rPr>
        <w:t>5</w:t>
      </w:r>
      <w:r>
        <w:rPr>
          <w:spacing w:val="13"/>
        </w:rPr>
        <w:t>个指标，其中</w:t>
      </w:r>
      <w:r>
        <w:rPr>
          <w:rFonts w:hint="eastAsia"/>
          <w:spacing w:val="13"/>
        </w:rPr>
        <w:t>5个基本条件，</w:t>
      </w:r>
      <w:r>
        <w:rPr>
          <w:rFonts w:hint="eastAsia"/>
        </w:rPr>
        <w:t>7</w:t>
      </w:r>
      <w:r>
        <w:rPr>
          <w:spacing w:val="14"/>
        </w:rPr>
        <w:t>个基础管理指标，</w:t>
      </w:r>
      <w:r>
        <w:rPr>
          <w:rFonts w:hint="eastAsia"/>
          <w:spacing w:val="14"/>
        </w:rPr>
        <w:t>13</w:t>
      </w:r>
      <w:r>
        <w:t>个技术考核指标，技术</w:t>
      </w:r>
      <w:r>
        <w:rPr>
          <w:spacing w:val="14"/>
        </w:rPr>
        <w:t>考核指标同时也分为</w:t>
      </w:r>
      <w:r>
        <w:rPr>
          <w:spacing w:val="-36"/>
        </w:rPr>
        <w:t xml:space="preserve"> </w:t>
      </w:r>
      <w:r>
        <w:rPr>
          <w:rFonts w:hint="eastAsia"/>
        </w:rPr>
        <w:t>3</w:t>
      </w:r>
      <w:r>
        <w:rPr>
          <w:spacing w:val="14"/>
        </w:rPr>
        <w:t>个综合节水指标、</w:t>
      </w:r>
      <w:r>
        <w:rPr>
          <w:rFonts w:hint="eastAsia"/>
          <w:spacing w:val="14"/>
        </w:rPr>
        <w:t>5</w:t>
      </w:r>
      <w:r>
        <w:rPr>
          <w:spacing w:val="14"/>
        </w:rPr>
        <w:t>个生活节水指标</w:t>
      </w:r>
      <w:r>
        <w:rPr>
          <w:rFonts w:hint="eastAsia"/>
          <w:spacing w:val="14"/>
        </w:rPr>
        <w:t>、</w:t>
      </w:r>
      <w:r>
        <w:rPr>
          <w:rFonts w:hint="eastAsia"/>
        </w:rPr>
        <w:t>4</w:t>
      </w:r>
      <w:r>
        <w:t xml:space="preserve"> </w:t>
      </w:r>
      <w:r>
        <w:rPr>
          <w:spacing w:val="14"/>
        </w:rPr>
        <w:t>个工业节水指标</w:t>
      </w:r>
      <w:r>
        <w:rPr>
          <w:rFonts w:hint="eastAsia"/>
          <w:spacing w:val="14"/>
        </w:rPr>
        <w:t>和1个环境生态节水指标</w:t>
      </w:r>
      <w:r>
        <w:rPr>
          <w:spacing w:val="14"/>
        </w:rPr>
        <w:t>。</w:t>
      </w:r>
      <w:r>
        <w:t>详细如下图：</w:t>
      </w:r>
    </w:p>
    <w:p>
      <w:pPr>
        <w:spacing w:line="360" w:lineRule="auto"/>
        <w:ind w:firstLine="560"/>
      </w:pPr>
      <w:r>
        <w:drawing>
          <wp:inline distT="0" distB="0" distL="0" distR="0">
            <wp:extent cx="5234940" cy="8291830"/>
            <wp:effectExtent l="19050" t="0" r="3412" b="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noChangeArrowheads="1"/>
                    </pic:cNvPicPr>
                  </pic:nvPicPr>
                  <pic:blipFill>
                    <a:blip r:embed="rId79"/>
                    <a:srcRect/>
                    <a:stretch>
                      <a:fillRect/>
                    </a:stretch>
                  </pic:blipFill>
                  <pic:spPr>
                    <a:xfrm>
                      <a:off x="0" y="0"/>
                      <a:ext cx="5243402" cy="8304762"/>
                    </a:xfrm>
                    <a:prstGeom prst="rect">
                      <a:avLst/>
                    </a:prstGeom>
                    <a:noFill/>
                    <a:ln w="9525">
                      <a:noFill/>
                      <a:miter lim="800000"/>
                      <a:headEnd/>
                      <a:tailEnd/>
                    </a:ln>
                  </pic:spPr>
                </pic:pic>
              </a:graphicData>
            </a:graphic>
          </wp:inline>
        </w:drawing>
      </w:r>
    </w:p>
    <w:p>
      <w:pPr>
        <w:pStyle w:val="3"/>
        <w:spacing w:before="120" w:after="60" w:line="360" w:lineRule="auto"/>
        <w:ind w:firstLine="602"/>
        <w:rPr>
          <w:rFonts w:ascii="Times New Roman" w:hAnsi="Times New Roman"/>
        </w:rPr>
      </w:pPr>
      <w:bookmarkStart w:id="304" w:name="_Toc478634379"/>
      <w:bookmarkStart w:id="305" w:name="_Toc8032613"/>
      <w:r>
        <w:rPr>
          <w:rFonts w:ascii="Times New Roman" w:hAnsi="Times New Roman"/>
        </w:rPr>
        <w:t xml:space="preserve">5.2 </w:t>
      </w:r>
      <w:r>
        <w:rPr>
          <w:rFonts w:ascii="Times New Roman" w:hAnsi="Times New Roman"/>
          <w:spacing w:val="42"/>
        </w:rPr>
        <w:t xml:space="preserve"> </w:t>
      </w:r>
      <w:r>
        <w:rPr>
          <w:rFonts w:ascii="Times New Roman" w:hAnsi="Times New Roman"/>
          <w:spacing w:val="17"/>
        </w:rPr>
        <w:t>节约用水规划目标</w:t>
      </w:r>
      <w:bookmarkEnd w:id="304"/>
      <w:bookmarkEnd w:id="305"/>
    </w:p>
    <w:p>
      <w:pPr>
        <w:pStyle w:val="4"/>
      </w:pPr>
      <w:bookmarkStart w:id="306" w:name="_Toc8032614"/>
      <w:bookmarkStart w:id="307" w:name="_Toc478634381"/>
      <w:r>
        <w:t>5.2.</w:t>
      </w:r>
      <w:r>
        <w:rPr>
          <w:rFonts w:hint="eastAsia"/>
        </w:rPr>
        <w:t>1</w:t>
      </w:r>
      <w:r>
        <w:rPr>
          <w:spacing w:val="37"/>
        </w:rPr>
        <w:t xml:space="preserve"> </w:t>
      </w:r>
      <w:r>
        <w:rPr>
          <w:spacing w:val="15"/>
        </w:rPr>
        <w:t>城市节约用水规划目标值</w:t>
      </w:r>
      <w:bookmarkEnd w:id="306"/>
      <w:bookmarkEnd w:id="307"/>
    </w:p>
    <w:p>
      <w:pPr>
        <w:pStyle w:val="5"/>
        <w:spacing w:before="120"/>
      </w:pPr>
      <w:bookmarkStart w:id="308" w:name="_Toc8032615"/>
      <w:bookmarkStart w:id="309" w:name="_Toc478634382"/>
      <w:r>
        <w:t>5.2.2.1</w:t>
      </w:r>
      <w:r>
        <w:rPr>
          <w:spacing w:val="-3"/>
        </w:rPr>
        <w:t xml:space="preserve"> </w:t>
      </w:r>
      <w:r>
        <w:rPr>
          <w:spacing w:val="18"/>
        </w:rPr>
        <w:t>基础管理指标</w:t>
      </w:r>
      <w:bookmarkEnd w:id="308"/>
      <w:bookmarkEnd w:id="309"/>
    </w:p>
    <w:p>
      <w:pPr>
        <w:pStyle w:val="16"/>
        <w:spacing w:line="360" w:lineRule="auto"/>
        <w:ind w:firstLine="560"/>
        <w:rPr>
          <w:rFonts w:cs="Times New Roman"/>
        </w:rPr>
      </w:pPr>
      <w:r>
        <w:rPr>
          <w:rFonts w:cs="Times New Roman"/>
        </w:rPr>
        <w:t>（1）城市节水规划：淮北市</w:t>
      </w:r>
      <w:r>
        <w:rPr>
          <w:rFonts w:hint="eastAsia" w:cs="Times New Roman"/>
        </w:rPr>
        <w:t>已</w:t>
      </w:r>
      <w:r>
        <w:rPr>
          <w:rFonts w:cs="Times New Roman"/>
        </w:rPr>
        <w:t>委托我院编制本规划，</w:t>
      </w:r>
      <w:r>
        <w:rPr>
          <w:rFonts w:hint="eastAsia" w:cs="Times New Roman"/>
        </w:rPr>
        <w:t>报批后可</w:t>
      </w:r>
      <w:r>
        <w:rPr>
          <w:rFonts w:cs="Times New Roman"/>
        </w:rPr>
        <w:t>作为规划年内开展城市节水工作的依据。</w:t>
      </w:r>
    </w:p>
    <w:p>
      <w:pPr>
        <w:pStyle w:val="16"/>
        <w:spacing w:line="360" w:lineRule="auto"/>
        <w:ind w:firstLine="560"/>
        <w:rPr>
          <w:rFonts w:cs="Times New Roman"/>
        </w:rPr>
      </w:pPr>
      <w:r>
        <w:rPr>
          <w:rFonts w:cs="Times New Roman"/>
        </w:rPr>
        <w:t>（</w:t>
      </w:r>
      <w:r>
        <w:rPr>
          <w:rFonts w:hint="eastAsia" w:cs="Times New Roman"/>
        </w:rPr>
        <w:t>2</w:t>
      </w:r>
      <w:r>
        <w:rPr>
          <w:rFonts w:cs="Times New Roman"/>
        </w:rPr>
        <w:t>）</w:t>
      </w:r>
      <w:r>
        <w:rPr>
          <w:rFonts w:hint="eastAsia" w:cs="Times New Roman"/>
        </w:rPr>
        <w:t>海绵城市建设</w:t>
      </w:r>
      <w:r>
        <w:rPr>
          <w:rFonts w:cs="Times New Roman"/>
        </w:rPr>
        <w:t>：</w:t>
      </w:r>
      <w:r>
        <w:rPr>
          <w:rFonts w:hint="eastAsia" w:cs="Times New Roman"/>
        </w:rPr>
        <w:t>淮北市已编制完成海绵城市建设规划，在城市规划建设及管理各个环节落实海绵城市理念，已建成海绵城市的区域内无易涝点。</w:t>
      </w:r>
    </w:p>
    <w:p>
      <w:pPr>
        <w:pStyle w:val="16"/>
        <w:spacing w:line="360" w:lineRule="auto"/>
        <w:ind w:firstLine="560"/>
        <w:rPr>
          <w:rFonts w:cs="Times New Roman"/>
        </w:rPr>
      </w:pPr>
      <w:r>
        <w:rPr>
          <w:rFonts w:cs="Times New Roman"/>
        </w:rPr>
        <w:t>（</w:t>
      </w:r>
      <w:r>
        <w:rPr>
          <w:rFonts w:hint="eastAsia" w:cs="Times New Roman"/>
        </w:rPr>
        <w:t>3</w:t>
      </w:r>
      <w:r>
        <w:rPr>
          <w:rFonts w:cs="Times New Roman"/>
        </w:rPr>
        <w:t>）城市节水资金投入：</w:t>
      </w:r>
      <w:r>
        <w:rPr>
          <w:rFonts w:hint="eastAsia" w:cs="Times New Roman"/>
        </w:rPr>
        <w:t>淮北市</w:t>
      </w:r>
      <w:r>
        <w:rPr>
          <w:rFonts w:cs="Times New Roman"/>
        </w:rPr>
        <w:t>财政将不断加大投入，保持城市节水财政资金投入占比大于市本级财政支出的比例的0.5‰；同时鼓励</w:t>
      </w:r>
      <w:r>
        <w:rPr>
          <w:rFonts w:hint="eastAsia" w:cs="Times New Roman"/>
        </w:rPr>
        <w:t>淮北市</w:t>
      </w:r>
      <w:r>
        <w:rPr>
          <w:rFonts w:cs="Times New Roman"/>
        </w:rPr>
        <w:t>各级行政机构、企事业单位、工业企业、居民生活小区等增加节水资金的投入，确保城市节水资金投入占比大于市本级财政支出的比例的1‰。</w:t>
      </w:r>
    </w:p>
    <w:p>
      <w:pPr>
        <w:pStyle w:val="16"/>
        <w:spacing w:line="360" w:lineRule="auto"/>
        <w:ind w:firstLine="560"/>
        <w:rPr>
          <w:rFonts w:cs="Times New Roman"/>
        </w:rPr>
      </w:pPr>
      <w:r>
        <w:rPr>
          <w:rFonts w:cs="Times New Roman"/>
        </w:rPr>
        <w:t>（</w:t>
      </w:r>
      <w:r>
        <w:rPr>
          <w:rFonts w:hint="eastAsia" w:cs="Times New Roman"/>
        </w:rPr>
        <w:t>4</w:t>
      </w:r>
      <w:r>
        <w:rPr>
          <w:rFonts w:cs="Times New Roman"/>
        </w:rPr>
        <w:t>） 计划用水与定额管理：目前淮北市正在抓紧按 《取水定额</w:t>
      </w:r>
      <w:r>
        <w:rPr>
          <w:rFonts w:hint="eastAsia" w:cs="Times New Roman"/>
        </w:rPr>
        <w:t>》</w:t>
      </w:r>
      <w:r>
        <w:rPr>
          <w:rFonts w:cs="Times New Roman"/>
        </w:rPr>
        <w:t>（GB/T18916）和《安徽省行业用水定额》实施非居民用水单位的计划用水与定额管理工作，将城区重点用水单位全部纳入计划管理，并将工业用水逐步实现计划用水与定额管理相结合并过渡到定额管理。</w:t>
      </w:r>
    </w:p>
    <w:p>
      <w:pPr>
        <w:pStyle w:val="16"/>
        <w:spacing w:line="360" w:lineRule="auto"/>
        <w:ind w:firstLine="560"/>
        <w:rPr>
          <w:rFonts w:cs="Times New Roman"/>
        </w:rPr>
      </w:pPr>
      <w:r>
        <w:rPr>
          <w:rFonts w:cs="Times New Roman"/>
        </w:rPr>
        <w:t>（</w:t>
      </w:r>
      <w:r>
        <w:rPr>
          <w:rFonts w:hint="eastAsia" w:cs="Times New Roman"/>
        </w:rPr>
        <w:t>5</w:t>
      </w:r>
      <w:r>
        <w:rPr>
          <w:rFonts w:cs="Times New Roman"/>
        </w:rPr>
        <w:t>）自备水管理：目前主城区地下水禁采，随着城市供水管网向市郊的进一步拓展，将逐步取缔采用地</w:t>
      </w:r>
      <w:r>
        <w:rPr>
          <w:rFonts w:hint="eastAsia" w:cs="Times New Roman"/>
        </w:rPr>
        <w:t>下</w:t>
      </w:r>
      <w:r>
        <w:rPr>
          <w:rFonts w:cs="Times New Roman"/>
        </w:rPr>
        <w:t>水的自建供水设施用水。</w:t>
      </w:r>
    </w:p>
    <w:p>
      <w:pPr>
        <w:pStyle w:val="16"/>
        <w:spacing w:line="360" w:lineRule="auto"/>
        <w:ind w:firstLine="560"/>
        <w:rPr>
          <w:rFonts w:cs="Times New Roman"/>
        </w:rPr>
      </w:pPr>
      <w:r>
        <w:rPr>
          <w:rFonts w:cs="Times New Roman"/>
        </w:rPr>
        <w:t>（</w:t>
      </w:r>
      <w:r>
        <w:rPr>
          <w:rFonts w:hint="eastAsia" w:cs="Times New Roman"/>
        </w:rPr>
        <w:t>6</w:t>
      </w:r>
      <w:r>
        <w:rPr>
          <w:rFonts w:cs="Times New Roman"/>
        </w:rPr>
        <w:t>）节水“三同时”管理：主要依据有关部门即将发布的“三同时”管理文件严格执行。</w:t>
      </w:r>
    </w:p>
    <w:p>
      <w:pPr>
        <w:spacing w:line="360" w:lineRule="auto"/>
        <w:ind w:firstLine="560"/>
      </w:pPr>
      <w:r>
        <w:t>（</w:t>
      </w:r>
      <w:r>
        <w:rPr>
          <w:rFonts w:hint="eastAsia"/>
        </w:rPr>
        <w:t>7</w:t>
      </w:r>
      <w:r>
        <w:t>）价格管理：目前淮北市水资源费和污水处理费均按要求征收；</w:t>
      </w:r>
      <w:r>
        <w:rPr>
          <w:rFonts w:hint="eastAsia"/>
        </w:rPr>
        <w:t>严格执行</w:t>
      </w:r>
      <w:r>
        <w:rPr>
          <w:spacing w:val="15"/>
        </w:rPr>
        <w:t>阶梯式水价制度，并对企业、单位用水采取</w:t>
      </w:r>
      <w:r>
        <w:rPr>
          <w:rFonts w:hint="eastAsia"/>
          <w:spacing w:val="15"/>
        </w:rPr>
        <w:t>定额累计</w:t>
      </w:r>
      <w:r>
        <w:rPr>
          <w:spacing w:val="15"/>
        </w:rPr>
        <w:t>加</w:t>
      </w:r>
      <w:r>
        <w:rPr>
          <w:spacing w:val="16"/>
        </w:rPr>
        <w:t>价措施</w:t>
      </w:r>
      <w:r>
        <w:t>。</w:t>
      </w:r>
    </w:p>
    <w:p>
      <w:pPr>
        <w:pStyle w:val="5"/>
        <w:spacing w:before="120"/>
      </w:pPr>
      <w:bookmarkStart w:id="310" w:name="_Toc478634383"/>
      <w:bookmarkStart w:id="311" w:name="_Toc8032616"/>
      <w:r>
        <w:t>5.2.2.2</w:t>
      </w:r>
      <w:r>
        <w:rPr>
          <w:spacing w:val="-3"/>
        </w:rPr>
        <w:t xml:space="preserve"> </w:t>
      </w:r>
      <w:r>
        <w:t>技术考核指标</w:t>
      </w:r>
      <w:bookmarkEnd w:id="310"/>
      <w:bookmarkEnd w:id="311"/>
    </w:p>
    <w:p>
      <w:pPr>
        <w:spacing w:line="360" w:lineRule="auto"/>
        <w:ind w:firstLine="588"/>
      </w:pPr>
      <w:r>
        <w:rPr>
          <w:spacing w:val="14"/>
        </w:rPr>
        <w:t>1、综合节水</w:t>
      </w:r>
    </w:p>
    <w:p>
      <w:pPr>
        <w:spacing w:line="360" w:lineRule="auto"/>
        <w:ind w:firstLine="586"/>
        <w:rPr>
          <w:spacing w:val="13"/>
        </w:rPr>
      </w:pPr>
      <w:r>
        <w:rPr>
          <w:spacing w:val="13"/>
        </w:rPr>
        <w:t>（1）万元地区生产总值（GDP）用水量：</w:t>
      </w:r>
    </w:p>
    <w:p>
      <w:pPr>
        <w:spacing w:line="360" w:lineRule="auto"/>
        <w:ind w:firstLine="570"/>
      </w:pPr>
      <w:r>
        <w:rPr>
          <w:spacing w:val="5"/>
        </w:rPr>
        <w:t>201</w:t>
      </w:r>
      <w:r>
        <w:rPr>
          <w:rFonts w:hint="eastAsia"/>
          <w:spacing w:val="5"/>
        </w:rPr>
        <w:t>7</w:t>
      </w:r>
      <w:r>
        <w:rPr>
          <w:spacing w:val="16"/>
        </w:rPr>
        <w:t>年淮北市万</w:t>
      </w:r>
      <w:r>
        <w:rPr>
          <w:spacing w:val="19"/>
        </w:rPr>
        <w:t>元地</w:t>
      </w:r>
      <w:r>
        <w:rPr>
          <w:spacing w:val="16"/>
        </w:rPr>
        <w:t>区生产总</w:t>
      </w:r>
      <w:r>
        <w:rPr>
          <w:spacing w:val="-20"/>
        </w:rPr>
        <w:t>值</w:t>
      </w:r>
      <w:r>
        <w:rPr>
          <w:spacing w:val="16"/>
        </w:rPr>
        <w:t>（</w:t>
      </w:r>
      <w:r>
        <w:rPr>
          <w:spacing w:val="9"/>
        </w:rPr>
        <w:t>GD</w:t>
      </w:r>
      <w:r>
        <w:rPr>
          <w:spacing w:val="10"/>
        </w:rPr>
        <w:t>P</w:t>
      </w:r>
      <w:r>
        <w:rPr>
          <w:spacing w:val="-17"/>
        </w:rPr>
        <w:t>）</w:t>
      </w:r>
      <w:r>
        <w:rPr>
          <w:spacing w:val="16"/>
        </w:rPr>
        <w:t>用水量</w:t>
      </w:r>
      <w:r>
        <w:t>为</w:t>
      </w:r>
      <w:r>
        <w:rPr>
          <w:rFonts w:hint="eastAsia"/>
          <w:spacing w:val="6"/>
        </w:rPr>
        <w:t>13.81</w:t>
      </w:r>
      <w:r>
        <w:rPr>
          <w:spacing w:val="16"/>
        </w:rPr>
        <w:t>立</w:t>
      </w:r>
      <w:r>
        <w:rPr>
          <w:spacing w:val="19"/>
        </w:rPr>
        <w:t>方</w:t>
      </w:r>
      <w:r>
        <w:rPr>
          <w:spacing w:val="16"/>
        </w:rPr>
        <w:t>米</w:t>
      </w:r>
      <w:r>
        <w:rPr>
          <w:spacing w:val="10"/>
        </w:rPr>
        <w:t>/</w:t>
      </w:r>
      <w:r>
        <w:rPr>
          <w:spacing w:val="16"/>
        </w:rPr>
        <w:t>万元</w:t>
      </w:r>
      <w:r>
        <w:rPr>
          <w:spacing w:val="-20"/>
        </w:rPr>
        <w:t>，</w:t>
      </w:r>
      <w:r>
        <w:rPr>
          <w:spacing w:val="16"/>
        </w:rPr>
        <w:t>处在相对较</w:t>
      </w:r>
      <w:r>
        <w:rPr>
          <w:rFonts w:hint="eastAsia"/>
          <w:spacing w:val="16"/>
        </w:rPr>
        <w:t>低</w:t>
      </w:r>
      <w:r>
        <w:rPr>
          <w:spacing w:val="19"/>
        </w:rPr>
        <w:t>的水</w:t>
      </w:r>
      <w:r>
        <w:rPr>
          <w:spacing w:val="16"/>
        </w:rPr>
        <w:t>平上</w:t>
      </w:r>
      <w:r>
        <w:rPr>
          <w:spacing w:val="-10"/>
        </w:rPr>
        <w:t>，</w:t>
      </w:r>
      <w:r>
        <w:rPr>
          <w:spacing w:val="19"/>
        </w:rPr>
        <w:t>未</w:t>
      </w:r>
      <w:r>
        <w:rPr>
          <w:spacing w:val="16"/>
        </w:rPr>
        <w:t>来逐步降</w:t>
      </w:r>
      <w:r>
        <w:rPr>
          <w:spacing w:val="19"/>
        </w:rPr>
        <w:t>低</w:t>
      </w:r>
      <w:r>
        <w:rPr>
          <w:spacing w:val="-10"/>
        </w:rPr>
        <w:t>，</w:t>
      </w:r>
      <w:r>
        <w:rPr>
          <w:spacing w:val="16"/>
        </w:rPr>
        <w:t>规划</w:t>
      </w:r>
      <w:r>
        <w:rPr>
          <w:spacing w:val="19"/>
        </w:rPr>
        <w:t>城</w:t>
      </w:r>
      <w:r>
        <w:rPr>
          <w:spacing w:val="16"/>
        </w:rPr>
        <w:t>市万元地</w:t>
      </w:r>
      <w:r>
        <w:rPr>
          <w:spacing w:val="19"/>
        </w:rPr>
        <w:t>区</w:t>
      </w:r>
      <w:r>
        <w:rPr>
          <w:spacing w:val="16"/>
        </w:rPr>
        <w:t>生产总值用水</w:t>
      </w:r>
      <w:r>
        <w:rPr>
          <w:spacing w:val="19"/>
        </w:rPr>
        <w:t>量</w:t>
      </w:r>
      <w:r>
        <w:rPr>
          <w:spacing w:val="16"/>
        </w:rPr>
        <w:t>近</w:t>
      </w:r>
      <w:r>
        <w:rPr>
          <w:spacing w:val="12"/>
        </w:rPr>
        <w:t>期</w:t>
      </w:r>
      <w:r>
        <w:rPr>
          <w:spacing w:val="-39"/>
        </w:rPr>
        <w:t xml:space="preserve"> </w:t>
      </w:r>
      <w:r>
        <w:rPr>
          <w:spacing w:val="6"/>
        </w:rPr>
        <w:t>2020</w:t>
      </w:r>
      <w:r>
        <w:rPr>
          <w:spacing w:val="14"/>
        </w:rPr>
        <w:t xml:space="preserve"> </w:t>
      </w:r>
      <w:r>
        <w:rPr>
          <w:spacing w:val="12"/>
        </w:rPr>
        <w:t>年不大于</w:t>
      </w:r>
      <w:r>
        <w:rPr>
          <w:rFonts w:hint="eastAsia"/>
          <w:spacing w:val="3"/>
        </w:rPr>
        <w:t>12</w:t>
      </w:r>
      <w:r>
        <w:rPr>
          <w:spacing w:val="13"/>
        </w:rPr>
        <w:t>立方米/万元，远期</w:t>
      </w:r>
      <w:r>
        <w:rPr>
          <w:spacing w:val="-39"/>
        </w:rPr>
        <w:t xml:space="preserve"> </w:t>
      </w:r>
      <w:r>
        <w:rPr>
          <w:spacing w:val="6"/>
        </w:rPr>
        <w:t>2035</w:t>
      </w:r>
      <w:r>
        <w:rPr>
          <w:spacing w:val="14"/>
        </w:rPr>
        <w:t xml:space="preserve"> </w:t>
      </w:r>
      <w:r>
        <w:rPr>
          <w:spacing w:val="13"/>
        </w:rPr>
        <w:t>年目标值不大于</w:t>
      </w:r>
      <w:r>
        <w:rPr>
          <w:rFonts w:hint="eastAsia"/>
          <w:spacing w:val="3"/>
        </w:rPr>
        <w:t>10</w:t>
      </w:r>
      <w:r>
        <w:rPr>
          <w:spacing w:val="13"/>
        </w:rPr>
        <w:t>立方米/万元。</w:t>
      </w:r>
    </w:p>
    <w:p>
      <w:pPr>
        <w:spacing w:line="360" w:lineRule="auto"/>
        <w:ind w:firstLine="588"/>
        <w:rPr>
          <w:spacing w:val="14"/>
        </w:rPr>
      </w:pPr>
      <w:r>
        <w:rPr>
          <w:spacing w:val="14"/>
        </w:rPr>
        <w:t>（2）城市非常规水资源利用率：</w:t>
      </w:r>
    </w:p>
    <w:p>
      <w:pPr>
        <w:spacing w:line="360" w:lineRule="auto"/>
        <w:ind w:firstLine="590"/>
      </w:pPr>
      <w:r>
        <w:rPr>
          <w:spacing w:val="15"/>
        </w:rPr>
        <w:t>规划淮北市城市非常规水资源利用率近期</w:t>
      </w:r>
      <w:r>
        <w:rPr>
          <w:spacing w:val="4"/>
        </w:rPr>
        <w:t xml:space="preserve"> </w:t>
      </w:r>
      <w:r>
        <w:rPr>
          <w:spacing w:val="5"/>
        </w:rPr>
        <w:t>2020</w:t>
      </w:r>
      <w:r>
        <w:rPr>
          <w:spacing w:val="55"/>
        </w:rPr>
        <w:t xml:space="preserve"> </w:t>
      </w:r>
      <w:r>
        <w:rPr>
          <w:spacing w:val="12"/>
        </w:rPr>
        <w:t>年不低于</w:t>
      </w:r>
      <w:r>
        <w:rPr>
          <w:spacing w:val="9"/>
        </w:rPr>
        <w:t>20%，远期</w:t>
      </w:r>
      <w:r>
        <w:rPr>
          <w:spacing w:val="6"/>
        </w:rPr>
        <w:t>2035</w:t>
      </w:r>
      <w:r>
        <w:rPr>
          <w:spacing w:val="12"/>
        </w:rPr>
        <w:t>年不低于</w:t>
      </w:r>
      <w:r>
        <w:rPr>
          <w:spacing w:val="6"/>
        </w:rPr>
        <w:t>30%。</w:t>
      </w:r>
    </w:p>
    <w:p>
      <w:pPr>
        <w:spacing w:line="360" w:lineRule="auto"/>
        <w:ind w:firstLine="588"/>
        <w:rPr>
          <w:spacing w:val="14"/>
        </w:rPr>
      </w:pPr>
      <w:r>
        <w:rPr>
          <w:spacing w:val="14"/>
        </w:rPr>
        <w:t>（</w:t>
      </w:r>
      <w:r>
        <w:rPr>
          <w:rFonts w:hint="eastAsia"/>
          <w:spacing w:val="14"/>
        </w:rPr>
        <w:t>3</w:t>
      </w:r>
      <w:r>
        <w:rPr>
          <w:spacing w:val="14"/>
        </w:rPr>
        <w:t>）城市供水管网漏损率：</w:t>
      </w:r>
    </w:p>
    <w:p>
      <w:pPr>
        <w:spacing w:line="360" w:lineRule="auto"/>
        <w:ind w:firstLine="570"/>
        <w:rPr>
          <w:spacing w:val="14"/>
        </w:rPr>
      </w:pPr>
      <w:r>
        <w:rPr>
          <w:spacing w:val="5"/>
        </w:rPr>
        <w:t>201</w:t>
      </w:r>
      <w:r>
        <w:rPr>
          <w:rFonts w:hint="eastAsia"/>
          <w:spacing w:val="5"/>
        </w:rPr>
        <w:t>7</w:t>
      </w:r>
      <w:r>
        <w:rPr>
          <w:spacing w:val="15"/>
        </w:rPr>
        <w:t>年淮北市城市供水管网漏损率为</w:t>
      </w:r>
      <w:r>
        <w:rPr>
          <w:rFonts w:hint="eastAsia"/>
          <w:spacing w:val="14"/>
        </w:rPr>
        <w:t>11.41</w:t>
      </w:r>
      <w:r>
        <w:rPr>
          <w:spacing w:val="14"/>
        </w:rPr>
        <w:t>%，通过城区供水管网的改造工程，管网漏损率将逐步下降；规划城市供水管网漏损率近期2020年不大于1</w:t>
      </w:r>
      <w:r>
        <w:rPr>
          <w:rFonts w:hint="eastAsia"/>
          <w:spacing w:val="14"/>
        </w:rPr>
        <w:t>0</w:t>
      </w:r>
      <w:r>
        <w:rPr>
          <w:spacing w:val="14"/>
        </w:rPr>
        <w:t>%，远期203</w:t>
      </w:r>
      <w:r>
        <w:rPr>
          <w:rFonts w:hint="eastAsia"/>
          <w:spacing w:val="14"/>
        </w:rPr>
        <w:t>5</w:t>
      </w:r>
      <w:r>
        <w:rPr>
          <w:spacing w:val="14"/>
        </w:rPr>
        <w:t>年不大于8%。</w:t>
      </w:r>
    </w:p>
    <w:p>
      <w:pPr>
        <w:spacing w:line="360" w:lineRule="auto"/>
        <w:ind w:firstLine="588"/>
        <w:rPr>
          <w:spacing w:val="14"/>
        </w:rPr>
      </w:pPr>
      <w:bookmarkStart w:id="312" w:name="_Toc480311644"/>
      <w:bookmarkStart w:id="313" w:name="_Toc477942103"/>
      <w:bookmarkStart w:id="314" w:name="_Toc478634678"/>
      <w:bookmarkStart w:id="315" w:name="_Toc478634384"/>
      <w:r>
        <w:rPr>
          <w:spacing w:val="14"/>
        </w:rPr>
        <w:t>2、生活节水</w:t>
      </w:r>
      <w:bookmarkEnd w:id="312"/>
      <w:bookmarkEnd w:id="313"/>
      <w:bookmarkEnd w:id="314"/>
      <w:bookmarkEnd w:id="315"/>
    </w:p>
    <w:p>
      <w:pPr>
        <w:spacing w:line="360" w:lineRule="auto"/>
        <w:ind w:firstLine="560"/>
      </w:pPr>
      <w:r>
        <w:t>（1）节水型小区覆盖率：</w:t>
      </w:r>
    </w:p>
    <w:p>
      <w:pPr>
        <w:spacing w:line="360" w:lineRule="auto"/>
        <w:ind w:firstLine="560"/>
      </w:pPr>
      <w:r>
        <w:t>规划近期2020 年不低于</w:t>
      </w:r>
      <w:r>
        <w:rPr>
          <w:rFonts w:hint="eastAsia"/>
        </w:rPr>
        <w:t>10</w:t>
      </w:r>
      <w:r>
        <w:t>%，远期2035年不低于</w:t>
      </w:r>
      <w:r>
        <w:rPr>
          <w:rFonts w:hint="eastAsia"/>
        </w:rPr>
        <w:t>15</w:t>
      </w:r>
      <w:r>
        <w:t>%。</w:t>
      </w:r>
    </w:p>
    <w:p>
      <w:pPr>
        <w:spacing w:line="360" w:lineRule="auto"/>
        <w:ind w:firstLine="560"/>
      </w:pPr>
      <w:r>
        <w:t>（</w:t>
      </w:r>
      <w:r>
        <w:rPr>
          <w:rFonts w:hint="eastAsia"/>
        </w:rPr>
        <w:t>2</w:t>
      </w:r>
      <w:r>
        <w:t>）节水型</w:t>
      </w:r>
      <w:r>
        <w:rPr>
          <w:rFonts w:hint="eastAsia"/>
        </w:rPr>
        <w:t>单位</w:t>
      </w:r>
      <w:r>
        <w:t>覆盖率：</w:t>
      </w:r>
    </w:p>
    <w:p>
      <w:pPr>
        <w:spacing w:line="360" w:lineRule="auto"/>
        <w:ind w:firstLine="560"/>
      </w:pPr>
      <w:r>
        <w:t>规划近期2020 年不低于</w:t>
      </w:r>
      <w:r>
        <w:rPr>
          <w:rFonts w:hint="eastAsia"/>
        </w:rPr>
        <w:t>10</w:t>
      </w:r>
      <w:r>
        <w:t>%，远期2035年不低于</w:t>
      </w:r>
      <w:r>
        <w:rPr>
          <w:rFonts w:hint="eastAsia"/>
        </w:rPr>
        <w:t>15</w:t>
      </w:r>
      <w:r>
        <w:t>%。</w:t>
      </w:r>
    </w:p>
    <w:p>
      <w:pPr>
        <w:spacing w:line="360" w:lineRule="auto"/>
        <w:ind w:firstLine="560"/>
      </w:pPr>
      <w:r>
        <w:t>（</w:t>
      </w:r>
      <w:r>
        <w:rPr>
          <w:rFonts w:hint="eastAsia"/>
        </w:rPr>
        <w:t>3</w:t>
      </w:r>
      <w:r>
        <w:t>）城市居民生活用水量：</w:t>
      </w:r>
    </w:p>
    <w:p>
      <w:pPr>
        <w:spacing w:line="360" w:lineRule="auto"/>
        <w:ind w:firstLine="560"/>
      </w:pPr>
      <w:r>
        <w:t>201</w:t>
      </w:r>
      <w:r>
        <w:rPr>
          <w:rFonts w:hint="eastAsia"/>
        </w:rPr>
        <w:t>7</w:t>
      </w:r>
      <w:r>
        <w:t>年淮北市城市平均日居民生活用水量为</w:t>
      </w:r>
      <w:r>
        <w:rPr>
          <w:rFonts w:hint="eastAsia"/>
        </w:rPr>
        <w:t>101.11</w:t>
      </w:r>
      <w:r>
        <w:t>升/人.日；随着居民生活水平的提高会有所提高，指标将逐步提高，但通过控制到近期 2020年控制在 1</w:t>
      </w:r>
      <w:r>
        <w:rPr>
          <w:rFonts w:hint="eastAsia"/>
        </w:rPr>
        <w:t>1</w:t>
      </w:r>
      <w:r>
        <w:t>0 升/人*日以内，远期控制在 1</w:t>
      </w:r>
      <w:r>
        <w:rPr>
          <w:rFonts w:hint="eastAsia"/>
        </w:rPr>
        <w:t>4</w:t>
      </w:r>
      <w:r>
        <w:t>0升/人*日以内。</w:t>
      </w:r>
    </w:p>
    <w:p>
      <w:pPr>
        <w:spacing w:line="360" w:lineRule="auto"/>
        <w:ind w:firstLine="560"/>
      </w:pPr>
      <w:r>
        <w:t>（</w:t>
      </w:r>
      <w:r>
        <w:rPr>
          <w:rFonts w:hint="eastAsia"/>
        </w:rPr>
        <w:t>4</w:t>
      </w:r>
      <w:r>
        <w:t>）节水器具普及率：</w:t>
      </w:r>
    </w:p>
    <w:p>
      <w:pPr>
        <w:spacing w:line="360" w:lineRule="auto"/>
        <w:ind w:firstLine="560"/>
      </w:pPr>
      <w:r>
        <w:t>目前淮北市城区节水器具普及率</w:t>
      </w:r>
      <w:r>
        <w:rPr>
          <w:rFonts w:hint="eastAsia"/>
        </w:rPr>
        <w:t>较高</w:t>
      </w:r>
      <w:r>
        <w:t>，规划近、远期节水器具普及率继续保持在 100%。</w:t>
      </w:r>
    </w:p>
    <w:p>
      <w:pPr>
        <w:spacing w:line="360" w:lineRule="auto"/>
        <w:ind w:firstLine="560"/>
      </w:pPr>
      <w:r>
        <w:t>（</w:t>
      </w:r>
      <w:r>
        <w:rPr>
          <w:rFonts w:hint="eastAsia"/>
        </w:rPr>
        <w:t>5</w:t>
      </w:r>
      <w:r>
        <w:t>）特种行业（洗浴、洗车等）用水计量收费率：</w:t>
      </w:r>
    </w:p>
    <w:p>
      <w:pPr>
        <w:spacing w:line="360" w:lineRule="auto"/>
        <w:ind w:firstLine="560"/>
      </w:pPr>
      <w:r>
        <w:t xml:space="preserve">目前淮北市特种行业（洗浴、洗车等）用水计量收费率达 100%，规划近、远期继续保持在 100%。 </w:t>
      </w:r>
    </w:p>
    <w:p>
      <w:pPr>
        <w:spacing w:line="360" w:lineRule="auto"/>
        <w:ind w:firstLine="560"/>
      </w:pPr>
      <w:r>
        <w:t>3、工业节水</w:t>
      </w:r>
    </w:p>
    <w:p>
      <w:pPr>
        <w:spacing w:line="360" w:lineRule="auto"/>
        <w:ind w:firstLine="560"/>
      </w:pPr>
      <w:r>
        <w:t>（1）万元工业增加值用水量：</w:t>
      </w:r>
    </w:p>
    <w:p>
      <w:pPr>
        <w:spacing w:line="360" w:lineRule="auto"/>
        <w:ind w:firstLine="560"/>
      </w:pPr>
      <w:r>
        <w:t>201</w:t>
      </w:r>
      <w:r>
        <w:rPr>
          <w:rFonts w:hint="eastAsia"/>
        </w:rPr>
        <w:t>7</w:t>
      </w:r>
      <w:r>
        <w:t xml:space="preserve"> 年淮北市城市万元工业增加值用水量为</w:t>
      </w:r>
      <w:r>
        <w:rPr>
          <w:rFonts w:hint="eastAsia"/>
        </w:rPr>
        <w:t>12.29</w:t>
      </w:r>
      <w:r>
        <w:t>立方米/万元，处在较低的水平上，规划城市万元工业增加值用水量近期不大于</w:t>
      </w:r>
      <w:r>
        <w:rPr>
          <w:rFonts w:hint="eastAsia"/>
        </w:rPr>
        <w:t>12</w:t>
      </w:r>
      <w:r>
        <w:t xml:space="preserve"> 立方米/万元</w:t>
      </w:r>
      <w:r>
        <w:rPr>
          <w:rFonts w:hint="eastAsia"/>
        </w:rPr>
        <w:t>，远</w:t>
      </w:r>
      <w:r>
        <w:t>期不大于</w:t>
      </w:r>
      <w:r>
        <w:rPr>
          <w:rFonts w:hint="eastAsia"/>
        </w:rPr>
        <w:t>10</w:t>
      </w:r>
      <w:r>
        <w:t xml:space="preserve"> 立方米/万元。</w:t>
      </w:r>
    </w:p>
    <w:p>
      <w:pPr>
        <w:spacing w:line="360" w:lineRule="auto"/>
        <w:ind w:firstLine="560"/>
      </w:pPr>
      <w:r>
        <w:t>（2）工业用水重复利用率：</w:t>
      </w:r>
    </w:p>
    <w:p>
      <w:pPr>
        <w:spacing w:line="360" w:lineRule="auto"/>
        <w:ind w:firstLine="560"/>
      </w:pPr>
      <w:r>
        <w:t>201</w:t>
      </w:r>
      <w:r>
        <w:rPr>
          <w:rFonts w:hint="eastAsia"/>
        </w:rPr>
        <w:t>7</w:t>
      </w:r>
      <w:r>
        <w:t>年淮北市工业用水重复利用率为</w:t>
      </w:r>
      <w:r>
        <w:rPr>
          <w:rFonts w:hint="eastAsia"/>
        </w:rPr>
        <w:t>83.97</w:t>
      </w:r>
      <w:r>
        <w:t>%，未来随着工业节水水平的逐步提高，规划城市工业用水重复利用率近期 2020年不低于</w:t>
      </w:r>
      <w:r>
        <w:rPr>
          <w:rFonts w:hint="eastAsia"/>
        </w:rPr>
        <w:t>85</w:t>
      </w:r>
      <w:r>
        <w:t>%，远期2035 年目标值不低于</w:t>
      </w:r>
      <w:r>
        <w:rPr>
          <w:rFonts w:hint="eastAsia"/>
        </w:rPr>
        <w:t>88</w:t>
      </w:r>
      <w:r>
        <w:t>%。</w:t>
      </w:r>
    </w:p>
    <w:p>
      <w:pPr>
        <w:spacing w:line="360" w:lineRule="auto"/>
        <w:ind w:firstLine="560"/>
      </w:pPr>
      <w:r>
        <w:t>（3）</w:t>
      </w:r>
      <w:r>
        <w:rPr>
          <w:rFonts w:hint="eastAsia"/>
        </w:rPr>
        <w:t>工业企业单位产品用水量</w:t>
      </w:r>
      <w:r>
        <w:t>：</w:t>
      </w:r>
    </w:p>
    <w:p>
      <w:pPr>
        <w:spacing w:line="360" w:lineRule="auto"/>
        <w:ind w:firstLine="560"/>
      </w:pPr>
      <w:r>
        <w:t>目前</w:t>
      </w:r>
      <w:r>
        <w:rPr>
          <w:rFonts w:hint="eastAsia"/>
        </w:rPr>
        <w:t>淮北</w:t>
      </w:r>
      <w:r>
        <w:t>市耗水工业大部分小于《取水定额》（GB/T 18916.1-16）系列定额和《安徽省行业用水定额》标准值，未来采取针对性的措施降低单位产品取水量，规划近、远期</w:t>
      </w:r>
      <w:r>
        <w:rPr>
          <w:rFonts w:hint="eastAsia"/>
        </w:rPr>
        <w:t>淮北</w:t>
      </w:r>
      <w:r>
        <w:t>市工业取水定额小于《安徽省行业用水定额》要求。</w:t>
      </w:r>
    </w:p>
    <w:p>
      <w:pPr>
        <w:spacing w:line="360" w:lineRule="auto"/>
        <w:ind w:firstLine="560"/>
      </w:pPr>
      <w:r>
        <w:t>（4）节水型企业覆盖率：</w:t>
      </w:r>
    </w:p>
    <w:p>
      <w:pPr>
        <w:spacing w:line="360" w:lineRule="auto"/>
        <w:ind w:firstLine="560"/>
      </w:pPr>
      <w:r>
        <w:t>规划淮北市节水型企业覆盖率近期2020 年不低于</w:t>
      </w:r>
      <w:r>
        <w:rPr>
          <w:rFonts w:hint="eastAsia"/>
        </w:rPr>
        <w:t>15</w:t>
      </w:r>
      <w:r>
        <w:t>%，远期 2035 年不低于 25%。</w:t>
      </w:r>
    </w:p>
    <w:p>
      <w:pPr>
        <w:spacing w:line="360" w:lineRule="auto"/>
        <w:ind w:firstLine="560"/>
      </w:pPr>
      <w:r>
        <w:rPr>
          <w:rFonts w:hint="eastAsia"/>
        </w:rPr>
        <w:t>4、环境生态节水</w:t>
      </w:r>
    </w:p>
    <w:p>
      <w:pPr>
        <w:spacing w:line="360" w:lineRule="auto"/>
        <w:ind w:firstLine="560"/>
      </w:pPr>
      <w:r>
        <w:rPr>
          <w:rFonts w:hint="eastAsia"/>
        </w:rPr>
        <w:t>目前淮北市建成区范围内黑臭水体整治工作已实现阶段性目标，城市水环境质量达标率为100%，城市集中式饮用水水源水质达到国家标准，</w:t>
      </w:r>
      <w:r>
        <w:t>规划近、远期</w:t>
      </w:r>
      <w:r>
        <w:rPr>
          <w:rFonts w:hint="eastAsia"/>
        </w:rPr>
        <w:t>城市水环境质量达标</w:t>
      </w:r>
      <w:r>
        <w:t>率继续保持在 100%。</w:t>
      </w:r>
    </w:p>
    <w:p>
      <w:pPr>
        <w:pStyle w:val="16"/>
        <w:kinsoku w:val="0"/>
        <w:overflowPunct w:val="0"/>
        <w:spacing w:before="154" w:line="360" w:lineRule="auto"/>
        <w:ind w:firstLine="641" w:firstLineChars="266"/>
        <w:jc w:val="center"/>
        <w:rPr>
          <w:rFonts w:cs="Times New Roman"/>
          <w:b/>
          <w:spacing w:val="15"/>
          <w:sz w:val="24"/>
        </w:rPr>
      </w:pPr>
      <w:r>
        <w:rPr>
          <w:rFonts w:cs="Times New Roman"/>
          <w:b/>
          <w:sz w:val="24"/>
        </w:rPr>
        <w:t>表</w:t>
      </w:r>
      <w:r>
        <w:rPr>
          <w:rFonts w:cs="Times New Roman"/>
          <w:b/>
          <w:spacing w:val="-39"/>
          <w:sz w:val="24"/>
        </w:rPr>
        <w:t>5</w:t>
      </w:r>
      <w:r>
        <w:rPr>
          <w:rFonts w:cs="Times New Roman"/>
          <w:b/>
          <w:spacing w:val="5"/>
          <w:sz w:val="24"/>
        </w:rPr>
        <w:t>-1</w:t>
      </w:r>
      <w:r>
        <w:rPr>
          <w:rFonts w:cs="Times New Roman"/>
          <w:b/>
          <w:sz w:val="24"/>
        </w:rPr>
        <w:t xml:space="preserve"> </w:t>
      </w:r>
      <w:r>
        <w:rPr>
          <w:rFonts w:cs="Times New Roman"/>
          <w:b/>
          <w:spacing w:val="19"/>
          <w:sz w:val="24"/>
        </w:rPr>
        <w:t xml:space="preserve"> </w:t>
      </w:r>
      <w:r>
        <w:rPr>
          <w:rFonts w:cs="Times New Roman"/>
          <w:b/>
          <w:spacing w:val="15"/>
          <w:sz w:val="24"/>
        </w:rPr>
        <w:t>淮北市节约用水技术考核指标规划目标值</w:t>
      </w:r>
      <w:r>
        <w:rPr>
          <w:rFonts w:hint="eastAsia" w:cs="Times New Roman"/>
          <w:b/>
          <w:spacing w:val="15"/>
          <w:sz w:val="24"/>
        </w:rPr>
        <w:t>（基准年2017）</w:t>
      </w:r>
    </w:p>
    <w:tbl>
      <w:tblPr>
        <w:tblStyle w:val="39"/>
        <w:tblW w:w="10080" w:type="dxa"/>
        <w:tblInd w:w="0" w:type="dxa"/>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534"/>
        <w:gridCol w:w="4836"/>
        <w:gridCol w:w="1738"/>
        <w:gridCol w:w="798"/>
        <w:gridCol w:w="1081"/>
        <w:gridCol w:w="1093"/>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75" w:hRule="exact"/>
        </w:trPr>
        <w:tc>
          <w:tcPr>
            <w:tcW w:w="534" w:type="dxa"/>
            <w:vAlign w:val="center"/>
          </w:tcPr>
          <w:p>
            <w:pPr>
              <w:spacing w:line="276" w:lineRule="auto"/>
              <w:ind w:firstLine="0" w:firstLineChars="0"/>
              <w:jc w:val="center"/>
              <w:rPr>
                <w:sz w:val="21"/>
                <w:szCs w:val="21"/>
              </w:rPr>
            </w:pPr>
            <w:r>
              <w:rPr>
                <w:sz w:val="21"/>
                <w:szCs w:val="21"/>
              </w:rPr>
              <w:t>序号</w:t>
            </w:r>
          </w:p>
        </w:tc>
        <w:tc>
          <w:tcPr>
            <w:tcW w:w="4836" w:type="dxa"/>
            <w:vAlign w:val="center"/>
          </w:tcPr>
          <w:p>
            <w:pPr>
              <w:spacing w:line="276" w:lineRule="auto"/>
              <w:ind w:firstLine="0" w:firstLineChars="0"/>
              <w:jc w:val="center"/>
              <w:rPr>
                <w:sz w:val="21"/>
                <w:szCs w:val="21"/>
              </w:rPr>
            </w:pPr>
            <w:r>
              <w:rPr>
                <w:sz w:val="21"/>
                <w:szCs w:val="21"/>
              </w:rPr>
              <w:t>指标名称</w:t>
            </w:r>
          </w:p>
        </w:tc>
        <w:tc>
          <w:tcPr>
            <w:tcW w:w="1738" w:type="dxa"/>
            <w:vAlign w:val="center"/>
          </w:tcPr>
          <w:p>
            <w:pPr>
              <w:spacing w:line="276" w:lineRule="auto"/>
              <w:ind w:firstLine="0" w:firstLineChars="0"/>
              <w:jc w:val="center"/>
              <w:rPr>
                <w:sz w:val="21"/>
                <w:szCs w:val="21"/>
              </w:rPr>
            </w:pPr>
            <w:r>
              <w:rPr>
                <w:sz w:val="21"/>
                <w:szCs w:val="21"/>
              </w:rPr>
              <w:t>单位</w:t>
            </w:r>
          </w:p>
        </w:tc>
        <w:tc>
          <w:tcPr>
            <w:tcW w:w="798" w:type="dxa"/>
            <w:vAlign w:val="center"/>
          </w:tcPr>
          <w:p>
            <w:pPr>
              <w:spacing w:line="276" w:lineRule="auto"/>
              <w:ind w:firstLine="0" w:firstLineChars="0"/>
              <w:jc w:val="center"/>
              <w:rPr>
                <w:sz w:val="21"/>
                <w:szCs w:val="21"/>
              </w:rPr>
            </w:pPr>
            <w:r>
              <w:rPr>
                <w:rFonts w:hint="eastAsia"/>
                <w:sz w:val="21"/>
                <w:szCs w:val="21"/>
              </w:rPr>
              <w:t>现状</w:t>
            </w:r>
          </w:p>
        </w:tc>
        <w:tc>
          <w:tcPr>
            <w:tcW w:w="1081" w:type="dxa"/>
            <w:vAlign w:val="center"/>
          </w:tcPr>
          <w:p>
            <w:pPr>
              <w:spacing w:line="276" w:lineRule="auto"/>
              <w:ind w:firstLine="0" w:firstLineChars="0"/>
              <w:jc w:val="center"/>
              <w:rPr>
                <w:sz w:val="21"/>
                <w:szCs w:val="21"/>
              </w:rPr>
            </w:pPr>
            <w:r>
              <w:rPr>
                <w:sz w:val="21"/>
                <w:szCs w:val="21"/>
              </w:rPr>
              <w:t>2020 年</w:t>
            </w:r>
          </w:p>
        </w:tc>
        <w:tc>
          <w:tcPr>
            <w:tcW w:w="1093" w:type="dxa"/>
            <w:vAlign w:val="center"/>
          </w:tcPr>
          <w:p>
            <w:pPr>
              <w:spacing w:line="276" w:lineRule="auto"/>
              <w:ind w:firstLine="0" w:firstLineChars="0"/>
              <w:jc w:val="center"/>
              <w:rPr>
                <w:sz w:val="21"/>
                <w:szCs w:val="21"/>
              </w:rPr>
            </w:pPr>
            <w:r>
              <w:rPr>
                <w:sz w:val="21"/>
                <w:szCs w:val="21"/>
              </w:rPr>
              <w:t>2035 年</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0" w:hRule="exact"/>
        </w:trPr>
        <w:tc>
          <w:tcPr>
            <w:tcW w:w="534" w:type="dxa"/>
            <w:vAlign w:val="center"/>
          </w:tcPr>
          <w:p>
            <w:pPr>
              <w:spacing w:line="276" w:lineRule="auto"/>
              <w:ind w:firstLine="0" w:firstLineChars="0"/>
              <w:jc w:val="center"/>
              <w:rPr>
                <w:sz w:val="21"/>
                <w:szCs w:val="21"/>
              </w:rPr>
            </w:pPr>
            <w:r>
              <w:rPr>
                <w:sz w:val="21"/>
                <w:szCs w:val="21"/>
              </w:rPr>
              <w:t>1</w:t>
            </w:r>
          </w:p>
        </w:tc>
        <w:tc>
          <w:tcPr>
            <w:tcW w:w="4836" w:type="dxa"/>
            <w:vAlign w:val="center"/>
          </w:tcPr>
          <w:p>
            <w:pPr>
              <w:spacing w:line="276" w:lineRule="auto"/>
              <w:ind w:firstLine="0" w:firstLineChars="0"/>
              <w:jc w:val="center"/>
              <w:rPr>
                <w:sz w:val="21"/>
                <w:szCs w:val="21"/>
              </w:rPr>
            </w:pPr>
            <w:r>
              <w:rPr>
                <w:sz w:val="21"/>
                <w:szCs w:val="21"/>
              </w:rPr>
              <w:t>万元地区生产总值用水量</w:t>
            </w:r>
          </w:p>
        </w:tc>
        <w:tc>
          <w:tcPr>
            <w:tcW w:w="1738" w:type="dxa"/>
            <w:vAlign w:val="center"/>
          </w:tcPr>
          <w:p>
            <w:pPr>
              <w:spacing w:line="276" w:lineRule="auto"/>
              <w:ind w:firstLine="0" w:firstLineChars="0"/>
              <w:jc w:val="center"/>
              <w:rPr>
                <w:sz w:val="21"/>
                <w:szCs w:val="21"/>
              </w:rPr>
            </w:pPr>
            <w:r>
              <w:rPr>
                <w:sz w:val="21"/>
                <w:szCs w:val="21"/>
              </w:rPr>
              <w:t>立方米/万元</w:t>
            </w:r>
          </w:p>
        </w:tc>
        <w:tc>
          <w:tcPr>
            <w:tcW w:w="798" w:type="dxa"/>
            <w:vAlign w:val="center"/>
          </w:tcPr>
          <w:p>
            <w:pPr>
              <w:spacing w:line="276" w:lineRule="auto"/>
              <w:ind w:firstLine="0" w:firstLineChars="0"/>
              <w:jc w:val="center"/>
              <w:rPr>
                <w:sz w:val="21"/>
                <w:szCs w:val="21"/>
              </w:rPr>
            </w:pPr>
            <w:r>
              <w:rPr>
                <w:rFonts w:hint="eastAsia"/>
                <w:sz w:val="21"/>
                <w:szCs w:val="21"/>
              </w:rPr>
              <w:t>13.81</w:t>
            </w:r>
          </w:p>
        </w:tc>
        <w:tc>
          <w:tcPr>
            <w:tcW w:w="1081" w:type="dxa"/>
            <w:vAlign w:val="center"/>
          </w:tcPr>
          <w:p>
            <w:pPr>
              <w:spacing w:line="276" w:lineRule="auto"/>
              <w:ind w:firstLine="0" w:firstLineChars="0"/>
              <w:jc w:val="center"/>
              <w:rPr>
                <w:sz w:val="21"/>
                <w:szCs w:val="21"/>
              </w:rPr>
            </w:pPr>
            <w:r>
              <w:rPr>
                <w:sz w:val="21"/>
                <w:szCs w:val="21"/>
              </w:rPr>
              <w:t>≤</w:t>
            </w:r>
            <w:r>
              <w:rPr>
                <w:rFonts w:hint="eastAsia"/>
                <w:sz w:val="21"/>
                <w:szCs w:val="21"/>
              </w:rPr>
              <w:t>12</w:t>
            </w:r>
          </w:p>
        </w:tc>
        <w:tc>
          <w:tcPr>
            <w:tcW w:w="1093" w:type="dxa"/>
            <w:vAlign w:val="center"/>
          </w:tcPr>
          <w:p>
            <w:pPr>
              <w:spacing w:line="276" w:lineRule="auto"/>
              <w:ind w:firstLine="0" w:firstLineChars="0"/>
              <w:jc w:val="center"/>
              <w:rPr>
                <w:sz w:val="21"/>
                <w:szCs w:val="21"/>
              </w:rPr>
            </w:pPr>
            <w:r>
              <w:rPr>
                <w:sz w:val="21"/>
                <w:szCs w:val="21"/>
              </w:rPr>
              <w:t>≤</w:t>
            </w:r>
            <w:r>
              <w:rPr>
                <w:rFonts w:hint="eastAsia"/>
                <w:sz w:val="21"/>
                <w:szCs w:val="21"/>
              </w:rPr>
              <w:t>10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trPr>
        <w:tc>
          <w:tcPr>
            <w:tcW w:w="534" w:type="dxa"/>
            <w:vAlign w:val="center"/>
          </w:tcPr>
          <w:p>
            <w:pPr>
              <w:spacing w:line="276" w:lineRule="auto"/>
              <w:ind w:firstLine="0" w:firstLineChars="0"/>
              <w:jc w:val="center"/>
              <w:rPr>
                <w:sz w:val="21"/>
                <w:szCs w:val="21"/>
              </w:rPr>
            </w:pPr>
            <w:r>
              <w:rPr>
                <w:sz w:val="21"/>
                <w:szCs w:val="21"/>
              </w:rPr>
              <w:t>2</w:t>
            </w:r>
          </w:p>
        </w:tc>
        <w:tc>
          <w:tcPr>
            <w:tcW w:w="4836" w:type="dxa"/>
            <w:vAlign w:val="center"/>
          </w:tcPr>
          <w:p>
            <w:pPr>
              <w:spacing w:line="276" w:lineRule="auto"/>
              <w:ind w:firstLine="0" w:firstLineChars="0"/>
              <w:jc w:val="center"/>
              <w:rPr>
                <w:sz w:val="21"/>
                <w:szCs w:val="21"/>
              </w:rPr>
            </w:pPr>
            <w:r>
              <w:rPr>
                <w:sz w:val="21"/>
                <w:szCs w:val="21"/>
              </w:rPr>
              <w:t>城市非常规水资源利用率</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r>
              <w:rPr>
                <w:rFonts w:hint="eastAsia"/>
                <w:sz w:val="21"/>
                <w:szCs w:val="21"/>
              </w:rPr>
              <w:t>---</w:t>
            </w:r>
          </w:p>
        </w:tc>
        <w:tc>
          <w:tcPr>
            <w:tcW w:w="1081" w:type="dxa"/>
            <w:vAlign w:val="center"/>
          </w:tcPr>
          <w:p>
            <w:pPr>
              <w:spacing w:line="276" w:lineRule="auto"/>
              <w:ind w:firstLine="0" w:firstLineChars="0"/>
              <w:jc w:val="center"/>
              <w:rPr>
                <w:sz w:val="21"/>
                <w:szCs w:val="21"/>
              </w:rPr>
            </w:pPr>
            <w:r>
              <w:rPr>
                <w:sz w:val="21"/>
                <w:szCs w:val="21"/>
              </w:rPr>
              <w:t>≥</w:t>
            </w:r>
            <w:r>
              <w:rPr>
                <w:rFonts w:hint="eastAsia"/>
                <w:sz w:val="21"/>
                <w:szCs w:val="21"/>
              </w:rPr>
              <w:t>50</w:t>
            </w:r>
          </w:p>
        </w:tc>
        <w:tc>
          <w:tcPr>
            <w:tcW w:w="1093" w:type="dxa"/>
            <w:vAlign w:val="center"/>
          </w:tcPr>
          <w:p>
            <w:pPr>
              <w:spacing w:line="276" w:lineRule="auto"/>
              <w:ind w:firstLine="0" w:firstLineChars="0"/>
              <w:jc w:val="center"/>
              <w:rPr>
                <w:sz w:val="21"/>
                <w:szCs w:val="21"/>
              </w:rPr>
            </w:pPr>
            <w:r>
              <w:rPr>
                <w:sz w:val="21"/>
                <w:szCs w:val="21"/>
              </w:rPr>
              <w:t>≥</w:t>
            </w:r>
            <w:r>
              <w:rPr>
                <w:rFonts w:hint="eastAsia"/>
                <w:sz w:val="21"/>
                <w:szCs w:val="21"/>
              </w:rPr>
              <w:t>50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trPr>
        <w:tc>
          <w:tcPr>
            <w:tcW w:w="534" w:type="dxa"/>
            <w:vAlign w:val="center"/>
          </w:tcPr>
          <w:p>
            <w:pPr>
              <w:spacing w:line="276" w:lineRule="auto"/>
              <w:ind w:firstLine="0" w:firstLineChars="0"/>
              <w:jc w:val="center"/>
              <w:rPr>
                <w:sz w:val="21"/>
                <w:szCs w:val="21"/>
              </w:rPr>
            </w:pPr>
            <w:r>
              <w:rPr>
                <w:sz w:val="21"/>
                <w:szCs w:val="21"/>
              </w:rPr>
              <w:t>3</w:t>
            </w:r>
          </w:p>
        </w:tc>
        <w:tc>
          <w:tcPr>
            <w:tcW w:w="4836" w:type="dxa"/>
            <w:vAlign w:val="center"/>
          </w:tcPr>
          <w:p>
            <w:pPr>
              <w:spacing w:line="276" w:lineRule="auto"/>
              <w:ind w:firstLine="0" w:firstLineChars="0"/>
              <w:jc w:val="center"/>
              <w:rPr>
                <w:sz w:val="21"/>
                <w:szCs w:val="21"/>
              </w:rPr>
            </w:pPr>
            <w:r>
              <w:rPr>
                <w:sz w:val="21"/>
                <w:szCs w:val="21"/>
              </w:rPr>
              <w:t>城市供水管网漏失率</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r>
              <w:rPr>
                <w:rFonts w:hint="eastAsia"/>
                <w:sz w:val="21"/>
                <w:szCs w:val="21"/>
              </w:rPr>
              <w:t>11.41</w:t>
            </w:r>
          </w:p>
        </w:tc>
        <w:tc>
          <w:tcPr>
            <w:tcW w:w="1081" w:type="dxa"/>
            <w:vAlign w:val="center"/>
          </w:tcPr>
          <w:p>
            <w:pPr>
              <w:spacing w:line="276" w:lineRule="auto"/>
              <w:ind w:firstLine="0" w:firstLineChars="0"/>
              <w:jc w:val="center"/>
              <w:rPr>
                <w:sz w:val="21"/>
                <w:szCs w:val="21"/>
              </w:rPr>
            </w:pPr>
            <w:r>
              <w:rPr>
                <w:sz w:val="21"/>
                <w:szCs w:val="21"/>
              </w:rPr>
              <w:t>≤</w:t>
            </w:r>
            <w:r>
              <w:rPr>
                <w:rFonts w:hint="eastAsia"/>
                <w:sz w:val="21"/>
                <w:szCs w:val="21"/>
              </w:rPr>
              <w:t>10</w:t>
            </w:r>
          </w:p>
        </w:tc>
        <w:tc>
          <w:tcPr>
            <w:tcW w:w="1093" w:type="dxa"/>
            <w:vAlign w:val="center"/>
          </w:tcPr>
          <w:p>
            <w:pPr>
              <w:spacing w:line="276" w:lineRule="auto"/>
              <w:ind w:firstLine="0" w:firstLineChars="0"/>
              <w:jc w:val="center"/>
              <w:rPr>
                <w:sz w:val="21"/>
                <w:szCs w:val="21"/>
              </w:rPr>
            </w:pPr>
            <w:r>
              <w:rPr>
                <w:sz w:val="21"/>
                <w:szCs w:val="21"/>
              </w:rPr>
              <w:t>≤8</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trPr>
        <w:tc>
          <w:tcPr>
            <w:tcW w:w="534" w:type="dxa"/>
            <w:vAlign w:val="center"/>
          </w:tcPr>
          <w:p>
            <w:pPr>
              <w:spacing w:line="276" w:lineRule="auto"/>
              <w:ind w:firstLine="0" w:firstLineChars="0"/>
              <w:jc w:val="center"/>
              <w:rPr>
                <w:sz w:val="21"/>
                <w:szCs w:val="21"/>
              </w:rPr>
            </w:pPr>
            <w:r>
              <w:rPr>
                <w:sz w:val="21"/>
                <w:szCs w:val="21"/>
              </w:rPr>
              <w:t>4</w:t>
            </w:r>
          </w:p>
        </w:tc>
        <w:tc>
          <w:tcPr>
            <w:tcW w:w="4836" w:type="dxa"/>
            <w:vAlign w:val="center"/>
          </w:tcPr>
          <w:p>
            <w:pPr>
              <w:spacing w:line="276" w:lineRule="auto"/>
              <w:ind w:firstLine="0" w:firstLineChars="0"/>
              <w:jc w:val="center"/>
              <w:rPr>
                <w:sz w:val="21"/>
                <w:szCs w:val="21"/>
              </w:rPr>
            </w:pPr>
            <w:r>
              <w:rPr>
                <w:rFonts w:hint="eastAsia"/>
                <w:sz w:val="21"/>
                <w:szCs w:val="21"/>
              </w:rPr>
              <w:t>节水型居民小区覆盖率</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p>
        </w:tc>
        <w:tc>
          <w:tcPr>
            <w:tcW w:w="1081" w:type="dxa"/>
            <w:vAlign w:val="center"/>
          </w:tcPr>
          <w:p>
            <w:pPr>
              <w:spacing w:line="276" w:lineRule="auto"/>
              <w:ind w:firstLine="0" w:firstLineChars="0"/>
              <w:jc w:val="center"/>
              <w:rPr>
                <w:sz w:val="21"/>
                <w:szCs w:val="21"/>
              </w:rPr>
            </w:pPr>
            <w:r>
              <w:rPr>
                <w:sz w:val="21"/>
                <w:szCs w:val="21"/>
              </w:rPr>
              <w:t>≥</w:t>
            </w:r>
            <w:r>
              <w:rPr>
                <w:rFonts w:hint="eastAsia"/>
                <w:sz w:val="21"/>
                <w:szCs w:val="21"/>
              </w:rPr>
              <w:t>10</w:t>
            </w:r>
          </w:p>
        </w:tc>
        <w:tc>
          <w:tcPr>
            <w:tcW w:w="1093" w:type="dxa"/>
            <w:vAlign w:val="center"/>
          </w:tcPr>
          <w:p>
            <w:pPr>
              <w:spacing w:line="276" w:lineRule="auto"/>
              <w:ind w:firstLine="0" w:firstLineChars="0"/>
              <w:jc w:val="center"/>
              <w:rPr>
                <w:sz w:val="21"/>
                <w:szCs w:val="21"/>
              </w:rPr>
            </w:pPr>
            <w:r>
              <w:rPr>
                <w:sz w:val="21"/>
                <w:szCs w:val="21"/>
              </w:rPr>
              <w:t>≥</w:t>
            </w:r>
            <w:r>
              <w:rPr>
                <w:rFonts w:hint="eastAsia"/>
                <w:sz w:val="21"/>
                <w:szCs w:val="21"/>
              </w:rPr>
              <w:t>15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trPr>
        <w:tc>
          <w:tcPr>
            <w:tcW w:w="534" w:type="dxa"/>
            <w:vAlign w:val="center"/>
          </w:tcPr>
          <w:p>
            <w:pPr>
              <w:spacing w:line="276" w:lineRule="auto"/>
              <w:ind w:firstLine="0" w:firstLineChars="0"/>
              <w:jc w:val="center"/>
              <w:rPr>
                <w:sz w:val="21"/>
                <w:szCs w:val="21"/>
              </w:rPr>
            </w:pPr>
            <w:r>
              <w:rPr>
                <w:sz w:val="21"/>
                <w:szCs w:val="21"/>
              </w:rPr>
              <w:t>5</w:t>
            </w:r>
          </w:p>
        </w:tc>
        <w:tc>
          <w:tcPr>
            <w:tcW w:w="4836" w:type="dxa"/>
            <w:vAlign w:val="center"/>
          </w:tcPr>
          <w:p>
            <w:pPr>
              <w:spacing w:line="276" w:lineRule="auto"/>
              <w:ind w:firstLine="0" w:firstLineChars="0"/>
              <w:jc w:val="center"/>
              <w:rPr>
                <w:sz w:val="21"/>
                <w:szCs w:val="21"/>
              </w:rPr>
            </w:pPr>
            <w:r>
              <w:rPr>
                <w:rFonts w:hint="eastAsia"/>
                <w:sz w:val="21"/>
                <w:szCs w:val="21"/>
              </w:rPr>
              <w:t>节水型单位覆盖率</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p>
        </w:tc>
        <w:tc>
          <w:tcPr>
            <w:tcW w:w="1081" w:type="dxa"/>
            <w:vAlign w:val="center"/>
          </w:tcPr>
          <w:p>
            <w:pPr>
              <w:spacing w:line="276" w:lineRule="auto"/>
              <w:ind w:firstLine="0" w:firstLineChars="0"/>
              <w:jc w:val="center"/>
              <w:rPr>
                <w:sz w:val="21"/>
                <w:szCs w:val="21"/>
              </w:rPr>
            </w:pPr>
            <w:r>
              <w:rPr>
                <w:sz w:val="21"/>
                <w:szCs w:val="21"/>
              </w:rPr>
              <w:t>≥</w:t>
            </w:r>
            <w:r>
              <w:rPr>
                <w:rFonts w:hint="eastAsia"/>
                <w:sz w:val="21"/>
                <w:szCs w:val="21"/>
              </w:rPr>
              <w:t>10</w:t>
            </w:r>
          </w:p>
        </w:tc>
        <w:tc>
          <w:tcPr>
            <w:tcW w:w="1093" w:type="dxa"/>
            <w:vAlign w:val="center"/>
          </w:tcPr>
          <w:p>
            <w:pPr>
              <w:spacing w:line="276" w:lineRule="auto"/>
              <w:ind w:firstLine="0" w:firstLineChars="0"/>
              <w:jc w:val="center"/>
              <w:rPr>
                <w:sz w:val="21"/>
                <w:szCs w:val="21"/>
              </w:rPr>
            </w:pPr>
            <w:r>
              <w:rPr>
                <w:sz w:val="21"/>
                <w:szCs w:val="21"/>
              </w:rPr>
              <w:t>≥</w:t>
            </w:r>
            <w:r>
              <w:rPr>
                <w:rFonts w:hint="eastAsia"/>
                <w:sz w:val="21"/>
                <w:szCs w:val="21"/>
              </w:rPr>
              <w:t>15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trPr>
        <w:tc>
          <w:tcPr>
            <w:tcW w:w="534" w:type="dxa"/>
            <w:vAlign w:val="center"/>
          </w:tcPr>
          <w:p>
            <w:pPr>
              <w:spacing w:line="276" w:lineRule="auto"/>
              <w:ind w:firstLine="0" w:firstLineChars="0"/>
              <w:jc w:val="center"/>
              <w:rPr>
                <w:sz w:val="21"/>
                <w:szCs w:val="21"/>
              </w:rPr>
            </w:pPr>
            <w:r>
              <w:rPr>
                <w:rFonts w:hint="eastAsia"/>
                <w:sz w:val="21"/>
                <w:szCs w:val="21"/>
              </w:rPr>
              <w:t>6</w:t>
            </w:r>
          </w:p>
        </w:tc>
        <w:tc>
          <w:tcPr>
            <w:tcW w:w="4836" w:type="dxa"/>
            <w:vAlign w:val="center"/>
          </w:tcPr>
          <w:p>
            <w:pPr>
              <w:spacing w:line="276" w:lineRule="auto"/>
              <w:ind w:firstLine="0" w:firstLineChars="0"/>
              <w:jc w:val="center"/>
              <w:rPr>
                <w:sz w:val="21"/>
                <w:szCs w:val="21"/>
              </w:rPr>
            </w:pPr>
            <w:r>
              <w:rPr>
                <w:sz w:val="21"/>
                <w:szCs w:val="21"/>
              </w:rPr>
              <w:t>城市居民生活用水量（平均日）</w:t>
            </w:r>
          </w:p>
        </w:tc>
        <w:tc>
          <w:tcPr>
            <w:tcW w:w="1738" w:type="dxa"/>
            <w:vAlign w:val="center"/>
          </w:tcPr>
          <w:p>
            <w:pPr>
              <w:spacing w:line="276" w:lineRule="auto"/>
              <w:ind w:firstLine="0" w:firstLineChars="0"/>
              <w:jc w:val="center"/>
              <w:rPr>
                <w:sz w:val="21"/>
                <w:szCs w:val="21"/>
              </w:rPr>
            </w:pPr>
            <w:r>
              <w:rPr>
                <w:sz w:val="21"/>
                <w:szCs w:val="21"/>
              </w:rPr>
              <w:t>升/人.日</w:t>
            </w:r>
          </w:p>
        </w:tc>
        <w:tc>
          <w:tcPr>
            <w:tcW w:w="798" w:type="dxa"/>
            <w:vAlign w:val="center"/>
          </w:tcPr>
          <w:p>
            <w:pPr>
              <w:spacing w:line="276" w:lineRule="auto"/>
              <w:ind w:firstLine="0" w:firstLineChars="0"/>
              <w:jc w:val="center"/>
              <w:rPr>
                <w:sz w:val="21"/>
                <w:szCs w:val="21"/>
              </w:rPr>
            </w:pPr>
            <w:r>
              <w:rPr>
                <w:rFonts w:hint="eastAsia"/>
                <w:sz w:val="21"/>
                <w:szCs w:val="21"/>
              </w:rPr>
              <w:t>101.11</w:t>
            </w:r>
          </w:p>
        </w:tc>
        <w:tc>
          <w:tcPr>
            <w:tcW w:w="1081" w:type="dxa"/>
            <w:vAlign w:val="center"/>
          </w:tcPr>
          <w:p>
            <w:pPr>
              <w:spacing w:line="276" w:lineRule="auto"/>
              <w:ind w:firstLine="0" w:firstLineChars="0"/>
              <w:jc w:val="center"/>
              <w:rPr>
                <w:sz w:val="21"/>
                <w:szCs w:val="21"/>
              </w:rPr>
            </w:pPr>
            <w:r>
              <w:rPr>
                <w:sz w:val="21"/>
                <w:szCs w:val="21"/>
              </w:rPr>
              <w:t>≤1</w:t>
            </w:r>
            <w:r>
              <w:rPr>
                <w:rFonts w:hint="eastAsia"/>
                <w:sz w:val="21"/>
                <w:szCs w:val="21"/>
              </w:rPr>
              <w:t>1</w:t>
            </w:r>
            <w:r>
              <w:rPr>
                <w:sz w:val="21"/>
                <w:szCs w:val="21"/>
              </w:rPr>
              <w:t>0</w:t>
            </w:r>
          </w:p>
        </w:tc>
        <w:tc>
          <w:tcPr>
            <w:tcW w:w="1093" w:type="dxa"/>
            <w:vAlign w:val="center"/>
          </w:tcPr>
          <w:p>
            <w:pPr>
              <w:spacing w:line="276" w:lineRule="auto"/>
              <w:ind w:firstLine="0" w:firstLineChars="0"/>
              <w:jc w:val="center"/>
              <w:rPr>
                <w:sz w:val="21"/>
                <w:szCs w:val="21"/>
              </w:rPr>
            </w:pPr>
            <w:r>
              <w:rPr>
                <w:sz w:val="21"/>
                <w:szCs w:val="21"/>
              </w:rPr>
              <w:t>≤1</w:t>
            </w:r>
            <w:r>
              <w:rPr>
                <w:rFonts w:hint="eastAsia"/>
                <w:sz w:val="21"/>
                <w:szCs w:val="21"/>
              </w:rPr>
              <w:t>40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trPr>
        <w:tc>
          <w:tcPr>
            <w:tcW w:w="534" w:type="dxa"/>
            <w:vAlign w:val="center"/>
          </w:tcPr>
          <w:p>
            <w:pPr>
              <w:spacing w:line="276" w:lineRule="auto"/>
              <w:ind w:firstLine="0" w:firstLineChars="0"/>
              <w:jc w:val="center"/>
              <w:rPr>
                <w:sz w:val="21"/>
                <w:szCs w:val="21"/>
              </w:rPr>
            </w:pPr>
            <w:r>
              <w:rPr>
                <w:sz w:val="21"/>
                <w:szCs w:val="21"/>
              </w:rPr>
              <w:t>7</w:t>
            </w:r>
          </w:p>
        </w:tc>
        <w:tc>
          <w:tcPr>
            <w:tcW w:w="4836" w:type="dxa"/>
            <w:vAlign w:val="center"/>
          </w:tcPr>
          <w:p>
            <w:pPr>
              <w:spacing w:line="276" w:lineRule="auto"/>
              <w:ind w:firstLine="0" w:firstLineChars="0"/>
              <w:jc w:val="center"/>
              <w:rPr>
                <w:sz w:val="21"/>
                <w:szCs w:val="21"/>
              </w:rPr>
            </w:pPr>
            <w:r>
              <w:rPr>
                <w:rFonts w:hint="eastAsia"/>
                <w:sz w:val="21"/>
                <w:szCs w:val="21"/>
              </w:rPr>
              <w:t>节水型生活用水器具普及率</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r>
              <w:rPr>
                <w:rFonts w:hint="eastAsia"/>
                <w:sz w:val="21"/>
                <w:szCs w:val="21"/>
              </w:rPr>
              <w:t>---</w:t>
            </w:r>
          </w:p>
        </w:tc>
        <w:tc>
          <w:tcPr>
            <w:tcW w:w="1081" w:type="dxa"/>
            <w:vAlign w:val="center"/>
          </w:tcPr>
          <w:p>
            <w:pPr>
              <w:spacing w:line="276" w:lineRule="auto"/>
              <w:ind w:firstLine="0" w:firstLineChars="0"/>
              <w:jc w:val="center"/>
              <w:rPr>
                <w:sz w:val="21"/>
                <w:szCs w:val="21"/>
              </w:rPr>
            </w:pPr>
            <w:r>
              <w:rPr>
                <w:rFonts w:hint="eastAsia"/>
                <w:sz w:val="21"/>
                <w:szCs w:val="21"/>
              </w:rPr>
              <w:t>100</w:t>
            </w:r>
          </w:p>
        </w:tc>
        <w:tc>
          <w:tcPr>
            <w:tcW w:w="1093" w:type="dxa"/>
            <w:vAlign w:val="center"/>
          </w:tcPr>
          <w:p>
            <w:pPr>
              <w:spacing w:line="276" w:lineRule="auto"/>
              <w:ind w:firstLine="0" w:firstLineChars="0"/>
              <w:jc w:val="center"/>
              <w:rPr>
                <w:sz w:val="21"/>
                <w:szCs w:val="21"/>
              </w:rPr>
            </w:pPr>
            <w:r>
              <w:rPr>
                <w:rFonts w:hint="eastAsia"/>
                <w:sz w:val="21"/>
                <w:szCs w:val="21"/>
              </w:rPr>
              <w:t>100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0" w:hRule="exact"/>
        </w:trPr>
        <w:tc>
          <w:tcPr>
            <w:tcW w:w="534" w:type="dxa"/>
            <w:vAlign w:val="center"/>
          </w:tcPr>
          <w:p>
            <w:pPr>
              <w:spacing w:line="276" w:lineRule="auto"/>
              <w:ind w:firstLine="0" w:firstLineChars="0"/>
              <w:jc w:val="center"/>
              <w:rPr>
                <w:sz w:val="21"/>
                <w:szCs w:val="21"/>
              </w:rPr>
            </w:pPr>
            <w:r>
              <w:rPr>
                <w:sz w:val="21"/>
                <w:szCs w:val="21"/>
              </w:rPr>
              <w:t>8</w:t>
            </w:r>
          </w:p>
        </w:tc>
        <w:tc>
          <w:tcPr>
            <w:tcW w:w="4836" w:type="dxa"/>
            <w:vAlign w:val="center"/>
          </w:tcPr>
          <w:p>
            <w:pPr>
              <w:spacing w:line="276" w:lineRule="auto"/>
              <w:ind w:firstLine="0" w:firstLineChars="0"/>
              <w:jc w:val="center"/>
              <w:rPr>
                <w:sz w:val="21"/>
                <w:szCs w:val="21"/>
              </w:rPr>
            </w:pPr>
            <w:r>
              <w:rPr>
                <w:rFonts w:hint="eastAsia"/>
                <w:sz w:val="21"/>
                <w:szCs w:val="21"/>
              </w:rPr>
              <w:t>特种行业用水计量收费率</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r>
              <w:rPr>
                <w:rFonts w:hint="eastAsia"/>
                <w:sz w:val="21"/>
                <w:szCs w:val="21"/>
              </w:rPr>
              <w:t>100</w:t>
            </w:r>
          </w:p>
        </w:tc>
        <w:tc>
          <w:tcPr>
            <w:tcW w:w="1081" w:type="dxa"/>
            <w:vAlign w:val="center"/>
          </w:tcPr>
          <w:p>
            <w:pPr>
              <w:spacing w:line="276" w:lineRule="auto"/>
              <w:ind w:firstLine="0" w:firstLineChars="0"/>
              <w:jc w:val="center"/>
              <w:rPr>
                <w:sz w:val="21"/>
                <w:szCs w:val="21"/>
              </w:rPr>
            </w:pPr>
            <w:r>
              <w:rPr>
                <w:rFonts w:hint="eastAsia"/>
                <w:sz w:val="21"/>
                <w:szCs w:val="21"/>
              </w:rPr>
              <w:t>100</w:t>
            </w:r>
          </w:p>
        </w:tc>
        <w:tc>
          <w:tcPr>
            <w:tcW w:w="1093" w:type="dxa"/>
            <w:vAlign w:val="center"/>
          </w:tcPr>
          <w:p>
            <w:pPr>
              <w:spacing w:line="276" w:lineRule="auto"/>
              <w:ind w:firstLine="0" w:firstLineChars="0"/>
              <w:jc w:val="center"/>
              <w:rPr>
                <w:sz w:val="21"/>
                <w:szCs w:val="21"/>
              </w:rPr>
            </w:pPr>
            <w:r>
              <w:rPr>
                <w:rFonts w:hint="eastAsia"/>
                <w:sz w:val="21"/>
                <w:szCs w:val="21"/>
              </w:rPr>
              <w:t>100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0" w:hRule="exact"/>
        </w:trPr>
        <w:tc>
          <w:tcPr>
            <w:tcW w:w="534" w:type="dxa"/>
            <w:vAlign w:val="center"/>
          </w:tcPr>
          <w:p>
            <w:pPr>
              <w:spacing w:line="276" w:lineRule="auto"/>
              <w:ind w:firstLine="0" w:firstLineChars="0"/>
              <w:jc w:val="center"/>
              <w:rPr>
                <w:sz w:val="21"/>
                <w:szCs w:val="21"/>
              </w:rPr>
            </w:pPr>
            <w:r>
              <w:rPr>
                <w:sz w:val="21"/>
                <w:szCs w:val="21"/>
              </w:rPr>
              <w:t>9</w:t>
            </w:r>
          </w:p>
        </w:tc>
        <w:tc>
          <w:tcPr>
            <w:tcW w:w="4836" w:type="dxa"/>
            <w:vAlign w:val="center"/>
          </w:tcPr>
          <w:p>
            <w:pPr>
              <w:spacing w:line="276" w:lineRule="auto"/>
              <w:ind w:firstLine="0" w:firstLineChars="0"/>
              <w:jc w:val="center"/>
              <w:rPr>
                <w:sz w:val="21"/>
                <w:szCs w:val="21"/>
              </w:rPr>
            </w:pPr>
            <w:r>
              <w:rPr>
                <w:sz w:val="21"/>
                <w:szCs w:val="21"/>
              </w:rPr>
              <w:t>万元工业增加值用水量</w:t>
            </w:r>
          </w:p>
        </w:tc>
        <w:tc>
          <w:tcPr>
            <w:tcW w:w="1738" w:type="dxa"/>
            <w:vAlign w:val="center"/>
          </w:tcPr>
          <w:p>
            <w:pPr>
              <w:spacing w:line="276" w:lineRule="auto"/>
              <w:ind w:firstLine="0" w:firstLineChars="0"/>
              <w:jc w:val="center"/>
              <w:rPr>
                <w:sz w:val="21"/>
                <w:szCs w:val="21"/>
              </w:rPr>
            </w:pPr>
            <w:r>
              <w:rPr>
                <w:sz w:val="21"/>
                <w:szCs w:val="21"/>
              </w:rPr>
              <w:t>立方米/万元</w:t>
            </w:r>
          </w:p>
        </w:tc>
        <w:tc>
          <w:tcPr>
            <w:tcW w:w="798" w:type="dxa"/>
            <w:vAlign w:val="center"/>
          </w:tcPr>
          <w:p>
            <w:pPr>
              <w:spacing w:line="276" w:lineRule="auto"/>
              <w:ind w:firstLine="0" w:firstLineChars="0"/>
              <w:jc w:val="center"/>
              <w:rPr>
                <w:sz w:val="21"/>
                <w:szCs w:val="21"/>
              </w:rPr>
            </w:pPr>
            <w:r>
              <w:rPr>
                <w:rFonts w:hint="eastAsia"/>
                <w:sz w:val="21"/>
                <w:szCs w:val="21"/>
              </w:rPr>
              <w:t>12.29</w:t>
            </w:r>
          </w:p>
        </w:tc>
        <w:tc>
          <w:tcPr>
            <w:tcW w:w="1081" w:type="dxa"/>
            <w:vAlign w:val="center"/>
          </w:tcPr>
          <w:p>
            <w:pPr>
              <w:spacing w:line="276" w:lineRule="auto"/>
              <w:ind w:firstLine="0" w:firstLineChars="0"/>
              <w:jc w:val="center"/>
              <w:rPr>
                <w:sz w:val="21"/>
                <w:szCs w:val="21"/>
              </w:rPr>
            </w:pPr>
            <w:r>
              <w:rPr>
                <w:sz w:val="21"/>
                <w:szCs w:val="21"/>
              </w:rPr>
              <w:t>≤</w:t>
            </w:r>
            <w:r>
              <w:rPr>
                <w:rFonts w:hint="eastAsia"/>
                <w:sz w:val="21"/>
                <w:szCs w:val="21"/>
              </w:rPr>
              <w:t>12</w:t>
            </w:r>
          </w:p>
        </w:tc>
        <w:tc>
          <w:tcPr>
            <w:tcW w:w="1093" w:type="dxa"/>
            <w:vAlign w:val="center"/>
          </w:tcPr>
          <w:p>
            <w:pPr>
              <w:spacing w:line="276" w:lineRule="auto"/>
              <w:ind w:firstLine="0" w:firstLineChars="0"/>
              <w:jc w:val="center"/>
              <w:rPr>
                <w:sz w:val="21"/>
                <w:szCs w:val="21"/>
              </w:rPr>
            </w:pPr>
            <w:r>
              <w:rPr>
                <w:sz w:val="21"/>
                <w:szCs w:val="21"/>
              </w:rPr>
              <w:t>≤</w:t>
            </w:r>
            <w:r>
              <w:rPr>
                <w:rFonts w:hint="eastAsia"/>
                <w:sz w:val="21"/>
                <w:szCs w:val="21"/>
              </w:rPr>
              <w:t>10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0" w:hRule="exact"/>
        </w:trPr>
        <w:tc>
          <w:tcPr>
            <w:tcW w:w="534" w:type="dxa"/>
            <w:vAlign w:val="center"/>
          </w:tcPr>
          <w:p>
            <w:pPr>
              <w:spacing w:line="276" w:lineRule="auto"/>
              <w:ind w:firstLine="0" w:firstLineChars="0"/>
              <w:jc w:val="center"/>
              <w:rPr>
                <w:sz w:val="21"/>
                <w:szCs w:val="21"/>
              </w:rPr>
            </w:pPr>
            <w:r>
              <w:rPr>
                <w:sz w:val="21"/>
                <w:szCs w:val="21"/>
              </w:rPr>
              <w:t>10</w:t>
            </w:r>
          </w:p>
        </w:tc>
        <w:tc>
          <w:tcPr>
            <w:tcW w:w="4836" w:type="dxa"/>
            <w:vAlign w:val="center"/>
          </w:tcPr>
          <w:p>
            <w:pPr>
              <w:spacing w:line="276" w:lineRule="auto"/>
              <w:ind w:firstLine="0" w:firstLineChars="0"/>
              <w:jc w:val="center"/>
              <w:rPr>
                <w:sz w:val="21"/>
                <w:szCs w:val="21"/>
              </w:rPr>
            </w:pPr>
            <w:r>
              <w:rPr>
                <w:sz w:val="21"/>
                <w:szCs w:val="21"/>
              </w:rPr>
              <w:t>工业用水重复利用率（不含电厂）</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r>
              <w:rPr>
                <w:rFonts w:hint="eastAsia"/>
                <w:sz w:val="21"/>
                <w:szCs w:val="21"/>
              </w:rPr>
              <w:t>83.97</w:t>
            </w:r>
          </w:p>
        </w:tc>
        <w:tc>
          <w:tcPr>
            <w:tcW w:w="1081" w:type="dxa"/>
            <w:vAlign w:val="center"/>
          </w:tcPr>
          <w:p>
            <w:pPr>
              <w:spacing w:line="276" w:lineRule="auto"/>
              <w:ind w:firstLine="0" w:firstLineChars="0"/>
              <w:jc w:val="center"/>
              <w:rPr>
                <w:sz w:val="21"/>
                <w:szCs w:val="21"/>
              </w:rPr>
            </w:pPr>
            <w:r>
              <w:rPr>
                <w:sz w:val="21"/>
                <w:szCs w:val="21"/>
              </w:rPr>
              <w:t>≥</w:t>
            </w:r>
            <w:r>
              <w:rPr>
                <w:rFonts w:hint="eastAsia"/>
                <w:sz w:val="21"/>
                <w:szCs w:val="21"/>
              </w:rPr>
              <w:t>8</w:t>
            </w:r>
            <w:r>
              <w:rPr>
                <w:sz w:val="21"/>
                <w:szCs w:val="21"/>
              </w:rPr>
              <w:t>3</w:t>
            </w:r>
          </w:p>
        </w:tc>
        <w:tc>
          <w:tcPr>
            <w:tcW w:w="1093" w:type="dxa"/>
            <w:vAlign w:val="center"/>
          </w:tcPr>
          <w:p>
            <w:pPr>
              <w:spacing w:line="276" w:lineRule="auto"/>
              <w:ind w:firstLine="0" w:firstLineChars="0"/>
              <w:jc w:val="center"/>
              <w:rPr>
                <w:sz w:val="21"/>
                <w:szCs w:val="21"/>
              </w:rPr>
            </w:pPr>
            <w:r>
              <w:rPr>
                <w:sz w:val="21"/>
                <w:szCs w:val="21"/>
              </w:rPr>
              <w:t>≥</w:t>
            </w:r>
            <w:r>
              <w:rPr>
                <w:rFonts w:hint="eastAsia"/>
                <w:sz w:val="21"/>
                <w:szCs w:val="21"/>
              </w:rPr>
              <w:t>88</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0" w:hRule="exact"/>
        </w:trPr>
        <w:tc>
          <w:tcPr>
            <w:tcW w:w="534" w:type="dxa"/>
            <w:vAlign w:val="center"/>
          </w:tcPr>
          <w:p>
            <w:pPr>
              <w:spacing w:line="276" w:lineRule="auto"/>
              <w:ind w:firstLine="0" w:firstLineChars="0"/>
              <w:jc w:val="center"/>
              <w:rPr>
                <w:sz w:val="21"/>
                <w:szCs w:val="21"/>
              </w:rPr>
            </w:pPr>
            <w:r>
              <w:rPr>
                <w:rFonts w:hint="eastAsia"/>
                <w:sz w:val="21"/>
                <w:szCs w:val="21"/>
              </w:rPr>
              <w:t>11</w:t>
            </w:r>
          </w:p>
        </w:tc>
        <w:tc>
          <w:tcPr>
            <w:tcW w:w="4836" w:type="dxa"/>
            <w:vAlign w:val="center"/>
          </w:tcPr>
          <w:p>
            <w:pPr>
              <w:spacing w:line="276" w:lineRule="auto"/>
              <w:ind w:firstLine="0" w:firstLineChars="0"/>
              <w:jc w:val="center"/>
              <w:rPr>
                <w:sz w:val="21"/>
                <w:szCs w:val="21"/>
              </w:rPr>
            </w:pPr>
            <w:r>
              <w:rPr>
                <w:rFonts w:hint="eastAsia"/>
                <w:sz w:val="21"/>
                <w:szCs w:val="21"/>
              </w:rPr>
              <w:t>工业企业单位产品用水量</w:t>
            </w:r>
          </w:p>
        </w:tc>
        <w:tc>
          <w:tcPr>
            <w:tcW w:w="4710" w:type="dxa"/>
            <w:gridSpan w:val="4"/>
            <w:vAlign w:val="center"/>
          </w:tcPr>
          <w:p>
            <w:pPr>
              <w:spacing w:line="276" w:lineRule="auto"/>
              <w:ind w:firstLine="0" w:firstLineChars="0"/>
              <w:jc w:val="center"/>
              <w:rPr>
                <w:sz w:val="21"/>
                <w:szCs w:val="21"/>
              </w:rPr>
            </w:pPr>
            <w:r>
              <w:rPr>
                <w:sz w:val="21"/>
                <w:szCs w:val="21"/>
              </w:rPr>
              <w:t>低于安徽省行业用水定额标准</w:t>
            </w:r>
            <w:r>
              <w:rPr>
                <w:rFonts w:hint="eastAsia"/>
                <w:sz w:val="21"/>
                <w:szCs w:val="21"/>
              </w:rPr>
              <w:t>限制</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trPr>
        <w:tc>
          <w:tcPr>
            <w:tcW w:w="534" w:type="dxa"/>
            <w:vAlign w:val="center"/>
          </w:tcPr>
          <w:p>
            <w:pPr>
              <w:spacing w:line="276" w:lineRule="auto"/>
              <w:ind w:firstLine="0" w:firstLineChars="0"/>
              <w:jc w:val="center"/>
              <w:rPr>
                <w:sz w:val="21"/>
                <w:szCs w:val="21"/>
              </w:rPr>
            </w:pPr>
            <w:r>
              <w:rPr>
                <w:rFonts w:hint="eastAsia"/>
                <w:sz w:val="21"/>
                <w:szCs w:val="21"/>
              </w:rPr>
              <w:t>12</w:t>
            </w:r>
          </w:p>
        </w:tc>
        <w:tc>
          <w:tcPr>
            <w:tcW w:w="4836" w:type="dxa"/>
            <w:vAlign w:val="center"/>
          </w:tcPr>
          <w:p>
            <w:pPr>
              <w:spacing w:line="276" w:lineRule="auto"/>
              <w:ind w:firstLine="0" w:firstLineChars="0"/>
              <w:jc w:val="center"/>
              <w:rPr>
                <w:sz w:val="21"/>
                <w:szCs w:val="21"/>
              </w:rPr>
            </w:pPr>
            <w:r>
              <w:rPr>
                <w:rFonts w:hint="eastAsia"/>
                <w:sz w:val="21"/>
                <w:szCs w:val="21"/>
              </w:rPr>
              <w:t>节水型企业覆盖率</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r>
              <w:rPr>
                <w:rFonts w:hint="eastAsia"/>
                <w:sz w:val="21"/>
                <w:szCs w:val="21"/>
              </w:rPr>
              <w:t>较低</w:t>
            </w:r>
          </w:p>
        </w:tc>
        <w:tc>
          <w:tcPr>
            <w:tcW w:w="1081" w:type="dxa"/>
            <w:vAlign w:val="center"/>
          </w:tcPr>
          <w:p>
            <w:pPr>
              <w:spacing w:line="276" w:lineRule="auto"/>
              <w:ind w:firstLine="0" w:firstLineChars="0"/>
              <w:jc w:val="center"/>
              <w:rPr>
                <w:sz w:val="21"/>
                <w:szCs w:val="21"/>
              </w:rPr>
            </w:pPr>
            <w:r>
              <w:rPr>
                <w:sz w:val="21"/>
                <w:szCs w:val="21"/>
              </w:rPr>
              <w:t>≥</w:t>
            </w:r>
            <w:r>
              <w:rPr>
                <w:rFonts w:hint="eastAsia"/>
                <w:sz w:val="21"/>
                <w:szCs w:val="21"/>
              </w:rPr>
              <w:t>15</w:t>
            </w:r>
          </w:p>
        </w:tc>
        <w:tc>
          <w:tcPr>
            <w:tcW w:w="1093" w:type="dxa"/>
            <w:vAlign w:val="center"/>
          </w:tcPr>
          <w:p>
            <w:pPr>
              <w:spacing w:line="276" w:lineRule="auto"/>
              <w:ind w:firstLine="0" w:firstLineChars="0"/>
              <w:jc w:val="center"/>
              <w:rPr>
                <w:sz w:val="21"/>
                <w:szCs w:val="21"/>
              </w:rPr>
            </w:pPr>
            <w:r>
              <w:rPr>
                <w:sz w:val="21"/>
                <w:szCs w:val="21"/>
              </w:rPr>
              <w:t>≥</w:t>
            </w:r>
            <w:r>
              <w:rPr>
                <w:rFonts w:hint="eastAsia"/>
                <w:sz w:val="21"/>
                <w:szCs w:val="21"/>
              </w:rPr>
              <w:t>25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482" w:hRule="exact"/>
        </w:trPr>
        <w:tc>
          <w:tcPr>
            <w:tcW w:w="534" w:type="dxa"/>
            <w:vAlign w:val="center"/>
          </w:tcPr>
          <w:p>
            <w:pPr>
              <w:spacing w:line="276" w:lineRule="auto"/>
              <w:ind w:firstLine="0" w:firstLineChars="0"/>
              <w:jc w:val="center"/>
              <w:rPr>
                <w:sz w:val="21"/>
                <w:szCs w:val="21"/>
              </w:rPr>
            </w:pPr>
            <w:r>
              <w:rPr>
                <w:rFonts w:hint="eastAsia"/>
                <w:sz w:val="21"/>
                <w:szCs w:val="21"/>
              </w:rPr>
              <w:t>13</w:t>
            </w:r>
          </w:p>
        </w:tc>
        <w:tc>
          <w:tcPr>
            <w:tcW w:w="4836" w:type="dxa"/>
            <w:vAlign w:val="center"/>
          </w:tcPr>
          <w:p>
            <w:pPr>
              <w:spacing w:line="276" w:lineRule="auto"/>
              <w:ind w:firstLine="0" w:firstLineChars="0"/>
              <w:jc w:val="center"/>
              <w:rPr>
                <w:sz w:val="21"/>
                <w:szCs w:val="21"/>
              </w:rPr>
            </w:pPr>
            <w:r>
              <w:rPr>
                <w:sz w:val="21"/>
                <w:szCs w:val="21"/>
              </w:rPr>
              <w:t>水环境质量达标率</w:t>
            </w:r>
          </w:p>
        </w:tc>
        <w:tc>
          <w:tcPr>
            <w:tcW w:w="1738" w:type="dxa"/>
            <w:vAlign w:val="center"/>
          </w:tcPr>
          <w:p>
            <w:pPr>
              <w:spacing w:line="276" w:lineRule="auto"/>
              <w:ind w:firstLine="0" w:firstLineChars="0"/>
              <w:jc w:val="center"/>
              <w:rPr>
                <w:sz w:val="21"/>
                <w:szCs w:val="21"/>
              </w:rPr>
            </w:pPr>
            <w:r>
              <w:rPr>
                <w:sz w:val="21"/>
                <w:szCs w:val="21"/>
              </w:rPr>
              <w:t>％</w:t>
            </w:r>
          </w:p>
        </w:tc>
        <w:tc>
          <w:tcPr>
            <w:tcW w:w="798" w:type="dxa"/>
            <w:vAlign w:val="center"/>
          </w:tcPr>
          <w:p>
            <w:pPr>
              <w:spacing w:line="276" w:lineRule="auto"/>
              <w:ind w:firstLine="0" w:firstLineChars="0"/>
              <w:jc w:val="center"/>
              <w:rPr>
                <w:sz w:val="21"/>
                <w:szCs w:val="21"/>
              </w:rPr>
            </w:pPr>
            <w:r>
              <w:rPr>
                <w:rFonts w:hint="eastAsia"/>
                <w:sz w:val="21"/>
                <w:szCs w:val="21"/>
              </w:rPr>
              <w:t>100</w:t>
            </w:r>
          </w:p>
        </w:tc>
        <w:tc>
          <w:tcPr>
            <w:tcW w:w="1081" w:type="dxa"/>
            <w:vAlign w:val="center"/>
          </w:tcPr>
          <w:p>
            <w:pPr>
              <w:spacing w:line="276" w:lineRule="auto"/>
              <w:ind w:firstLine="0" w:firstLineChars="0"/>
              <w:jc w:val="center"/>
              <w:rPr>
                <w:sz w:val="21"/>
                <w:szCs w:val="21"/>
              </w:rPr>
            </w:pPr>
            <w:r>
              <w:rPr>
                <w:sz w:val="21"/>
                <w:szCs w:val="21"/>
              </w:rPr>
              <w:t>100</w:t>
            </w:r>
          </w:p>
        </w:tc>
        <w:tc>
          <w:tcPr>
            <w:tcW w:w="1093" w:type="dxa"/>
            <w:vAlign w:val="center"/>
          </w:tcPr>
          <w:p>
            <w:pPr>
              <w:spacing w:line="276" w:lineRule="auto"/>
              <w:ind w:firstLine="0" w:firstLineChars="0"/>
              <w:jc w:val="center"/>
              <w:rPr>
                <w:sz w:val="21"/>
                <w:szCs w:val="21"/>
              </w:rPr>
            </w:pPr>
            <w:r>
              <w:rPr>
                <w:sz w:val="21"/>
                <w:szCs w:val="21"/>
              </w:rPr>
              <w:t>100</w:t>
            </w:r>
          </w:p>
        </w:tc>
      </w:tr>
    </w:tbl>
    <w:p>
      <w:pPr>
        <w:pStyle w:val="3"/>
        <w:spacing w:before="120" w:after="60" w:line="360" w:lineRule="auto"/>
        <w:ind w:firstLine="602"/>
        <w:rPr>
          <w:rFonts w:ascii="Times New Roman" w:hAnsi="Times New Roman"/>
        </w:rPr>
      </w:pPr>
      <w:bookmarkStart w:id="316" w:name="_Toc478634385"/>
      <w:bookmarkStart w:id="317" w:name="_Toc8032617"/>
      <w:r>
        <w:rPr>
          <w:rFonts w:ascii="Times New Roman" w:hAnsi="Times New Roman"/>
        </w:rPr>
        <w:t>5.3  实现目标的总体构想</w:t>
      </w:r>
      <w:bookmarkEnd w:id="316"/>
      <w:bookmarkEnd w:id="317"/>
    </w:p>
    <w:p>
      <w:pPr>
        <w:ind w:firstLine="560"/>
      </w:pPr>
      <w:r>
        <w:t>节约用水是在合理的生产力布局与组织的前提下，为实现一定的社会经济目标，对有限的水资源进行的合理分配和优化利用。它涉及到经济、技术、法制、行政、宣传教育等一系列手段的综合利用。</w:t>
      </w:r>
    </w:p>
    <w:p>
      <w:pPr>
        <w:widowControl/>
        <w:autoSpaceDE/>
        <w:autoSpaceDN/>
        <w:adjustRightInd/>
        <w:spacing w:line="240" w:lineRule="auto"/>
        <w:ind w:firstLine="0" w:firstLineChars="0"/>
      </w:pPr>
      <w:r>
        <w:br w:type="page"/>
      </w:r>
    </w:p>
    <w:p>
      <w:pPr>
        <w:pStyle w:val="2"/>
        <w:spacing w:before="120"/>
        <w:ind w:firstLine="883"/>
      </w:pPr>
      <w:bookmarkStart w:id="318" w:name="_Toc531180122"/>
      <w:bookmarkStart w:id="319" w:name="_Toc8032618"/>
      <w:r>
        <w:rPr>
          <w:rFonts w:hint="eastAsia"/>
        </w:rPr>
        <w:t>第六章  重点区域与领域节水</w:t>
      </w:r>
      <w:bookmarkEnd w:id="318"/>
      <w:bookmarkEnd w:id="319"/>
    </w:p>
    <w:p>
      <w:pPr>
        <w:pStyle w:val="3"/>
        <w:spacing w:before="120" w:after="60" w:line="360" w:lineRule="auto"/>
        <w:ind w:firstLine="602"/>
        <w:rPr>
          <w:rFonts w:ascii="Times New Roman" w:hAnsi="Times New Roman"/>
        </w:rPr>
      </w:pPr>
      <w:bookmarkStart w:id="320" w:name="_Toc523390696"/>
      <w:bookmarkStart w:id="321" w:name="_Toc531180123"/>
      <w:bookmarkStart w:id="322" w:name="_Toc8032619"/>
      <w:r>
        <w:rPr>
          <w:rFonts w:hint="eastAsia" w:ascii="Times New Roman" w:hAnsi="Times New Roman"/>
        </w:rPr>
        <w:t>6.1</w:t>
      </w:r>
      <w:bookmarkEnd w:id="320"/>
      <w:r>
        <w:rPr>
          <w:rFonts w:hint="eastAsia" w:ascii="Times New Roman" w:hAnsi="Times New Roman"/>
        </w:rPr>
        <w:t>重点区域</w:t>
      </w:r>
      <w:bookmarkEnd w:id="321"/>
      <w:bookmarkEnd w:id="322"/>
    </w:p>
    <w:p>
      <w:pPr>
        <w:pStyle w:val="4"/>
        <w:rPr>
          <w:rFonts w:eastAsia="华文细黑"/>
          <w:b w:val="0"/>
          <w:bCs w:val="0"/>
          <w:szCs w:val="18"/>
        </w:rPr>
      </w:pPr>
      <w:bookmarkStart w:id="323" w:name="_Toc253429186"/>
      <w:bookmarkStart w:id="324" w:name="_Toc514651491"/>
      <w:bookmarkStart w:id="325" w:name="_Toc531180124"/>
      <w:bookmarkStart w:id="326" w:name="_Toc504305593"/>
      <w:bookmarkStart w:id="327" w:name="_Toc8032620"/>
      <w:bookmarkStart w:id="328" w:name="_Toc286603516"/>
      <w:bookmarkStart w:id="329" w:name="_Toc504305284"/>
      <w:r>
        <w:rPr>
          <w:rFonts w:hint="eastAsia"/>
        </w:rPr>
        <w:t>6.1.1</w:t>
      </w:r>
      <w:bookmarkEnd w:id="323"/>
      <w:r>
        <w:rPr>
          <w:rFonts w:hint="eastAsia"/>
        </w:rPr>
        <w:t>区域发展布局</w:t>
      </w:r>
      <w:bookmarkEnd w:id="324"/>
      <w:bookmarkEnd w:id="325"/>
      <w:bookmarkEnd w:id="326"/>
      <w:bookmarkEnd w:id="327"/>
      <w:bookmarkEnd w:id="328"/>
      <w:bookmarkEnd w:id="329"/>
    </w:p>
    <w:p>
      <w:pPr>
        <w:ind w:firstLine="560"/>
      </w:pPr>
      <w:r>
        <w:rPr>
          <w:rFonts w:hint="eastAsia"/>
        </w:rPr>
        <w:t>区域社会经济发展往往受自然地理、气候和资源等多种因素的制约，经过近年来的发展，淮北市初步形成了现代城市化格局。</w:t>
      </w:r>
      <w:r>
        <w:t>今后一个时期</w:t>
      </w:r>
      <w:r>
        <w:rPr>
          <w:rFonts w:hint="eastAsia"/>
        </w:rPr>
        <w:t>，淮北市</w:t>
      </w:r>
      <w:r>
        <w:t>将着力</w:t>
      </w:r>
      <w:r>
        <w:rPr>
          <w:rFonts w:hint="eastAsia"/>
        </w:rPr>
        <w:t>推进</w:t>
      </w:r>
      <w:r>
        <w:t>苏鲁豫皖交汇区域中心城市</w:t>
      </w:r>
      <w:r>
        <w:rPr>
          <w:rFonts w:hint="eastAsia"/>
        </w:rPr>
        <w:t>建设</w:t>
      </w:r>
      <w:r>
        <w:t>。</w:t>
      </w:r>
      <w:r>
        <w:rPr>
          <w:rFonts w:hint="eastAsia"/>
        </w:rPr>
        <w:t>进一步拉开城市框架、拓展城市空间、优化城市布局、健全城市功能。</w:t>
      </w:r>
    </w:p>
    <w:p>
      <w:pPr>
        <w:ind w:firstLine="560"/>
      </w:pPr>
      <w:bookmarkStart w:id="330" w:name="_Toc504305285"/>
      <w:bookmarkStart w:id="331" w:name="_Toc514651492"/>
      <w:bookmarkStart w:id="332" w:name="_Toc531180125"/>
      <w:bookmarkStart w:id="333" w:name="_Toc504305594"/>
      <w:bookmarkStart w:id="334" w:name="_Toc286603517"/>
      <w:r>
        <w:t>1、等级规模划分为“中心城市（城市开发边界内）—县城—中心镇”三个等级。</w:t>
      </w:r>
    </w:p>
    <w:p>
      <w:pPr>
        <w:ind w:firstLine="560"/>
      </w:pPr>
      <w:r>
        <w:t>（1）中心城市——淮北城区（城市开发边界内） 城市人口规模130万人，城市建设用地规模130平方公里。</w:t>
      </w:r>
    </w:p>
    <w:p>
      <w:pPr>
        <w:ind w:firstLine="560"/>
      </w:pPr>
      <w:r>
        <w:t>（2）县城—濉溪县城 城市人口规模40万人，城市建设用地规模44平方公里。</w:t>
      </w:r>
    </w:p>
    <w:p>
      <w:pPr>
        <w:ind w:firstLine="560"/>
      </w:pPr>
      <w:r>
        <w:t>（3）中心镇—段园镇、朔里镇、古饶镇、百善镇、临涣镇和南坪镇</w:t>
      </w:r>
      <w:r>
        <w:rPr>
          <w:rFonts w:hint="eastAsia"/>
        </w:rPr>
        <w:t>，</w:t>
      </w:r>
      <w:r>
        <w:t>城镇总人口34.5万人，城镇建设用地总规模41.4平方公里。</w:t>
      </w:r>
    </w:p>
    <w:p>
      <w:pPr>
        <w:pStyle w:val="4"/>
      </w:pPr>
      <w:bookmarkStart w:id="335" w:name="_Toc8032621"/>
      <w:r>
        <w:rPr>
          <w:rFonts w:hint="eastAsia"/>
        </w:rPr>
        <w:t>6.1.2重点区域</w:t>
      </w:r>
      <w:bookmarkEnd w:id="330"/>
      <w:bookmarkEnd w:id="331"/>
      <w:bookmarkEnd w:id="332"/>
      <w:bookmarkEnd w:id="333"/>
      <w:bookmarkEnd w:id="334"/>
      <w:bookmarkEnd w:id="335"/>
    </w:p>
    <w:p>
      <w:pPr>
        <w:ind w:firstLine="560"/>
      </w:pPr>
      <w:r>
        <w:rPr>
          <w:rFonts w:hint="eastAsia"/>
        </w:rPr>
        <w:t>根据淮北市发展模式，规划主要对全市分两个功能区进行节水布局引导。</w:t>
      </w:r>
    </w:p>
    <w:p>
      <w:pPr>
        <w:spacing w:before="120"/>
        <w:ind w:firstLine="562"/>
        <w:rPr>
          <w:b/>
          <w:snapToGrid w:val="0"/>
          <w:kern w:val="2"/>
        </w:rPr>
      </w:pPr>
      <w:r>
        <w:rPr>
          <w:rFonts w:hint="eastAsia"/>
          <w:b/>
          <w:snapToGrid w:val="0"/>
          <w:kern w:val="2"/>
        </w:rPr>
        <w:t>1）中心城区</w:t>
      </w:r>
    </w:p>
    <w:p>
      <w:pPr>
        <w:ind w:firstLine="560"/>
      </w:pPr>
      <w:r>
        <w:rPr>
          <w:rFonts w:hint="eastAsia"/>
        </w:rPr>
        <w:t>中心城区是市域政治经济文化中心、金融商务中心、教育科研中心和商业物流中心，是淮北市城市化的主要平台。以优化开发和重点开发并重，优先发展现代服务业，重点形成中央商务区、城市中心区，建设</w:t>
      </w:r>
      <w:r>
        <w:t>国家重要能源基地，中原城市群重要节点城市，中部地区新材料产业基地，安徽省重要的新型煤化工基地和战略性新兴 产业基地，苏鲁豫皖四省交汇区域生态旅游和休闲度假中心。</w:t>
      </w:r>
      <w:r>
        <w:rPr>
          <w:rFonts w:hint="eastAsia"/>
        </w:rPr>
        <w:t>未来中心城区节水建设的重点方向如下：</w:t>
      </w:r>
    </w:p>
    <w:p>
      <w:pPr>
        <w:ind w:firstLine="560"/>
      </w:pPr>
      <w:r>
        <w:rPr>
          <w:rFonts w:hint="eastAsia"/>
        </w:rPr>
        <w:t>（1）</w:t>
      </w:r>
      <w:r>
        <w:t>节水型用水器具的推广应用，是</w:t>
      </w:r>
      <w:r>
        <w:rPr>
          <w:rFonts w:hint="eastAsia"/>
        </w:rPr>
        <w:t>城市</w:t>
      </w:r>
      <w:r>
        <w:t>生活节水的重要技术保障。新建</w:t>
      </w:r>
      <w:r>
        <w:rPr>
          <w:rFonts w:hint="eastAsia"/>
        </w:rPr>
        <w:t>、改造、开发</w:t>
      </w:r>
      <w:r>
        <w:t>小区全面推广节水型用水器具</w:t>
      </w:r>
      <w:r>
        <w:rPr>
          <w:rFonts w:hint="eastAsia"/>
        </w:rPr>
        <w:t>。</w:t>
      </w:r>
    </w:p>
    <w:p>
      <w:pPr>
        <w:ind w:firstLine="560"/>
      </w:pPr>
      <w:r>
        <w:rPr>
          <w:rFonts w:hint="eastAsia"/>
        </w:rPr>
        <w:t>（2）在居民生活区，</w:t>
      </w:r>
      <w:r>
        <w:t>推广、宣传节水器具</w:t>
      </w:r>
      <w:r>
        <w:rPr>
          <w:rFonts w:hint="eastAsia"/>
        </w:rPr>
        <w:t>。</w:t>
      </w:r>
      <w:r>
        <w:t>更新改造用水计量设施，配套远传式自动计量水表，完善计量手段</w:t>
      </w:r>
      <w:r>
        <w:rPr>
          <w:rFonts w:hint="eastAsia"/>
        </w:rPr>
        <w:t>。</w:t>
      </w:r>
    </w:p>
    <w:p>
      <w:pPr>
        <w:ind w:firstLine="560"/>
      </w:pPr>
      <w:r>
        <w:rPr>
          <w:rFonts w:hint="eastAsia"/>
        </w:rPr>
        <w:t>（3）</w:t>
      </w:r>
      <w:r>
        <w:t>加强城市管网的维修管理和漏水监测，完善管网检漏技术，对严重老化、材质差的</w:t>
      </w:r>
      <w:r>
        <w:rPr>
          <w:rFonts w:hint="eastAsia"/>
        </w:rPr>
        <w:t>水泥</w:t>
      </w:r>
      <w:r>
        <w:t>管及时进行更新改造</w:t>
      </w:r>
      <w:r>
        <w:rPr>
          <w:rFonts w:hint="eastAsia"/>
        </w:rPr>
        <w:t>。</w:t>
      </w:r>
    </w:p>
    <w:p>
      <w:pPr>
        <w:ind w:firstLine="560"/>
      </w:pPr>
      <w:r>
        <w:rPr>
          <w:rFonts w:hint="eastAsia"/>
        </w:rPr>
        <w:t>（4）开展中水回用，</w:t>
      </w:r>
      <w:r>
        <w:t>部分社区、企业推行分质供水</w:t>
      </w:r>
      <w:r>
        <w:rPr>
          <w:rFonts w:hint="eastAsia"/>
        </w:rPr>
        <w:t>。</w:t>
      </w:r>
    </w:p>
    <w:p>
      <w:pPr>
        <w:ind w:firstLine="560"/>
      </w:pPr>
      <w:r>
        <w:rPr>
          <w:rFonts w:hint="eastAsia"/>
        </w:rPr>
        <w:t>（5）严格控制自来水水用于</w:t>
      </w:r>
      <w:r>
        <w:t>景观用水</w:t>
      </w:r>
      <w:r>
        <w:rPr>
          <w:rFonts w:hint="eastAsia"/>
        </w:rPr>
        <w:t>、道路浇洒和</w:t>
      </w:r>
      <w:r>
        <w:t>绿化</w:t>
      </w:r>
      <w:r>
        <w:rPr>
          <w:rFonts w:hint="eastAsia"/>
        </w:rPr>
        <w:t>用水。</w:t>
      </w:r>
    </w:p>
    <w:p>
      <w:pPr>
        <w:ind w:firstLine="560"/>
      </w:pPr>
      <w:r>
        <w:rPr>
          <w:rFonts w:hint="eastAsia"/>
        </w:rPr>
        <w:t>（6）以“节水型小区”等节水型载体建设为带动，促进社会节水工作。</w:t>
      </w:r>
    </w:p>
    <w:p>
      <w:pPr>
        <w:ind w:firstLine="560"/>
      </w:pPr>
      <w:r>
        <w:rPr>
          <w:rFonts w:hint="eastAsia"/>
        </w:rPr>
        <w:t>（7）通过宣传和价格措施提高和撬动公众节水意识，使节水成为公民的自觉行动。</w:t>
      </w:r>
    </w:p>
    <w:p>
      <w:pPr>
        <w:spacing w:before="120"/>
        <w:ind w:firstLine="562"/>
        <w:rPr>
          <w:b/>
          <w:snapToGrid w:val="0"/>
          <w:kern w:val="2"/>
        </w:rPr>
      </w:pPr>
      <w:r>
        <w:rPr>
          <w:rFonts w:hint="eastAsia"/>
          <w:b/>
          <w:snapToGrid w:val="0"/>
          <w:kern w:val="2"/>
        </w:rPr>
        <w:t>2）城市规划区域</w:t>
      </w:r>
    </w:p>
    <w:p>
      <w:pPr>
        <w:ind w:firstLine="560"/>
      </w:pPr>
      <w:r>
        <w:rPr>
          <w:rFonts w:hint="eastAsia"/>
        </w:rPr>
        <w:t>该区域主要为经济开发区等城市地区。</w:t>
      </w:r>
    </w:p>
    <w:p>
      <w:pPr>
        <w:ind w:firstLine="560"/>
      </w:pPr>
      <w:r>
        <w:rPr>
          <w:rFonts w:hint="eastAsia"/>
        </w:rPr>
        <w:t>（1）加强以制造业为主的工业综合节水技术推广，鼓励和引导工业企业探索节水技术改造，提高重复利用率。</w:t>
      </w:r>
    </w:p>
    <w:p>
      <w:pPr>
        <w:ind w:firstLine="560"/>
      </w:pPr>
      <w:r>
        <w:rPr>
          <w:rFonts w:hint="eastAsia"/>
        </w:rPr>
        <w:t>（2）积极推进区域内非常规水资源替代，新建污水管线，</w:t>
      </w:r>
      <w:r>
        <w:t>配套再生水回用设施</w:t>
      </w:r>
      <w:r>
        <w:rPr>
          <w:rFonts w:hint="eastAsia"/>
        </w:rPr>
        <w:t>，鼓励工业企业使用城市污水厂再生水。加强供水</w:t>
      </w:r>
      <w:r>
        <w:t>管网漏损</w:t>
      </w:r>
      <w:r>
        <w:rPr>
          <w:rFonts w:hint="eastAsia"/>
        </w:rPr>
        <w:t>检测和更新</w:t>
      </w:r>
      <w:r>
        <w:t>工作</w:t>
      </w:r>
      <w:r>
        <w:rPr>
          <w:rFonts w:hint="eastAsia"/>
        </w:rPr>
        <w:t>。</w:t>
      </w:r>
    </w:p>
    <w:p>
      <w:pPr>
        <w:ind w:firstLine="560"/>
      </w:pPr>
      <w:r>
        <w:rPr>
          <w:rFonts w:hint="eastAsia"/>
        </w:rPr>
        <w:t>（3）以高耗水行业为重点，组织实施重大节水减排工程项目、清洁生产审核和循环经济生产，推广先进的节水工艺技术设备，提高工业用水重复利用率；加强工业企业节水管理，推行结构节水、技术节水和管理节水。</w:t>
      </w:r>
    </w:p>
    <w:p>
      <w:pPr>
        <w:ind w:firstLine="560"/>
      </w:pPr>
      <w:r>
        <w:rPr>
          <w:rFonts w:hint="eastAsia"/>
        </w:rPr>
        <w:t>（4）实施工业节水设施与主体工程同时设计、同时施工、同时投入运行的“三同时”审查制度。</w:t>
      </w:r>
    </w:p>
    <w:p>
      <w:pPr>
        <w:ind w:firstLine="560"/>
      </w:pPr>
      <w:r>
        <w:rPr>
          <w:rFonts w:hint="eastAsia"/>
        </w:rPr>
        <w:t>（5）严格控制厂内自来水用于</w:t>
      </w:r>
      <w:r>
        <w:t>景观用水</w:t>
      </w:r>
      <w:r>
        <w:rPr>
          <w:rFonts w:hint="eastAsia"/>
        </w:rPr>
        <w:t>、道路浇洒和</w:t>
      </w:r>
      <w:r>
        <w:t>绿化</w:t>
      </w:r>
      <w:r>
        <w:rPr>
          <w:rFonts w:hint="eastAsia"/>
        </w:rPr>
        <w:t>用水，逐步采用再生水替代。</w:t>
      </w:r>
    </w:p>
    <w:p>
      <w:pPr>
        <w:ind w:firstLine="560"/>
      </w:pPr>
      <w:r>
        <w:rPr>
          <w:rFonts w:hint="eastAsia"/>
        </w:rPr>
        <w:t>（6）提出近、远期工业用水定额指标体系与用水效率控制指标，主要产品单位取水量达到国内、国际先进水平。</w:t>
      </w:r>
    </w:p>
    <w:p>
      <w:pPr>
        <w:spacing w:before="120"/>
        <w:ind w:firstLine="562"/>
        <w:rPr>
          <w:b/>
          <w:snapToGrid w:val="0"/>
          <w:kern w:val="2"/>
        </w:rPr>
      </w:pPr>
      <w:r>
        <w:rPr>
          <w:rFonts w:hint="eastAsia"/>
          <w:b/>
          <w:snapToGrid w:val="0"/>
          <w:kern w:val="2"/>
        </w:rPr>
        <w:t>3）工业节水</w:t>
      </w:r>
      <w:r>
        <w:rPr>
          <w:b/>
          <w:snapToGrid w:val="0"/>
          <w:kern w:val="2"/>
        </w:rPr>
        <w:t>方向</w:t>
      </w:r>
    </w:p>
    <w:p>
      <w:pPr>
        <w:ind w:firstLine="560"/>
      </w:pPr>
      <w:r>
        <w:rPr>
          <w:rFonts w:hint="eastAsia"/>
        </w:rPr>
        <w:t>（1）生产方式节水</w:t>
      </w:r>
    </w:p>
    <w:p>
      <w:pPr>
        <w:ind w:firstLine="560"/>
      </w:pPr>
      <w:r>
        <w:rPr>
          <w:rFonts w:hint="eastAsia"/>
        </w:rPr>
        <w:t>提高企业生产用水系统的用水效率，即水的有效利用程度。采用先进的生产用水方式（如循环用水等），提高水的重复利用率，通常可在生产工艺条件基本不变的情况下实现，是工业节水的主要途径。</w:t>
      </w:r>
    </w:p>
    <w:p>
      <w:pPr>
        <w:ind w:firstLine="560"/>
      </w:pPr>
      <w:r>
        <w:t>根据工业产业布局及发展方向，组织实施重大节水技改示范项目，全面推广普及节水新技术、新产品、新装备，鼓励企业高效节水，不断强化工业结构调整，实行水资源梯级优化利用，努力促进工业水资源利用从粗放型向集约型转变。严格落实安徽省主体功能区规划，实行工业定额准入制度，合理调整产业布局，在生态脆弱地区和缺水地区实行负面清单管理，严控新上或扩建高耗水、高污染项目，并逐步淘汰落后高耗水工艺。推动高耗水行业沿江布局，实施集中入园</w:t>
      </w:r>
      <w:r>
        <w:rPr>
          <w:rFonts w:hint="eastAsia"/>
        </w:rPr>
        <w:t>，</w:t>
      </w:r>
      <w:r>
        <w:t>发展循环经济，</w:t>
      </w:r>
      <w:r>
        <w:rPr>
          <w:rFonts w:hint="eastAsia"/>
        </w:rPr>
        <w:t>落实</w:t>
      </w:r>
      <w:r>
        <w:t>节能减排。</w:t>
      </w:r>
    </w:p>
    <w:p>
      <w:pPr>
        <w:ind w:firstLine="560"/>
      </w:pPr>
      <w:r>
        <w:rPr>
          <w:rFonts w:hint="eastAsia"/>
        </w:rPr>
        <w:t>（2）生产工艺节水</w:t>
      </w:r>
    </w:p>
    <w:p>
      <w:pPr>
        <w:ind w:firstLine="560"/>
      </w:pPr>
      <w:r>
        <w:rPr>
          <w:rFonts w:hint="eastAsia"/>
        </w:rPr>
        <w:t>实行清洁生产战略，采用节水生产工艺，合理进行工业布局，以减少工业生产对水的需求，提高水的利用效率。工艺节水深入涉及工业生产的各个方面，是更为复杂、更加长远的工作，是工业节水的根本途径。</w:t>
      </w:r>
    </w:p>
    <w:p>
      <w:pPr>
        <w:ind w:firstLine="560"/>
      </w:pPr>
      <w:r>
        <w:t>落实《重点工业行业用水效率指南》，结合</w:t>
      </w:r>
      <w:r>
        <w:rPr>
          <w:rFonts w:hint="eastAsia"/>
        </w:rPr>
        <w:t>淮北</w:t>
      </w:r>
      <w:r>
        <w:t>市行业用水量现状，重点对</w:t>
      </w:r>
      <w:r>
        <w:rPr>
          <w:rFonts w:hint="eastAsia"/>
        </w:rPr>
        <w:t>煤炭开采和洗选业</w:t>
      </w:r>
      <w:r>
        <w:t>、火电、纺织、食品加工等高耗水行业开展水效对标达标改造工作，督促用水大户定期开展水平衡测试，自查自检改造用水管网。落实《全民节水行动计划》和《国家鼓励的工业节水工艺、技术和装备目录（第一、二批</w:t>
      </w:r>
      <w:r>
        <w:rPr>
          <w:rFonts w:hint="eastAsia"/>
        </w:rPr>
        <w:t>）</w:t>
      </w:r>
      <w:r>
        <w:t>》。加快淘汰落后用水工艺设备，制定发布高耗水淘汰目录。落实《高耗水工艺、技术和装备淘汰目录（第一批</w:t>
      </w:r>
      <w:r>
        <w:rPr>
          <w:rFonts w:hint="eastAsia"/>
        </w:rPr>
        <w:t>）</w:t>
      </w:r>
      <w:r>
        <w:t>》。</w:t>
      </w:r>
    </w:p>
    <w:p>
      <w:pPr>
        <w:ind w:firstLine="560"/>
      </w:pPr>
      <w:r>
        <w:fldChar w:fldCharType="begin"/>
      </w:r>
      <w:r>
        <w:instrText xml:space="preserve"> = 1 \* GB3 </w:instrText>
      </w:r>
      <w:r>
        <w:fldChar w:fldCharType="separate"/>
      </w:r>
      <w:r>
        <w:rPr>
          <w:rFonts w:hint="eastAsia"/>
        </w:rPr>
        <w:t>①</w:t>
      </w:r>
      <w:r>
        <w:fldChar w:fldCharType="end"/>
      </w:r>
      <w:r>
        <w:rPr>
          <w:rFonts w:hint="eastAsia"/>
        </w:rPr>
        <w:t>冶金</w:t>
      </w:r>
    </w:p>
    <w:p>
      <w:pPr>
        <w:ind w:firstLine="560"/>
      </w:pPr>
      <w:r>
        <w:t>发展串联用水系统和生水回用系统，全面推广高炉煤气干法除尘、污水处理及回用、干法熄焦、废污水</w:t>
      </w:r>
      <w:r>
        <w:rPr>
          <w:rFonts w:hint="eastAsia"/>
        </w:rPr>
        <w:t>“</w:t>
      </w:r>
      <w:r>
        <w:t>零排放</w:t>
      </w:r>
      <w:r>
        <w:rPr>
          <w:rFonts w:hint="eastAsia"/>
        </w:rPr>
        <w:t>”</w:t>
      </w:r>
      <w:r>
        <w:t>等回用技术，进而提升冶金及加工行业用水的重复利用率</w:t>
      </w:r>
      <w:r>
        <w:rPr>
          <w:rFonts w:hint="eastAsia"/>
        </w:rPr>
        <w:t>。</w:t>
      </w:r>
    </w:p>
    <w:p>
      <w:pPr>
        <w:ind w:firstLine="560"/>
      </w:pPr>
      <w:r>
        <w:fldChar w:fldCharType="begin"/>
      </w:r>
      <w:r>
        <w:instrText xml:space="preserve"> = 2 \* GB3 </w:instrText>
      </w:r>
      <w:r>
        <w:fldChar w:fldCharType="separate"/>
      </w:r>
      <w:r>
        <w:rPr>
          <w:rFonts w:hint="eastAsia"/>
        </w:rPr>
        <w:t>②</w:t>
      </w:r>
      <w:r>
        <w:fldChar w:fldCharType="end"/>
      </w:r>
      <w:r>
        <w:rPr>
          <w:rFonts w:hint="eastAsia"/>
        </w:rPr>
        <w:t>火电</w:t>
      </w:r>
    </w:p>
    <w:p>
      <w:pPr>
        <w:ind w:firstLine="560"/>
      </w:pPr>
      <w:r>
        <w:t>完善和推广冷却水高浓缩、废污水</w:t>
      </w:r>
      <w:r>
        <w:rPr>
          <w:rFonts w:hint="eastAsia"/>
        </w:rPr>
        <w:t>“</w:t>
      </w:r>
      <w:r>
        <w:t>零排放</w:t>
      </w:r>
      <w:r>
        <w:rPr>
          <w:rFonts w:hint="eastAsia"/>
        </w:rPr>
        <w:t>”</w:t>
      </w:r>
      <w:r>
        <w:t>、浓浆成套输灰、干除灰、冲灰水回收利用、干除渣及空冷、循环水泵运行方式调节技术、循环冷却排污水再生技术、底渣水系统闭式循环改造技术等节水技术和设备</w:t>
      </w:r>
      <w:r>
        <w:rPr>
          <w:rFonts w:hint="eastAsia"/>
        </w:rPr>
        <w:t>。</w:t>
      </w:r>
    </w:p>
    <w:p>
      <w:pPr>
        <w:ind w:firstLine="560"/>
      </w:pPr>
      <w:r>
        <w:fldChar w:fldCharType="begin"/>
      </w:r>
      <w:r>
        <w:instrText xml:space="preserve"> = 4 \* GB3 </w:instrText>
      </w:r>
      <w:r>
        <w:fldChar w:fldCharType="separate"/>
      </w:r>
      <w:r>
        <w:rPr>
          <w:rFonts w:hint="eastAsia"/>
        </w:rPr>
        <w:t>④</w:t>
      </w:r>
      <w:r>
        <w:fldChar w:fldCharType="end"/>
      </w:r>
      <w:r>
        <w:rPr>
          <w:rFonts w:hint="eastAsia"/>
        </w:rPr>
        <w:t>纺织</w:t>
      </w:r>
    </w:p>
    <w:p>
      <w:pPr>
        <w:ind w:firstLine="560"/>
      </w:pPr>
      <w:r>
        <w:t>推广喷水织机节水技术、棉纤維素新制浆工艺节水技术，以及逆流漂洗、印染废水深度处理回用、溴化锂冷却、高效节水型助剂、缫丝废水循环利用、冷轧堆一步法工艺、生物酶处理技术、超柔软新型涂料印花等技术</w:t>
      </w:r>
      <w:r>
        <w:rPr>
          <w:rFonts w:hint="eastAsia"/>
        </w:rPr>
        <w:t>。</w:t>
      </w:r>
    </w:p>
    <w:p>
      <w:pPr>
        <w:ind w:firstLine="560"/>
      </w:pPr>
      <w:r>
        <w:fldChar w:fldCharType="begin"/>
      </w:r>
      <w:r>
        <w:instrText xml:space="preserve"> = 5 \* GB3 </w:instrText>
      </w:r>
      <w:r>
        <w:fldChar w:fldCharType="separate"/>
      </w:r>
      <w:r>
        <w:rPr>
          <w:rFonts w:hint="eastAsia"/>
        </w:rPr>
        <w:t>⑤</w:t>
      </w:r>
      <w:r>
        <w:fldChar w:fldCharType="end"/>
      </w:r>
      <w:r>
        <w:rPr>
          <w:rFonts w:hint="eastAsia"/>
        </w:rPr>
        <w:t>食品加工</w:t>
      </w:r>
    </w:p>
    <w:p>
      <w:pPr>
        <w:ind w:firstLine="560"/>
      </w:pPr>
      <w:r>
        <w:t>推广高效循环冷却水处理技术、敞开式循环冷却水系统、原麦汁一般冷却节水技术，二次蒸汽回收利用技术，推广浓缩倍数大于4.0的水处理运行技术等，并根据不同产品和不同生产工艺，开发干法、半湿法和湿法制备淀粉取水闭环流程工艺</w:t>
      </w:r>
      <w:r>
        <w:rPr>
          <w:rFonts w:hint="eastAsia"/>
        </w:rPr>
        <w:t>。</w:t>
      </w:r>
    </w:p>
    <w:p>
      <w:pPr>
        <w:ind w:firstLine="560"/>
      </w:pPr>
      <w:r>
        <w:rPr>
          <w:rFonts w:hint="eastAsia"/>
        </w:rPr>
        <w:t>（3）管理节水</w:t>
      </w:r>
    </w:p>
    <w:p>
      <w:pPr>
        <w:ind w:firstLine="560"/>
      </w:pPr>
      <w:r>
        <w:rPr>
          <w:rFonts w:hint="eastAsia"/>
        </w:rPr>
        <w:t>管理节水经常可以取得立竿见影的效果，潜力很大，不容忽视。建立和完善水资源统一管理机构，全面征收水资源费，实行用水许可证制度，实现水资源有效分配。大力开展节水宣传教育，强化节水观念。制订有利于节水的投资政策，提高企业节水的积极性。</w:t>
      </w:r>
    </w:p>
    <w:p>
      <w:pPr>
        <w:ind w:firstLine="560"/>
      </w:pPr>
      <w:r>
        <w:t>进一步完善企业用水管理制度，实施企业取水口、排水口规范化整治，完善企业供、排水管网图、用水设施分布图和计量网络图，加强用、排水设施日常管理和巡查，发现问题及时解决。完善企业用水三级计量体系，企业要按规定配备合格的用水计量仪表，一级表计量</w:t>
      </w:r>
      <w:r>
        <w:rPr>
          <w:rFonts w:hint="eastAsia"/>
        </w:rPr>
        <w:t>率</w:t>
      </w:r>
      <w:r>
        <w:t>要求100%</w:t>
      </w:r>
      <w:r>
        <w:rPr>
          <w:rFonts w:hint="eastAsia"/>
        </w:rPr>
        <w:t>，二级</w:t>
      </w:r>
      <w:r>
        <w:t>表计量率要求90%</w:t>
      </w:r>
      <w:r>
        <w:rPr>
          <w:rFonts w:hint="eastAsia"/>
        </w:rPr>
        <w:t>以上。</w:t>
      </w:r>
    </w:p>
    <w:p>
      <w:pPr>
        <w:ind w:firstLine="560"/>
      </w:pPr>
      <w:r>
        <w:t>加强企业用水统计，建立健全企业用水原始记录和统计台帐，定期开展用水统计和用水合理性分析，按照有关规定向有管辖权限的水行政主管部门报送用水报表。开展水平衡测试和节水诊断，摸清企业用水现状，查找存在问题，挖掘节水潜力，制定和完善节水措施方案，提出切实可行的整改措施，并认真组织实施。</w:t>
      </w:r>
    </w:p>
    <w:p>
      <w:pPr>
        <w:ind w:firstLine="560"/>
      </w:pPr>
      <w:r>
        <w:t>强化企业用水计划考核，各企业必须做到用水计划到位、节水目标到位、节水措施到位、管水制度到位，建立健全企业内部用水考核体系，定期进行考核，奖惩兑现。</w:t>
      </w:r>
    </w:p>
    <w:p>
      <w:pPr>
        <w:ind w:firstLine="560"/>
      </w:pPr>
      <w:r>
        <w:t>加强对节水企业建设工作的政策引导和支持，积极做好各区县节水企业建设工作，树立行业示范典型。开展</w:t>
      </w:r>
      <w:r>
        <w:rPr>
          <w:rFonts w:hint="eastAsia"/>
        </w:rPr>
        <w:t>“</w:t>
      </w:r>
      <w:r>
        <w:t>百家企业</w:t>
      </w:r>
      <w:r>
        <w:rPr>
          <w:rFonts w:hint="eastAsia"/>
        </w:rPr>
        <w:t>”</w:t>
      </w:r>
      <w:r>
        <w:t>节水行动，逐渐实施，至2020年，符合要求企业均建成节水企业。未被列入百家企业的其他企业，创建节水企业工作的组织、指导、核查、命名、公布等工作。实行动态管理，按照分级负责原则，加强对节水企业日常用水监管，定期开展重点抽查和复核工作，不合格的企业需要限期整改，不达标的企业取消节水型企业资格。同等条件下，优先保证节水型企业新建、改建、扩建项目用水需求，优先支持节水型企业组织实施节水示范工程。</w:t>
      </w:r>
    </w:p>
    <w:p>
      <w:pPr>
        <w:ind w:firstLine="560"/>
      </w:pPr>
      <w:r>
        <w:t>构建有利于水循环的园区产业体系，将节水及水循环利用作为园区资源循环化改造的重要内容。鼓励入园企业开展企业间的串联用水</w:t>
      </w:r>
      <w:r>
        <w:rPr>
          <w:rFonts w:hint="eastAsia"/>
        </w:rPr>
        <w:t>，</w:t>
      </w:r>
      <w:r>
        <w:t>分质用水、一水多用和循环利用，建立园区企业间循环、集约用水产业体系。新建园区必须规划建立适当的供排水、水处理及梯级循环利用设施，工业废水必须经预处理达到集中处理要求方可进入污水处理设施。加强园区供、排水监测，提高园区污水处理市场化程度，搭建园区节水、废水处理及资源化专业技术服务支撑体系和服务平台，推动节水型工业园区建设，至</w:t>
      </w:r>
      <w:r>
        <w:rPr>
          <w:rFonts w:hint="eastAsia"/>
        </w:rPr>
        <w:t>“</w:t>
      </w:r>
      <w:r>
        <w:t>十三五</w:t>
      </w:r>
      <w:r>
        <w:rPr>
          <w:rFonts w:hint="eastAsia"/>
        </w:rPr>
        <w:t>”</w:t>
      </w:r>
      <w:r>
        <w:t>末，建设节水型工业园区1家。</w:t>
      </w:r>
    </w:p>
    <w:p>
      <w:pPr>
        <w:ind w:firstLine="560"/>
      </w:pPr>
    </w:p>
    <w:p>
      <w:pPr>
        <w:ind w:firstLine="570"/>
        <w:rPr>
          <w:spacing w:val="5"/>
        </w:rPr>
      </w:pPr>
      <w:bookmarkStart w:id="336" w:name="_Toc523390697"/>
      <w:bookmarkStart w:id="337" w:name="_Toc531180126"/>
    </w:p>
    <w:p>
      <w:pPr>
        <w:pStyle w:val="3"/>
        <w:spacing w:before="120" w:after="60" w:line="360" w:lineRule="auto"/>
        <w:ind w:firstLine="602"/>
        <w:rPr>
          <w:rFonts w:ascii="Times New Roman" w:hAnsi="Times New Roman"/>
        </w:rPr>
      </w:pPr>
      <w:bookmarkStart w:id="338" w:name="_Toc8032622"/>
      <w:r>
        <w:rPr>
          <w:rFonts w:hint="eastAsia" w:ascii="Times New Roman" w:hAnsi="Times New Roman"/>
        </w:rPr>
        <w:t>6.2</w:t>
      </w:r>
      <w:bookmarkEnd w:id="336"/>
      <w:r>
        <w:rPr>
          <w:rFonts w:hint="eastAsia" w:ascii="Times New Roman" w:hAnsi="Times New Roman"/>
        </w:rPr>
        <w:t>城市居民和非居民生活节水对策与措施</w:t>
      </w:r>
      <w:bookmarkEnd w:id="337"/>
      <w:bookmarkEnd w:id="338"/>
    </w:p>
    <w:p>
      <w:pPr>
        <w:pStyle w:val="4"/>
      </w:pPr>
      <w:bookmarkStart w:id="339" w:name="_Toc8032623"/>
      <w:bookmarkStart w:id="340" w:name="_Toc531180127"/>
      <w:r>
        <w:t>6</w:t>
      </w:r>
      <w:r>
        <w:rPr>
          <w:rFonts w:hint="eastAsia"/>
        </w:rPr>
        <w:t>.2.1节水目标</w:t>
      </w:r>
      <w:bookmarkEnd w:id="339"/>
      <w:bookmarkEnd w:id="340"/>
    </w:p>
    <w:p>
      <w:pPr>
        <w:spacing w:before="120"/>
        <w:ind w:firstLine="560"/>
        <w:rPr>
          <w:snapToGrid w:val="0"/>
          <w:kern w:val="2"/>
        </w:rPr>
      </w:pPr>
      <w:bookmarkStart w:id="341" w:name="_Toc161655160"/>
      <w:bookmarkStart w:id="342" w:name="_Toc161148403"/>
      <w:bookmarkStart w:id="343" w:name="_Toc514062601"/>
      <w:bookmarkStart w:id="344" w:name="_Toc202790526"/>
      <w:r>
        <w:rPr>
          <w:rFonts w:hint="eastAsia"/>
          <w:snapToGrid w:val="0"/>
          <w:kern w:val="2"/>
        </w:rPr>
        <w:t>节水控制指标</w:t>
      </w:r>
      <w:bookmarkEnd w:id="341"/>
      <w:bookmarkEnd w:id="342"/>
      <w:bookmarkEnd w:id="343"/>
      <w:bookmarkEnd w:id="344"/>
    </w:p>
    <w:p>
      <w:pPr>
        <w:ind w:firstLine="560"/>
      </w:pPr>
      <w:r>
        <w:rPr>
          <w:rFonts w:hint="eastAsia"/>
        </w:rPr>
        <w:t>（1）近期控制指标</w:t>
      </w:r>
    </w:p>
    <w:p>
      <w:pPr>
        <w:ind w:firstLine="560"/>
      </w:pPr>
      <w:r>
        <w:rPr>
          <w:rFonts w:hint="eastAsia"/>
        </w:rPr>
        <w:t>2020年，城区人均居民生活用水控制在每天</w:t>
      </w:r>
      <w:r>
        <w:t>110</w:t>
      </w:r>
      <w:r>
        <w:rPr>
          <w:rFonts w:hint="eastAsia"/>
        </w:rPr>
        <w:t>L/人•日以内，</w:t>
      </w:r>
      <w:r>
        <w:t>节水器具普及率达到</w:t>
      </w:r>
      <w:r>
        <w:rPr>
          <w:rFonts w:hint="eastAsia"/>
        </w:rPr>
        <w:t>100</w:t>
      </w:r>
      <w:r>
        <w:t>%</w:t>
      </w:r>
      <w:r>
        <w:rPr>
          <w:rFonts w:hint="eastAsia"/>
        </w:rPr>
        <w:t>，管网的综合漏失率控制在10%。</w:t>
      </w:r>
    </w:p>
    <w:p>
      <w:pPr>
        <w:ind w:firstLine="560"/>
      </w:pPr>
      <w:r>
        <w:rPr>
          <w:rFonts w:hint="eastAsia"/>
        </w:rPr>
        <w:t>（2）远期控制指标</w:t>
      </w:r>
    </w:p>
    <w:p>
      <w:pPr>
        <w:ind w:firstLine="560"/>
      </w:pPr>
      <w:r>
        <w:rPr>
          <w:rFonts w:hint="eastAsia"/>
        </w:rPr>
        <w:t>2035年，淮北市城区</w:t>
      </w:r>
      <w:r>
        <w:t>人均居民生活用水控制在每天</w:t>
      </w:r>
      <w:r>
        <w:rPr>
          <w:rFonts w:hint="eastAsia"/>
        </w:rPr>
        <w:t>140</w:t>
      </w:r>
      <w:r>
        <w:t>L/人·日以内</w:t>
      </w:r>
      <w:r>
        <w:rPr>
          <w:rFonts w:hint="eastAsia"/>
        </w:rPr>
        <w:t>，</w:t>
      </w:r>
      <w:r>
        <w:t>节水器具普及率达到100%，</w:t>
      </w:r>
      <w:r>
        <w:rPr>
          <w:rFonts w:hint="eastAsia"/>
        </w:rPr>
        <w:t>管网的综合漏失率控制在8%。</w:t>
      </w:r>
    </w:p>
    <w:p>
      <w:pPr>
        <w:pStyle w:val="4"/>
      </w:pPr>
      <w:bookmarkStart w:id="345" w:name="_Toc202790527"/>
      <w:bookmarkStart w:id="346" w:name="_Toc161655161"/>
      <w:bookmarkStart w:id="347" w:name="_Toc161148404"/>
      <w:bookmarkStart w:id="348" w:name="_Toc514062602"/>
      <w:bookmarkStart w:id="349" w:name="_Toc531180128"/>
      <w:bookmarkStart w:id="350" w:name="_Toc8032624"/>
      <w:r>
        <w:t>6</w:t>
      </w:r>
      <w:r>
        <w:rPr>
          <w:rFonts w:hint="eastAsia"/>
        </w:rPr>
        <w:t>.2.2节水</w:t>
      </w:r>
      <w:bookmarkEnd w:id="345"/>
      <w:bookmarkEnd w:id="346"/>
      <w:bookmarkEnd w:id="347"/>
      <w:r>
        <w:rPr>
          <w:rFonts w:hint="eastAsia"/>
        </w:rPr>
        <w:t>目标预期效果</w:t>
      </w:r>
      <w:bookmarkEnd w:id="348"/>
      <w:bookmarkEnd w:id="349"/>
      <w:bookmarkEnd w:id="350"/>
    </w:p>
    <w:p>
      <w:pPr>
        <w:ind w:firstLine="560"/>
      </w:pPr>
      <w:r>
        <w:rPr>
          <w:rFonts w:hint="eastAsia"/>
        </w:rPr>
        <w:t>生活节水重点包括降低供水管网漏失率，推广节水器具，提高节水器具普及率，开展节水宣传等以提高居民节水意识等节水措施。生活节水预期目标效果见表</w:t>
      </w:r>
      <w:r>
        <w:t>5-</w:t>
      </w:r>
      <w:r>
        <w:rPr>
          <w:rFonts w:hint="eastAsia"/>
        </w:rPr>
        <w:t>2，2020年和2035年水平年生活年节水量分别为321.93</w:t>
      </w:r>
      <w:r>
        <w:t>万m³</w:t>
      </w:r>
      <w:r>
        <w:rPr>
          <w:rFonts w:hint="eastAsia"/>
        </w:rPr>
        <w:t>和856.24</w:t>
      </w:r>
      <w:r>
        <w:t>万m³</w:t>
      </w:r>
      <w:r>
        <w:rPr>
          <w:rFonts w:hint="eastAsia"/>
        </w:rPr>
        <w:t>。</w:t>
      </w:r>
    </w:p>
    <w:p>
      <w:pPr>
        <w:pStyle w:val="16"/>
        <w:kinsoku w:val="0"/>
        <w:overflowPunct w:val="0"/>
        <w:spacing w:before="154" w:line="360" w:lineRule="auto"/>
        <w:ind w:firstLine="641" w:firstLineChars="266"/>
        <w:jc w:val="center"/>
        <w:rPr>
          <w:rFonts w:cs="Times New Roman"/>
          <w:b/>
          <w:sz w:val="24"/>
        </w:rPr>
      </w:pPr>
      <w:r>
        <w:rPr>
          <w:rFonts w:cs="Times New Roman"/>
          <w:b/>
          <w:sz w:val="24"/>
        </w:rPr>
        <w:t>表6</w:t>
      </w:r>
      <w:r>
        <w:rPr>
          <w:rFonts w:hint="eastAsia" w:cs="Times New Roman"/>
          <w:b/>
          <w:sz w:val="24"/>
        </w:rPr>
        <w:t>-1 淮北市生活</w:t>
      </w:r>
      <w:r>
        <w:rPr>
          <w:rFonts w:cs="Times New Roman"/>
          <w:b/>
          <w:sz w:val="24"/>
        </w:rPr>
        <w:t>节水</w:t>
      </w:r>
      <w:r>
        <w:rPr>
          <w:rFonts w:hint="eastAsia" w:cs="Times New Roman"/>
          <w:b/>
          <w:sz w:val="24"/>
        </w:rPr>
        <w:t>目标预期节水效果</w:t>
      </w:r>
    </w:p>
    <w:tbl>
      <w:tblPr>
        <w:tblStyle w:val="39"/>
        <w:tblW w:w="8421"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0" w:type="dxa"/>
          <w:bottom w:w="0" w:type="dxa"/>
          <w:right w:w="0" w:type="dxa"/>
        </w:tblCellMar>
      </w:tblPr>
      <w:tblGrid>
        <w:gridCol w:w="681"/>
        <w:gridCol w:w="2500"/>
        <w:gridCol w:w="1729"/>
        <w:gridCol w:w="1729"/>
        <w:gridCol w:w="1782"/>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19" w:hRule="atLeast"/>
          <w:jc w:val="center"/>
        </w:trPr>
        <w:tc>
          <w:tcPr>
            <w:tcW w:w="681" w:type="dxa"/>
            <w:shd w:val="clear" w:color="auto" w:fill="auto"/>
            <w:tcMar>
              <w:top w:w="15" w:type="dxa"/>
              <w:left w:w="15" w:type="dxa"/>
              <w:bottom w:w="0" w:type="dxa"/>
              <w:right w:w="15" w:type="dxa"/>
            </w:tcMar>
            <w:vAlign w:val="center"/>
          </w:tcPr>
          <w:p>
            <w:pPr>
              <w:pStyle w:val="72"/>
            </w:pPr>
            <w:r>
              <w:t>水平年</w:t>
            </w:r>
          </w:p>
        </w:tc>
        <w:tc>
          <w:tcPr>
            <w:tcW w:w="2500" w:type="dxa"/>
            <w:tcMar>
              <w:top w:w="15" w:type="dxa"/>
              <w:left w:w="15" w:type="dxa"/>
              <w:bottom w:w="0" w:type="dxa"/>
              <w:right w:w="15" w:type="dxa"/>
            </w:tcMar>
          </w:tcPr>
          <w:p>
            <w:pPr>
              <w:pStyle w:val="72"/>
            </w:pPr>
            <w:r>
              <w:rPr>
                <w:rFonts w:hint="eastAsia"/>
              </w:rPr>
              <w:t>居民日用水量（L/人·d）</w:t>
            </w:r>
          </w:p>
        </w:tc>
        <w:tc>
          <w:tcPr>
            <w:tcW w:w="1729" w:type="dxa"/>
            <w:shd w:val="clear" w:color="auto" w:fill="auto"/>
            <w:tcMar>
              <w:top w:w="15" w:type="dxa"/>
              <w:left w:w="15" w:type="dxa"/>
              <w:bottom w:w="0" w:type="dxa"/>
              <w:right w:w="15" w:type="dxa"/>
            </w:tcMar>
            <w:vAlign w:val="center"/>
          </w:tcPr>
          <w:p>
            <w:pPr>
              <w:pStyle w:val="72"/>
            </w:pPr>
            <w:r>
              <w:rPr>
                <w:rFonts w:hint="eastAsia"/>
              </w:rPr>
              <w:t>供水保证率（%）</w:t>
            </w:r>
          </w:p>
        </w:tc>
        <w:tc>
          <w:tcPr>
            <w:tcW w:w="1729" w:type="dxa"/>
            <w:shd w:val="clear" w:color="auto" w:fill="auto"/>
            <w:tcMar>
              <w:top w:w="15" w:type="dxa"/>
              <w:left w:w="15" w:type="dxa"/>
              <w:bottom w:w="0" w:type="dxa"/>
              <w:right w:w="15" w:type="dxa"/>
            </w:tcMar>
            <w:vAlign w:val="center"/>
          </w:tcPr>
          <w:p>
            <w:pPr>
              <w:pStyle w:val="72"/>
            </w:pPr>
            <w:r>
              <w:t>管网漏失率</w:t>
            </w:r>
            <w:r>
              <w:rPr>
                <w:rFonts w:hint="eastAsia"/>
              </w:rPr>
              <w:t>（</w:t>
            </w:r>
            <w:r>
              <w:t>%</w:t>
            </w:r>
            <w:r>
              <w:rPr>
                <w:rFonts w:hint="eastAsia"/>
              </w:rPr>
              <w:t>）</w:t>
            </w:r>
          </w:p>
        </w:tc>
        <w:tc>
          <w:tcPr>
            <w:tcW w:w="1782" w:type="dxa"/>
            <w:shd w:val="clear" w:color="auto" w:fill="auto"/>
            <w:tcMar>
              <w:top w:w="15" w:type="dxa"/>
              <w:left w:w="15" w:type="dxa"/>
              <w:bottom w:w="0" w:type="dxa"/>
              <w:right w:w="15" w:type="dxa"/>
            </w:tcMar>
            <w:vAlign w:val="center"/>
          </w:tcPr>
          <w:p>
            <w:pPr>
              <w:pStyle w:val="72"/>
            </w:pPr>
            <w:r>
              <w:rPr>
                <w:rFonts w:hint="eastAsia"/>
              </w:rPr>
              <w:t>年</w:t>
            </w:r>
            <w:r>
              <w:t>节水量</w:t>
            </w:r>
            <w:r>
              <w:rPr>
                <w:rFonts w:hint="eastAsia"/>
              </w:rPr>
              <w:t>（</w:t>
            </w:r>
            <w:r>
              <w:t>万m³</w:t>
            </w:r>
            <w:r>
              <w:rPr>
                <w:rFonts w:hint="eastAsia"/>
              </w:rPr>
              <w:t>）</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195" w:hRule="atLeast"/>
          <w:jc w:val="center"/>
        </w:trPr>
        <w:tc>
          <w:tcPr>
            <w:tcW w:w="681" w:type="dxa"/>
            <w:shd w:val="clear" w:color="auto" w:fill="auto"/>
            <w:tcMar>
              <w:top w:w="15" w:type="dxa"/>
              <w:left w:w="15" w:type="dxa"/>
              <w:bottom w:w="0" w:type="dxa"/>
              <w:right w:w="15" w:type="dxa"/>
            </w:tcMar>
            <w:vAlign w:val="center"/>
          </w:tcPr>
          <w:p>
            <w:pPr>
              <w:pStyle w:val="72"/>
            </w:pPr>
            <w:r>
              <w:t>2017</w:t>
            </w:r>
            <w:r>
              <w:rPr>
                <w:rFonts w:hint="eastAsia"/>
              </w:rPr>
              <w:t>年</w:t>
            </w:r>
          </w:p>
        </w:tc>
        <w:tc>
          <w:tcPr>
            <w:tcW w:w="2500" w:type="dxa"/>
            <w:tcMar>
              <w:top w:w="15" w:type="dxa"/>
              <w:left w:w="15" w:type="dxa"/>
              <w:bottom w:w="0" w:type="dxa"/>
              <w:right w:w="15" w:type="dxa"/>
            </w:tcMar>
          </w:tcPr>
          <w:p>
            <w:pPr>
              <w:pStyle w:val="72"/>
            </w:pPr>
            <w:r>
              <w:t>101.11</w:t>
            </w:r>
          </w:p>
        </w:tc>
        <w:tc>
          <w:tcPr>
            <w:tcW w:w="1729" w:type="dxa"/>
            <w:shd w:val="clear" w:color="auto" w:fill="auto"/>
            <w:noWrap/>
            <w:tcMar>
              <w:top w:w="15" w:type="dxa"/>
              <w:left w:w="15" w:type="dxa"/>
              <w:bottom w:w="0" w:type="dxa"/>
              <w:right w:w="15" w:type="dxa"/>
            </w:tcMar>
            <w:vAlign w:val="center"/>
          </w:tcPr>
          <w:p>
            <w:pPr>
              <w:pStyle w:val="72"/>
            </w:pPr>
            <w:r>
              <w:rPr>
                <w:rFonts w:hint="eastAsia"/>
              </w:rPr>
              <w:t>--</w:t>
            </w:r>
          </w:p>
        </w:tc>
        <w:tc>
          <w:tcPr>
            <w:tcW w:w="1729" w:type="dxa"/>
            <w:shd w:val="clear" w:color="auto" w:fill="auto"/>
            <w:noWrap/>
            <w:tcMar>
              <w:top w:w="15" w:type="dxa"/>
              <w:left w:w="15" w:type="dxa"/>
              <w:bottom w:w="0" w:type="dxa"/>
              <w:right w:w="15" w:type="dxa"/>
            </w:tcMar>
            <w:vAlign w:val="center"/>
          </w:tcPr>
          <w:p>
            <w:pPr>
              <w:pStyle w:val="72"/>
            </w:pPr>
            <w:r>
              <w:rPr>
                <w:rFonts w:hint="eastAsia"/>
              </w:rPr>
              <w:t>11.41</w:t>
            </w:r>
          </w:p>
        </w:tc>
        <w:tc>
          <w:tcPr>
            <w:tcW w:w="1782" w:type="dxa"/>
            <w:shd w:val="clear" w:color="auto" w:fill="auto"/>
            <w:noWrap/>
            <w:tcMar>
              <w:top w:w="15" w:type="dxa"/>
              <w:left w:w="15" w:type="dxa"/>
              <w:bottom w:w="0" w:type="dxa"/>
              <w:right w:w="15" w:type="dxa"/>
            </w:tcMar>
            <w:vAlign w:val="center"/>
          </w:tcPr>
          <w:p>
            <w:pPr>
              <w:pStyle w:val="72"/>
            </w:pPr>
            <w:r>
              <w:rPr>
                <w:rFonts w:hint="eastAsia"/>
              </w:rPr>
              <w:t>--</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195" w:hRule="atLeast"/>
          <w:jc w:val="center"/>
        </w:trPr>
        <w:tc>
          <w:tcPr>
            <w:tcW w:w="681" w:type="dxa"/>
            <w:shd w:val="clear" w:color="auto" w:fill="auto"/>
            <w:tcMar>
              <w:top w:w="15" w:type="dxa"/>
              <w:left w:w="15" w:type="dxa"/>
              <w:bottom w:w="0" w:type="dxa"/>
              <w:right w:w="15" w:type="dxa"/>
            </w:tcMar>
            <w:vAlign w:val="center"/>
          </w:tcPr>
          <w:p>
            <w:pPr>
              <w:pStyle w:val="72"/>
            </w:pPr>
            <w:r>
              <w:t>2020</w:t>
            </w:r>
            <w:r>
              <w:rPr>
                <w:rFonts w:hint="eastAsia"/>
              </w:rPr>
              <w:t>年</w:t>
            </w:r>
          </w:p>
        </w:tc>
        <w:tc>
          <w:tcPr>
            <w:tcW w:w="2500" w:type="dxa"/>
            <w:tcMar>
              <w:top w:w="15" w:type="dxa"/>
              <w:left w:w="15" w:type="dxa"/>
              <w:bottom w:w="0" w:type="dxa"/>
              <w:right w:w="15" w:type="dxa"/>
            </w:tcMar>
          </w:tcPr>
          <w:p>
            <w:pPr>
              <w:pStyle w:val="72"/>
            </w:pPr>
            <w:r>
              <w:t>110</w:t>
            </w:r>
          </w:p>
        </w:tc>
        <w:tc>
          <w:tcPr>
            <w:tcW w:w="1729" w:type="dxa"/>
            <w:shd w:val="clear" w:color="auto" w:fill="auto"/>
            <w:noWrap/>
            <w:tcMar>
              <w:top w:w="15" w:type="dxa"/>
              <w:left w:w="15" w:type="dxa"/>
              <w:bottom w:w="0" w:type="dxa"/>
              <w:right w:w="15" w:type="dxa"/>
            </w:tcMar>
            <w:vAlign w:val="center"/>
          </w:tcPr>
          <w:p>
            <w:pPr>
              <w:pStyle w:val="72"/>
            </w:pPr>
            <w:r>
              <w:rPr>
                <w:rFonts w:hint="eastAsia"/>
              </w:rPr>
              <w:t>95</w:t>
            </w:r>
          </w:p>
        </w:tc>
        <w:tc>
          <w:tcPr>
            <w:tcW w:w="1729" w:type="dxa"/>
            <w:shd w:val="clear" w:color="auto" w:fill="auto"/>
            <w:noWrap/>
            <w:tcMar>
              <w:top w:w="15" w:type="dxa"/>
              <w:left w:w="15" w:type="dxa"/>
              <w:bottom w:w="0" w:type="dxa"/>
              <w:right w:w="15" w:type="dxa"/>
            </w:tcMar>
            <w:vAlign w:val="center"/>
          </w:tcPr>
          <w:p>
            <w:pPr>
              <w:pStyle w:val="72"/>
            </w:pPr>
            <w:r>
              <w:t>1</w:t>
            </w:r>
            <w:r>
              <w:rPr>
                <w:rFonts w:hint="eastAsia"/>
              </w:rPr>
              <w:t>0</w:t>
            </w:r>
          </w:p>
        </w:tc>
        <w:tc>
          <w:tcPr>
            <w:tcW w:w="1782" w:type="dxa"/>
            <w:shd w:val="clear" w:color="auto" w:fill="auto"/>
            <w:noWrap/>
            <w:tcMar>
              <w:top w:w="15" w:type="dxa"/>
              <w:left w:w="15" w:type="dxa"/>
              <w:bottom w:w="0" w:type="dxa"/>
              <w:right w:w="15" w:type="dxa"/>
            </w:tcMar>
            <w:vAlign w:val="center"/>
          </w:tcPr>
          <w:p>
            <w:pPr>
              <w:pStyle w:val="72"/>
            </w:pPr>
            <w:r>
              <w:rPr>
                <w:rFonts w:hint="eastAsia"/>
              </w:rPr>
              <w:t>118.77</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195" w:hRule="atLeast"/>
          <w:jc w:val="center"/>
        </w:trPr>
        <w:tc>
          <w:tcPr>
            <w:tcW w:w="681" w:type="dxa"/>
            <w:shd w:val="clear" w:color="auto" w:fill="auto"/>
            <w:vAlign w:val="center"/>
          </w:tcPr>
          <w:p>
            <w:pPr>
              <w:pStyle w:val="72"/>
            </w:pPr>
            <w:r>
              <w:rPr>
                <w:rFonts w:hint="eastAsia"/>
              </w:rPr>
              <w:t>2035年</w:t>
            </w:r>
          </w:p>
        </w:tc>
        <w:tc>
          <w:tcPr>
            <w:tcW w:w="2500" w:type="dxa"/>
          </w:tcPr>
          <w:p>
            <w:pPr>
              <w:pStyle w:val="72"/>
            </w:pPr>
            <w:r>
              <w:t>140</w:t>
            </w:r>
          </w:p>
        </w:tc>
        <w:tc>
          <w:tcPr>
            <w:tcW w:w="1729" w:type="dxa"/>
            <w:shd w:val="clear" w:color="auto" w:fill="auto"/>
            <w:noWrap/>
            <w:tcMar>
              <w:top w:w="15" w:type="dxa"/>
              <w:left w:w="15" w:type="dxa"/>
              <w:bottom w:w="0" w:type="dxa"/>
              <w:right w:w="15" w:type="dxa"/>
            </w:tcMar>
            <w:vAlign w:val="center"/>
          </w:tcPr>
          <w:p>
            <w:pPr>
              <w:pStyle w:val="72"/>
            </w:pPr>
            <w:r>
              <w:rPr>
                <w:rFonts w:hint="eastAsia"/>
              </w:rPr>
              <w:t>98</w:t>
            </w:r>
          </w:p>
        </w:tc>
        <w:tc>
          <w:tcPr>
            <w:tcW w:w="1729" w:type="dxa"/>
            <w:shd w:val="clear" w:color="auto" w:fill="auto"/>
            <w:noWrap/>
            <w:tcMar>
              <w:top w:w="15" w:type="dxa"/>
              <w:left w:w="15" w:type="dxa"/>
              <w:bottom w:w="0" w:type="dxa"/>
              <w:right w:w="15" w:type="dxa"/>
            </w:tcMar>
            <w:vAlign w:val="center"/>
          </w:tcPr>
          <w:p>
            <w:pPr>
              <w:pStyle w:val="72"/>
            </w:pPr>
            <w:r>
              <w:rPr>
                <w:rFonts w:hint="eastAsia"/>
              </w:rPr>
              <w:t>8</w:t>
            </w:r>
          </w:p>
        </w:tc>
        <w:tc>
          <w:tcPr>
            <w:tcW w:w="1782" w:type="dxa"/>
            <w:shd w:val="clear" w:color="auto" w:fill="auto"/>
            <w:vAlign w:val="center"/>
          </w:tcPr>
          <w:p>
            <w:pPr>
              <w:pStyle w:val="72"/>
            </w:pPr>
            <w:r>
              <w:rPr>
                <w:rFonts w:hint="eastAsia"/>
              </w:rPr>
              <w:t>402.12</w:t>
            </w:r>
          </w:p>
        </w:tc>
      </w:tr>
    </w:tbl>
    <w:p>
      <w:pPr>
        <w:pStyle w:val="4"/>
      </w:pPr>
      <w:bookmarkStart w:id="351" w:name="_Toc8032625"/>
      <w:bookmarkStart w:id="352" w:name="_Toc531180129"/>
      <w:bookmarkStart w:id="353" w:name="_Toc161655162"/>
      <w:bookmarkStart w:id="354" w:name="_Toc202790528"/>
      <w:bookmarkStart w:id="355" w:name="_Toc161148405"/>
      <w:bookmarkStart w:id="356" w:name="_Toc514062603"/>
      <w:r>
        <w:t>6</w:t>
      </w:r>
      <w:r>
        <w:rPr>
          <w:rFonts w:hint="eastAsia"/>
        </w:rPr>
        <w:t>.2.3节水对策措施</w:t>
      </w:r>
      <w:bookmarkEnd w:id="351"/>
      <w:bookmarkEnd w:id="352"/>
    </w:p>
    <w:p>
      <w:pPr>
        <w:pStyle w:val="5"/>
        <w:spacing w:before="120"/>
      </w:pPr>
      <w:bookmarkStart w:id="357" w:name="_Toc8032626"/>
      <w:r>
        <w:rPr>
          <w:rFonts w:hint="eastAsia"/>
        </w:rPr>
        <w:t>6.2.3.1</w:t>
      </w:r>
      <w:r>
        <w:t>深入开展节水宣传教育，提高全民节水意识</w:t>
      </w:r>
      <w:bookmarkEnd w:id="357"/>
    </w:p>
    <w:p>
      <w:pPr>
        <w:ind w:firstLine="560"/>
      </w:pPr>
      <w:r>
        <w:t>采取不同手段，定期地长期地开展形式多样的宣传教育，不仅宣传</w:t>
      </w:r>
      <w:r>
        <w:rPr>
          <w:rFonts w:hint="eastAsia"/>
        </w:rPr>
        <w:t>淮北市</w:t>
      </w:r>
      <w:r>
        <w:t>的水资源形势，以及建设节水型城市是我们长期坚持的方针，还要宣传阶段性节水规划目标、节水法规和节水常识等等。</w:t>
      </w:r>
    </w:p>
    <w:p>
      <w:pPr>
        <w:ind w:firstLine="560"/>
      </w:pPr>
      <w:r>
        <w:t>继续每年开展世界水日和节水宣传周主题活动，集中开展城乡节水宣传。开展普法教育，面向社会、单位开展宣传贯彻《</w:t>
      </w:r>
      <w:r>
        <w:rPr>
          <w:rFonts w:hint="eastAsia"/>
        </w:rPr>
        <w:t>淮北市城</w:t>
      </w:r>
      <w:r>
        <w:t>市节约用水管理办法》等文件，每年组织节水法规宣传，提高全市依法管水的理念和意识。</w:t>
      </w:r>
    </w:p>
    <w:p>
      <w:pPr>
        <w:ind w:firstLine="560"/>
      </w:pPr>
      <w:r>
        <w:t>表彰节水先进单位、社区、个人等典型</w:t>
      </w:r>
      <w:r>
        <w:rPr>
          <w:rFonts w:hint="eastAsia"/>
        </w:rPr>
        <w:t>，</w:t>
      </w:r>
      <w:r>
        <w:t>建立公示制度，定期对节水先进典型进行表彰，对严重浪费用水行为和执行节水法规不力的单位在网络媒体上给予曝光。</w:t>
      </w:r>
    </w:p>
    <w:p>
      <w:pPr>
        <w:ind w:firstLine="560"/>
      </w:pPr>
      <w:r>
        <w:t>加大节水宣传力度，扩大社会才公众参与程度，利用新闻媒体刊登、播放节水公益广告，广泛宣传节水知识，推广节水技术和产品。编写节水读本，对广大青少年进行广泛的节水宣传教育。</w:t>
      </w:r>
    </w:p>
    <w:p>
      <w:pPr>
        <w:ind w:firstLine="560"/>
      </w:pPr>
      <w:r>
        <w:t>宣传落实节水产品标准，开展技术咨询、培训，每年组织一次全市节水器具推介会。</w:t>
      </w:r>
    </w:p>
    <w:p>
      <w:pPr>
        <w:pStyle w:val="5"/>
        <w:spacing w:before="120"/>
      </w:pPr>
      <w:bookmarkStart w:id="358" w:name="_bookmark98"/>
      <w:bookmarkEnd w:id="358"/>
      <w:bookmarkStart w:id="359" w:name="_Toc8032627"/>
      <w:r>
        <w:rPr>
          <w:rFonts w:hint="eastAsia"/>
        </w:rPr>
        <w:t>6.2.3.2</w:t>
      </w:r>
      <w:r>
        <w:t>加强节水器具和节水装置的普及和管理</w:t>
      </w:r>
      <w:bookmarkEnd w:id="359"/>
    </w:p>
    <w:p>
      <w:pPr>
        <w:ind w:firstLine="560"/>
      </w:pPr>
      <w:r>
        <w:t>规划期内，根据《节水型生活用水器具》（CJ/T164-2014）等标准的新要求，加强用水器具市场监督，规范市场，禁止销售明令淘汰的非节水型卫生洁具，发布节水器具</w:t>
      </w:r>
      <w:r>
        <w:rPr>
          <w:rFonts w:hint="eastAsia"/>
        </w:rPr>
        <w:t>推广目录</w:t>
      </w:r>
      <w:r>
        <w:t>。规划期内，生活节水器具普及率保持在100%。</w:t>
      </w:r>
      <w:r>
        <w:rPr>
          <w:rFonts w:hint="eastAsia"/>
        </w:rPr>
        <w:t>当前阶段重点推广的节水器具如下</w:t>
      </w:r>
      <w:r>
        <w:t>：</w:t>
      </w:r>
    </w:p>
    <w:p>
      <w:pPr>
        <w:ind w:firstLine="560"/>
      </w:pPr>
      <w:r>
        <w:rPr>
          <w:rFonts w:hint="eastAsia"/>
        </w:rPr>
        <w:t>1）</w:t>
      </w:r>
      <w:r>
        <w:t>推广3L/6L两档式大便器</w:t>
      </w:r>
    </w:p>
    <w:p>
      <w:pPr>
        <w:ind w:firstLine="560"/>
      </w:pPr>
      <w:r>
        <w:t>推广2档冲洗水箱大便器，采用3L/6L水箱，大便冲洗6L，小便因没有固体颗粒物采用4.5L水冲洗，这种坐式大便器与老式一档冲洗大便器相比可以节省水25%。如果按每人每天1次大便，9次小便，则采用2档6L冲洗水箱的大便器，每人每天可以节水13.5L。对于1个5万人的小区，日可以节水为13.5×5=66万L=660m³的水，这些水可以供应660000/138=4782人，因此节约的水可以供给4782人的日供水量，节水可观。</w:t>
      </w:r>
    </w:p>
    <w:p>
      <w:pPr>
        <w:ind w:firstLine="560"/>
      </w:pPr>
      <w:r>
        <w:rPr>
          <w:rFonts w:hint="eastAsia"/>
        </w:rPr>
        <w:t>2）</w:t>
      </w:r>
      <w:r>
        <w:t>公共浴室推广智能型淋浴器</w:t>
      </w:r>
    </w:p>
    <w:p>
      <w:pPr>
        <w:ind w:firstLine="560"/>
      </w:pPr>
      <w:r>
        <w:t>洗浴业要安装节水型用水装置；大众浴池采用智能型节水淋浴器，刷卡式或光电感应式，流量宜为0.08L/s，流量不均匀性应低于0.03L/s。采用双管供水的公共浴室熬采用带恒温控制与温度显示功能的冷热水混合淋浴器。有条件的要设置洗浴废水回收利用设施。</w:t>
      </w:r>
    </w:p>
    <w:p>
      <w:pPr>
        <w:ind w:firstLine="560"/>
      </w:pPr>
      <w:r>
        <w:rPr>
          <w:rFonts w:hint="eastAsia"/>
        </w:rPr>
        <w:t>3）</w:t>
      </w:r>
      <w:r>
        <w:t>公共场所推广非接触式冲洗装置</w:t>
      </w:r>
    </w:p>
    <w:p>
      <w:pPr>
        <w:ind w:firstLine="560"/>
      </w:pPr>
      <w:r>
        <w:t>在医院、商场等公共场所，推广非接触式冲洗装置。大便器采用脚踏式冲洗阀，洗手盆和小便器采用感应式水龙头，采用陶瓷密封水嘴，水嘴流量应低于0.1L/s，流量不均匀性应低于0.33L/s。</w:t>
      </w:r>
    </w:p>
    <w:p>
      <w:pPr>
        <w:ind w:firstLine="560"/>
      </w:pPr>
      <w:r>
        <w:rPr>
          <w:rFonts w:hint="eastAsia"/>
        </w:rPr>
        <w:t>4）</w:t>
      </w:r>
      <w:r>
        <w:t>推广节水型洗衣、洗碗等装置</w:t>
      </w:r>
    </w:p>
    <w:p>
      <w:pPr>
        <w:ind w:firstLine="560"/>
      </w:pPr>
      <w:r>
        <w:t>家庭内推广使用滚筒式洗衣机，根据《节水型生活用水器具》（CJ/T164-2014）的计算，单位洗涤容量的用水量，波轮式和全自动搅拌式洗衣机为24L/kg，而滚筒式洗衣机仅为14L/kg。公共洗衣房内应加强水龙头和洗衣机的管理，使用洗衣水回收再利用装置、蒸汽熨烫冷凝水回收装置。波轮式、全自动搅拌式洗衣机洗净比不应小于0.83，滚筒式洗衣机洗净比不应小于0.94。餐饮行业应重点加强洗碗机和洗菜机的日常管理，设置厨房漂洗用水回收利用装置，采用节水型洗碗机和洗菜机。</w:t>
      </w:r>
    </w:p>
    <w:p>
      <w:pPr>
        <w:ind w:firstLine="560"/>
      </w:pPr>
      <w:r>
        <w:rPr>
          <w:rFonts w:hint="eastAsia"/>
        </w:rPr>
        <w:t>5）</w:t>
      </w:r>
      <w:r>
        <w:t>加强洗车业的节水管理</w:t>
      </w:r>
    </w:p>
    <w:p>
      <w:pPr>
        <w:ind w:firstLine="560"/>
      </w:pPr>
      <w:r>
        <w:t>洗车行业耗水量大，对环境也存在污染。比如一些路边的洗车摊随意排放污水，不规范的洗车店没有对洗车排放污水进行过滤，直接排入污水管道，现在很多店使用的洗涤剂含磷元，造成水体富营养化污染。下一步要重点加强洗车水龙头和喷头设备管理，采用抹车、微水冲洗或安装洗车水循环装置，使用回收水洗车。</w:t>
      </w:r>
    </w:p>
    <w:p>
      <w:pPr>
        <w:ind w:firstLine="560"/>
      </w:pPr>
      <w:r>
        <w:rPr>
          <w:rFonts w:hint="eastAsia"/>
        </w:rPr>
        <w:t>6）</w:t>
      </w:r>
      <w:r>
        <w:t>强化建筑给水和热水供应系统合理设计，实现系统节水</w:t>
      </w:r>
    </w:p>
    <w:p>
      <w:pPr>
        <w:ind w:firstLine="560"/>
      </w:pPr>
      <w:r>
        <w:t>为了限制卫生器具的出流量我国规范《建筑给水排水设计规范》GB50015-2003规定卫生器具的水压一般为0.05MPa～0.15MPa，当系统供水压力增加时，用水器具的水龙头或给水阀出流量增加，造成用水器具在有效时间内的出水量大于实际需求，致使水浪费。节流节水技术主要是提供水龙头等用水器具的合理出水流，使水龙头出水既能满足使用者的用水要求，又能防止出流过大形成浪费。节流节水分为层间和层（户）内2种情况。</w:t>
      </w:r>
    </w:p>
    <w:p>
      <w:pPr>
        <w:ind w:firstLine="560"/>
      </w:pPr>
      <w:r>
        <w:t>（1）层间节流节水</w:t>
      </w:r>
    </w:p>
    <w:p>
      <w:pPr>
        <w:ind w:firstLine="560"/>
      </w:pPr>
      <w:r>
        <w:t>6层</w:t>
      </w:r>
      <w:r>
        <w:rPr>
          <w:rFonts w:hint="eastAsia"/>
        </w:rPr>
        <w:t>及</w:t>
      </w:r>
      <w:r>
        <w:t>以下的住宅和3层</w:t>
      </w:r>
      <w:r>
        <w:rPr>
          <w:rFonts w:hint="eastAsia"/>
        </w:rPr>
        <w:t>及</w:t>
      </w:r>
      <w:r>
        <w:t>以下的公建可直接利用城市自来水的压力，而高层建筑要水泵供水，因压力过高而分区供水，尽管分区供水，但因分区管道占层高，以及增加管材的原因，从经济性考虑分区不能过多，从而使系统供水压力增大，所以节流节水在高层建筑就更加明显。</w:t>
      </w:r>
    </w:p>
    <w:p>
      <w:pPr>
        <w:ind w:firstLine="560"/>
      </w:pPr>
      <w:r>
        <w:t>为防止系统压力过大，规范规定各分区最低卫生器具配水点处的静水压不宜大于0.45MPa，特殊情况下不宜大于0.55MPa；水压大于0.35MPa的入户管（或配水横管），宜设减压或调压设置；各分区最不利配水点的水压，应满足用水水压要求。</w:t>
      </w:r>
    </w:p>
    <w:p>
      <w:pPr>
        <w:ind w:firstLine="560"/>
      </w:pPr>
      <w:r>
        <w:t>用水最不利层的用水压力因建筑的性质不同而不同，居住建筑一般为0.10MPa～0.15MPa，公共建筑一般为0.15~0.20MPa，而用水最有利用水点的水压为0.35MPa～0.45MPa，最高可达0.55MPa，这样便造成不同层用户水压的不平衡，为层间节水提供了空间和机遇。层间节流节水一般采用减压阀减压实现节流节水。</w:t>
      </w:r>
    </w:p>
    <w:p>
      <w:pPr>
        <w:ind w:firstLine="560"/>
      </w:pPr>
      <w:r>
        <w:t>（2）层（户）内节流节水</w:t>
      </w:r>
    </w:p>
    <w:p>
      <w:pPr>
        <w:ind w:firstLine="560"/>
      </w:pPr>
      <w:r>
        <w:t>层（户）内因不同用水器具最佳出流压力不同，而存在层（户）内节流节水空间，通常采用减压胶圈减压节水，目前国际上有些厂家的水龙头带有减压胶圈，但国内厂家相对较少。</w:t>
      </w:r>
    </w:p>
    <w:p>
      <w:pPr>
        <w:ind w:firstLine="560"/>
      </w:pPr>
      <w:r>
        <w:t>水龙头的出流公式如下：</w:t>
      </w:r>
    </w:p>
    <w:p>
      <w:pPr>
        <w:spacing w:before="120"/>
        <w:ind w:left="267" w:right="827" w:firstLine="500"/>
        <w:jc w:val="center"/>
        <w:rPr>
          <w:i/>
          <w:sz w:val="25"/>
        </w:rPr>
      </w:pPr>
      <w:r>
        <w:rPr>
          <w:i/>
          <w:sz w:val="25"/>
        </w:rPr>
        <mc:AlternateContent>
          <mc:Choice Requires="wpg">
            <w:drawing>
              <wp:anchor distT="0" distB="0" distL="114300" distR="114300" simplePos="0" relativeHeight="251664384" behindDoc="0" locked="0" layoutInCell="1" allowOverlap="1">
                <wp:simplePos x="0" y="0"/>
                <wp:positionH relativeFrom="page">
                  <wp:posOffset>4334510</wp:posOffset>
                </wp:positionH>
                <wp:positionV relativeFrom="paragraph">
                  <wp:posOffset>184150</wp:posOffset>
                </wp:positionV>
                <wp:extent cx="215265" cy="202565"/>
                <wp:effectExtent l="0" t="1270" r="13335" b="9525"/>
                <wp:wrapNone/>
                <wp:docPr id="20" name="组合 23"/>
                <wp:cNvGraphicFramePr/>
                <a:graphic xmlns:a="http://schemas.openxmlformats.org/drawingml/2006/main">
                  <a:graphicData uri="http://schemas.microsoft.com/office/word/2010/wordprocessingGroup">
                    <wpg:wgp>
                      <wpg:cNvGrpSpPr/>
                      <wpg:grpSpPr>
                        <a:xfrm>
                          <a:off x="0" y="0"/>
                          <a:ext cx="215265" cy="202565"/>
                          <a:chOff x="6130" y="122"/>
                          <a:chExt cx="339" cy="319"/>
                        </a:xfrm>
                      </wpg:grpSpPr>
                      <wps:wsp>
                        <wps:cNvPr id="6" name="直线 24"/>
                        <wps:cNvCnPr/>
                        <wps:spPr>
                          <a:xfrm flipV="1">
                            <a:off x="6136" y="320"/>
                            <a:ext cx="31" cy="18"/>
                          </a:xfrm>
                          <a:prstGeom prst="line">
                            <a:avLst/>
                          </a:prstGeom>
                          <a:ln w="6567" cap="flat" cmpd="sng">
                            <a:solidFill>
                              <a:srgbClr val="000000"/>
                            </a:solidFill>
                            <a:prstDash val="solid"/>
                            <a:headEnd type="none" w="med" len="med"/>
                            <a:tailEnd type="none" w="med" len="med"/>
                          </a:ln>
                        </wps:spPr>
                        <wps:bodyPr upright="1"/>
                      </wps:wsp>
                      <wps:wsp>
                        <wps:cNvPr id="8" name="直线 25"/>
                        <wps:cNvCnPr/>
                        <wps:spPr>
                          <a:xfrm>
                            <a:off x="6167" y="325"/>
                            <a:ext cx="46" cy="104"/>
                          </a:xfrm>
                          <a:prstGeom prst="line">
                            <a:avLst/>
                          </a:prstGeom>
                          <a:ln w="13032" cap="flat" cmpd="sng">
                            <a:solidFill>
                              <a:srgbClr val="000000"/>
                            </a:solidFill>
                            <a:prstDash val="solid"/>
                            <a:headEnd type="none" w="med" len="med"/>
                            <a:tailEnd type="none" w="med" len="med"/>
                          </a:ln>
                        </wps:spPr>
                        <wps:bodyPr upright="1"/>
                      </wps:wsp>
                      <wps:wsp>
                        <wps:cNvPr id="10" name="直线 26"/>
                        <wps:cNvCnPr/>
                        <wps:spPr>
                          <a:xfrm flipV="1">
                            <a:off x="6218" y="127"/>
                            <a:ext cx="60" cy="302"/>
                          </a:xfrm>
                          <a:prstGeom prst="line">
                            <a:avLst/>
                          </a:prstGeom>
                          <a:ln w="6505" cap="flat" cmpd="sng">
                            <a:solidFill>
                              <a:srgbClr val="000000"/>
                            </a:solidFill>
                            <a:prstDash val="solid"/>
                            <a:headEnd type="none" w="med" len="med"/>
                            <a:tailEnd type="none" w="med" len="med"/>
                          </a:ln>
                        </wps:spPr>
                        <wps:bodyPr upright="1"/>
                      </wps:wsp>
                      <wps:wsp>
                        <wps:cNvPr id="14" name="直线 27"/>
                        <wps:cNvCnPr/>
                        <wps:spPr>
                          <a:xfrm>
                            <a:off x="6278" y="127"/>
                            <a:ext cx="186" cy="0"/>
                          </a:xfrm>
                          <a:prstGeom prst="line">
                            <a:avLst/>
                          </a:prstGeom>
                          <a:ln w="6589" cap="flat" cmpd="sng">
                            <a:solidFill>
                              <a:srgbClr val="000000"/>
                            </a:solidFill>
                            <a:prstDash val="solid"/>
                            <a:headEnd type="none" w="med" len="med"/>
                            <a:tailEnd type="none" w="med" len="med"/>
                          </a:ln>
                        </wps:spPr>
                        <wps:bodyPr upright="1"/>
                      </wps:wsp>
                      <wps:wsp>
                        <wps:cNvPr id="17" name="文本框 28"/>
                        <wps:cNvSpPr txBox="1"/>
                        <wps:spPr>
                          <a:xfrm>
                            <a:off x="6130" y="121"/>
                            <a:ext cx="339" cy="318"/>
                          </a:xfrm>
                          <a:prstGeom prst="rect">
                            <a:avLst/>
                          </a:prstGeom>
                          <a:noFill/>
                          <a:ln>
                            <a:noFill/>
                          </a:ln>
                        </wps:spPr>
                        <wps:txbx>
                          <w:txbxContent>
                            <w:p>
                              <w:pPr>
                                <w:spacing w:line="240" w:lineRule="auto"/>
                                <w:ind w:firstLine="198" w:firstLineChars="81"/>
                                <w:rPr>
                                  <w:i/>
                                  <w:sz w:val="25"/>
                                </w:rPr>
                              </w:pPr>
                              <w:r>
                                <w:rPr>
                                  <w:i/>
                                  <w:w w:val="98"/>
                                  <w:sz w:val="25"/>
                                </w:rPr>
                                <w:t>p</w:t>
                              </w:r>
                            </w:p>
                          </w:txbxContent>
                        </wps:txbx>
                        <wps:bodyPr lIns="0" tIns="0" rIns="0" bIns="0" upright="1"/>
                      </wps:wsp>
                    </wpg:wgp>
                  </a:graphicData>
                </a:graphic>
              </wp:anchor>
            </w:drawing>
          </mc:Choice>
          <mc:Fallback>
            <w:pict>
              <v:group id="组合 23" o:spid="_x0000_s1026" o:spt="203" style="position:absolute;left:0pt;margin-left:341.3pt;margin-top:14.5pt;height:15.95pt;width:16.95pt;mso-position-horizontal-relative:page;z-index:251664384;mso-width-relative:page;mso-height-relative:page;" coordorigin="6130,122" coordsize="339,319" o:gfxdata="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">
                <o:lock v:ext="edit" aspectratio="f"/>
                <v:line id="直线 24" o:spid="_x0000_s1026" o:spt="20" style="position:absolute;left:6136;top:320;flip:y;height:18;width:31;" filled="f" stroked="t" coordsize="21600,21600" o:gfxdata="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7BF8vQAA&#10;ANoAAAAPAAAAAAAAAAEAIAAAACIAAABkcnMvZG93bnJldi54bWxQSwECFAAUAAAACACHTuJAMy8F&#10;njsAAAA5AAAAEAAAAAAAAAABACAAAAAMAQAAZHJzL3NoYXBleG1sLnhtbFBLBQYAAAAABgAGAFsB&#10;AAC2AwAAAAA=&#10;">
                  <v:fill on="f" focussize="0,0"/>
                  <v:stroke weight="0.517086614173228pt" color="#000000" joinstyle="round"/>
                  <v:imagedata o:title=""/>
                  <o:lock v:ext="edit" aspectratio="f"/>
                </v:line>
                <v:line id="直线 25" o:spid="_x0000_s1026" o:spt="20" style="position:absolute;left:6167;top:325;height:104;width:46;" filled="f" stroked="t" coordsize="21600,21600" o:gfxdata="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RYETrsAAADa&#10;AAAADwAAAAAAAAABACAAAAAiAAAAZHJzL2Rvd25yZXYueG1sUEsBAhQAFAAAAAgAh07iQDMvBZ47&#10;AAAAOQAAABAAAAAAAAAAAQAgAAAACgEAAGRycy9zaGFwZXhtbC54bWxQSwUGAAAAAAYABgBbAQAA&#10;tAMAAAAA&#10;">
                  <v:fill on="f" focussize="0,0"/>
                  <v:stroke weight="1.02614173228346pt" color="#000000" joinstyle="round"/>
                  <v:imagedata o:title=""/>
                  <o:lock v:ext="edit" aspectratio="f"/>
                </v:line>
                <v:line id="直线 26" o:spid="_x0000_s1026" o:spt="20" style="position:absolute;left:6218;top:127;flip:y;height:302;width:60;" filled="f" stroked="t" coordsize="21600,21600" o:gfxdata="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0cFFrsAAADb&#10;AAAADwAAAAAAAAABACAAAAAiAAAAZHJzL2Rvd25yZXYueG1sUEsBAhQAFAAAAAgAh07iQDMvBZ47&#10;AAAAOQAAABAAAAAAAAAAAQAgAAAACgEAAGRycy9zaGFwZXhtbC54bWxQSwUGAAAAAAYABgBbAQAA&#10;tAMAAAAA&#10;">
                  <v:fill on="f" focussize="0,0"/>
                  <v:stroke weight="0.512204724409449pt" color="#000000" joinstyle="round"/>
                  <v:imagedata o:title=""/>
                  <o:lock v:ext="edit" aspectratio="f"/>
                </v:line>
                <v:line id="直线 27" o:spid="_x0000_s1026" o:spt="20" style="position:absolute;left:6278;top:127;height:0;width:186;" filled="f" stroked="t" coordsize="21600,21600" o:gfxdata="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HtGF7sAAADb&#10;AAAADwAAAAAAAAABACAAAAAiAAAAZHJzL2Rvd25yZXYueG1sUEsBAhQAFAAAAAgAh07iQDMvBZ47&#10;AAAAOQAAABAAAAAAAAAAAQAgAAAACgEAAGRycy9zaGFwZXhtbC54bWxQSwUGAAAAAAYABgBbAQAA&#10;tAMAAAAA&#10;">
                  <v:fill on="f" focussize="0,0"/>
                  <v:stroke weight="0.518818897637795pt" color="#000000" joinstyle="round"/>
                  <v:imagedata o:title=""/>
                  <o:lock v:ext="edit" aspectratio="f"/>
                </v:line>
                <v:shape id="文本框 28" o:spid="_x0000_s1026" o:spt="202" type="#_x0000_t202" style="position:absolute;left:6130;top:121;height:318;width:339;" filled="f" stroked="f" coordsize="21600,21600" o:gfxdata="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Xjacy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40" w:lineRule="auto"/>
                          <w:ind w:firstLine="198" w:firstLineChars="81"/>
                          <w:rPr>
                            <w:i/>
                            <w:sz w:val="25"/>
                          </w:rPr>
                        </w:pPr>
                        <w:r>
                          <w:rPr>
                            <w:i/>
                            <w:w w:val="98"/>
                            <w:sz w:val="25"/>
                          </w:rPr>
                          <w:t>p</w:t>
                        </w:r>
                      </w:p>
                    </w:txbxContent>
                  </v:textbox>
                </v:shape>
              </v:group>
            </w:pict>
          </mc:Fallback>
        </mc:AlternateContent>
      </w:r>
      <w:r>
        <w:rPr>
          <w:i/>
          <w:sz w:val="25"/>
        </w:rPr>
        <w:t>q</w:t>
      </w:r>
      <w:r>
        <w:rPr>
          <w:rFonts w:ascii="Symbol" w:hAnsi="Symbol"/>
          <w:sz w:val="25"/>
        </w:rPr>
        <w:t></w:t>
      </w:r>
      <w:r>
        <w:rPr>
          <w:rFonts w:ascii="Symbol" w:hAnsi="Symbol"/>
          <w:i/>
          <w:sz w:val="26"/>
        </w:rPr>
        <w:t></w:t>
      </w:r>
      <w:r>
        <w:rPr>
          <w:i/>
          <w:sz w:val="25"/>
        </w:rPr>
        <w:t>w</w:t>
      </w:r>
    </w:p>
    <w:p>
      <w:pPr>
        <w:ind w:firstLine="560"/>
      </w:pPr>
      <w:r>
        <w:t>式中：q——水龙头出流量，L/s；</w:t>
      </w:r>
    </w:p>
    <w:p>
      <w:pPr>
        <w:ind w:firstLine="560"/>
      </w:pPr>
      <w:r>
        <w:t></w:t>
      </w:r>
      <w:r>
        <w:rPr>
          <w:rFonts w:ascii="Symbol" w:hAnsi="Symbol"/>
          <w:i/>
          <w:sz w:val="26"/>
        </w:rPr>
        <w:t></w:t>
      </w:r>
      <w:r>
        <w:t>——水龙头出流系数；</w:t>
      </w:r>
    </w:p>
    <w:p>
      <w:pPr>
        <w:ind w:firstLine="560"/>
      </w:pPr>
      <w:r>
        <w:t>w——水龙头出水口面积；</w:t>
      </w:r>
    </w:p>
    <w:p>
      <w:pPr>
        <w:ind w:firstLine="560"/>
      </w:pPr>
      <w:r>
        <w:t>p——水龙头出水嘴处的水压，MPa。</w:t>
      </w:r>
    </w:p>
    <w:p>
      <w:pPr>
        <w:ind w:firstLine="560"/>
      </w:pPr>
      <w:r>
        <w:t>由上述公式可以看出，水龙头处的压力与其出水量的平方根成正比，压力越大出流量越大。对于层（户）内采用橡胶圈减压的目的是减少的面积，同时增加阻力，减少水龙头出水嘴处的水压值来实现减少出流量。</w:t>
      </w:r>
    </w:p>
    <w:p>
      <w:pPr>
        <w:ind w:firstLine="560"/>
      </w:pPr>
      <w:r>
        <w:t>国内外实践表明，水龙头处设置减压胶圈意义明显</w:t>
      </w:r>
      <w:r>
        <w:rPr>
          <w:rFonts w:hint="eastAsia"/>
        </w:rPr>
        <w:t>，</w:t>
      </w:r>
      <w:r>
        <w:t>综合节水效益在20%以上。</w:t>
      </w:r>
    </w:p>
    <w:p>
      <w:pPr>
        <w:ind w:firstLine="560"/>
      </w:pPr>
      <w:r>
        <w:t>另外一种节流技术是在水龙头出水口的负压区设置吸气孔，吸气后因空气掺入水中，变为两相流，增加流量而降低水的质量流量，以实现节水。因水龙头出水掺入了空气，水流柔和，不溅水。但吸入的空气含有灰尘和细菌，水质变坏的可能性增加，因此这种节水方法不是最佳方式。</w:t>
      </w:r>
    </w:p>
    <w:p>
      <w:pPr>
        <w:ind w:firstLine="560"/>
      </w:pPr>
      <w:r>
        <w:t>（3）缩短无效出流时间节水</w:t>
      </w:r>
    </w:p>
    <w:p>
      <w:pPr>
        <w:ind w:firstLine="560"/>
      </w:pPr>
      <w:r>
        <w:t>缩短无效出流时间在工程上主要是自动水龙头、自闭冲洗阀和生活热水系统。前者因自动水龙头或者自闭冲洗阀因没有调节好，出现冲洗时间过长而浪费水，目前主要是工程中没有合适的根据水压不同的调节规律，另外有时受水龙头自控系统灵敏感度的影响，在人员走后水龙头还在出水。因此对于自动水龙头应提出技术指标，如离开后0.5s自动关闭水龙头等，以实现防止无效水流过长。而对于自闭冲洗阀应有压力调节的技术指标，防止出流过大。</w:t>
      </w:r>
    </w:p>
    <w:p>
      <w:pPr>
        <w:ind w:firstLine="560"/>
      </w:pPr>
      <w:r>
        <w:t>生活热水系统无效出流主要是因为热水系统枝管没有保温和循环，造成管道内的冷却，热水变冷水，或者系统设计不合理，造成水龙头出热水的时间太长，如有的宾馆要30min才能出热水，造成水浪费过多，国际上先进的指标是5~10s出热水，我国规定是10~15s。</w:t>
      </w:r>
    </w:p>
    <w:p>
      <w:pPr>
        <w:ind w:firstLine="560"/>
      </w:pPr>
      <w:r>
        <w:t>另外无效水流也可能是水箱进水阀门坏或者溢流水位设置不合理等而造成溢流，从而大量浪费水，解决的方案是加强管理和合理设置溢流水位。</w:t>
      </w:r>
    </w:p>
    <w:p>
      <w:pPr>
        <w:ind w:firstLine="560"/>
      </w:pPr>
      <w:r>
        <w:rPr>
          <w:rFonts w:hint="eastAsia"/>
        </w:rPr>
        <w:t>7）</w:t>
      </w:r>
      <w:r>
        <w:t>加强中央空调的节水管理</w:t>
      </w:r>
    </w:p>
    <w:p>
      <w:pPr>
        <w:ind w:firstLine="560"/>
        <w:rPr>
          <w:snapToGrid w:val="0"/>
          <w:kern w:val="2"/>
        </w:rPr>
      </w:pPr>
      <w:r>
        <w:t>空调节水潜力巨大，通过提高浓缩倍数来降低排污量而实现节水。工程中通过采用系统投加缓蚀阻垢剂的方式提高系统的浓缩倍数，使浓缩倍数在3~4之间，这样可以节约水20%以上。使新鲜水的补水率控制在1.5%左右，目前一般设计补水率控制在1.5~2%之间，实际运行有时还会超过2%。各种浓缩倍数下的补水率见表6-2。</w:t>
      </w:r>
    </w:p>
    <w:p>
      <w:pPr>
        <w:pStyle w:val="16"/>
        <w:kinsoku w:val="0"/>
        <w:overflowPunct w:val="0"/>
        <w:spacing w:before="154" w:line="360" w:lineRule="auto"/>
        <w:ind w:firstLine="641" w:firstLineChars="266"/>
        <w:jc w:val="center"/>
        <w:rPr>
          <w:rFonts w:cs="Times New Roman"/>
          <w:b/>
          <w:sz w:val="24"/>
        </w:rPr>
      </w:pPr>
      <w:r>
        <w:rPr>
          <w:rFonts w:cs="Times New Roman"/>
          <w:b/>
          <w:sz w:val="24"/>
        </w:rPr>
        <w:t>表6</w:t>
      </w:r>
      <w:r>
        <w:rPr>
          <w:rFonts w:hint="eastAsia" w:cs="Times New Roman"/>
          <w:b/>
          <w:sz w:val="24"/>
        </w:rPr>
        <w:t>-</w:t>
      </w:r>
      <w:r>
        <w:rPr>
          <w:rFonts w:cs="Times New Roman"/>
          <w:b/>
          <w:sz w:val="24"/>
        </w:rPr>
        <w:t>2</w:t>
      </w:r>
      <w:r>
        <w:rPr>
          <w:rFonts w:cs="Times New Roman"/>
          <w:b/>
          <w:sz w:val="24"/>
        </w:rPr>
        <w:tab/>
      </w:r>
      <w:r>
        <w:rPr>
          <w:rFonts w:hint="eastAsia" w:cs="Times New Roman"/>
          <w:b/>
          <w:sz w:val="24"/>
        </w:rPr>
        <w:t xml:space="preserve"> </w:t>
      </w:r>
      <w:r>
        <w:rPr>
          <w:rFonts w:cs="Times New Roman"/>
          <w:b/>
          <w:sz w:val="24"/>
        </w:rPr>
        <w:t>冷却循环水系统与补水量计算表</w:t>
      </w:r>
    </w:p>
    <w:tbl>
      <w:tblPr>
        <w:tblStyle w:val="39"/>
        <w:tblW w:w="10060"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0" w:type="dxa"/>
          <w:bottom w:w="0" w:type="dxa"/>
          <w:right w:w="0" w:type="dxa"/>
        </w:tblCellMar>
      </w:tblPr>
      <w:tblGrid>
        <w:gridCol w:w="2667"/>
        <w:gridCol w:w="679"/>
        <w:gridCol w:w="606"/>
        <w:gridCol w:w="1276"/>
        <w:gridCol w:w="1008"/>
        <w:gridCol w:w="1276"/>
        <w:gridCol w:w="1276"/>
        <w:gridCol w:w="1272"/>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80" w:hRule="atLeast"/>
          <w:jc w:val="center"/>
        </w:trPr>
        <w:tc>
          <w:tcPr>
            <w:tcW w:w="2667" w:type="dxa"/>
            <w:vAlign w:val="center"/>
          </w:tcPr>
          <w:p>
            <w:pPr>
              <w:pStyle w:val="72"/>
              <w:rPr>
                <w:rFonts w:eastAsia="Times New Roman"/>
                <w:lang w:eastAsia="en-US"/>
              </w:rPr>
            </w:pPr>
            <w:r>
              <w:rPr>
                <w:lang w:eastAsia="en-US"/>
              </w:rPr>
              <w:t>浓缩倍数</w:t>
            </w:r>
            <w:r>
              <w:rPr>
                <w:rFonts w:eastAsia="Times New Roman"/>
                <w:lang w:eastAsia="en-US"/>
              </w:rPr>
              <w:t>N</w:t>
            </w:r>
          </w:p>
        </w:tc>
        <w:tc>
          <w:tcPr>
            <w:tcW w:w="679" w:type="dxa"/>
            <w:vAlign w:val="center"/>
          </w:tcPr>
          <w:p>
            <w:pPr>
              <w:pStyle w:val="72"/>
              <w:rPr>
                <w:lang w:eastAsia="en-US"/>
              </w:rPr>
            </w:pPr>
            <w:r>
              <w:rPr>
                <w:lang w:eastAsia="en-US"/>
              </w:rPr>
              <w:t>1.5</w:t>
            </w:r>
          </w:p>
        </w:tc>
        <w:tc>
          <w:tcPr>
            <w:tcW w:w="606" w:type="dxa"/>
            <w:vAlign w:val="center"/>
          </w:tcPr>
          <w:p>
            <w:pPr>
              <w:pStyle w:val="72"/>
              <w:rPr>
                <w:lang w:eastAsia="en-US"/>
              </w:rPr>
            </w:pPr>
            <w:r>
              <w:rPr>
                <w:lang w:eastAsia="en-US"/>
              </w:rPr>
              <w:t>2</w:t>
            </w:r>
          </w:p>
        </w:tc>
        <w:tc>
          <w:tcPr>
            <w:tcW w:w="1276" w:type="dxa"/>
            <w:vAlign w:val="center"/>
          </w:tcPr>
          <w:p>
            <w:pPr>
              <w:pStyle w:val="72"/>
              <w:rPr>
                <w:lang w:eastAsia="en-US"/>
              </w:rPr>
            </w:pPr>
            <w:r>
              <w:rPr>
                <w:lang w:eastAsia="en-US"/>
              </w:rPr>
              <w:t>2.5</w:t>
            </w:r>
          </w:p>
        </w:tc>
        <w:tc>
          <w:tcPr>
            <w:tcW w:w="1008" w:type="dxa"/>
            <w:vAlign w:val="center"/>
          </w:tcPr>
          <w:p>
            <w:pPr>
              <w:pStyle w:val="72"/>
              <w:rPr>
                <w:lang w:eastAsia="en-US"/>
              </w:rPr>
            </w:pPr>
            <w:r>
              <w:rPr>
                <w:lang w:eastAsia="en-US"/>
              </w:rPr>
              <w:t>3</w:t>
            </w:r>
          </w:p>
        </w:tc>
        <w:tc>
          <w:tcPr>
            <w:tcW w:w="1276" w:type="dxa"/>
            <w:vAlign w:val="center"/>
          </w:tcPr>
          <w:p>
            <w:pPr>
              <w:pStyle w:val="72"/>
              <w:rPr>
                <w:lang w:eastAsia="en-US"/>
              </w:rPr>
            </w:pPr>
            <w:r>
              <w:rPr>
                <w:lang w:eastAsia="en-US"/>
              </w:rPr>
              <w:t>4</w:t>
            </w:r>
          </w:p>
        </w:tc>
        <w:tc>
          <w:tcPr>
            <w:tcW w:w="1276" w:type="dxa"/>
            <w:vAlign w:val="center"/>
          </w:tcPr>
          <w:p>
            <w:pPr>
              <w:pStyle w:val="72"/>
              <w:rPr>
                <w:lang w:eastAsia="en-US"/>
              </w:rPr>
            </w:pPr>
            <w:r>
              <w:rPr>
                <w:lang w:eastAsia="en-US"/>
              </w:rPr>
              <w:t>5</w:t>
            </w:r>
          </w:p>
        </w:tc>
        <w:tc>
          <w:tcPr>
            <w:tcW w:w="1272" w:type="dxa"/>
            <w:vAlign w:val="center"/>
          </w:tcPr>
          <w:p>
            <w:pPr>
              <w:pStyle w:val="72"/>
              <w:rPr>
                <w:lang w:eastAsia="en-US"/>
              </w:rPr>
            </w:pPr>
            <w:r>
              <w:rPr>
                <w:lang w:eastAsia="en-US"/>
              </w:rPr>
              <w:t>10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80" w:hRule="atLeast"/>
          <w:jc w:val="center"/>
        </w:trPr>
        <w:tc>
          <w:tcPr>
            <w:tcW w:w="2667" w:type="dxa"/>
            <w:vAlign w:val="center"/>
          </w:tcPr>
          <w:p>
            <w:pPr>
              <w:pStyle w:val="72"/>
              <w:rPr>
                <w:lang w:eastAsia="en-US"/>
              </w:rPr>
            </w:pPr>
            <w:r>
              <w:rPr>
                <w:lang w:eastAsia="en-US"/>
              </w:rPr>
              <w:t>补水量</w:t>
            </w:r>
          </w:p>
        </w:tc>
        <w:tc>
          <w:tcPr>
            <w:tcW w:w="679" w:type="dxa"/>
            <w:vAlign w:val="center"/>
          </w:tcPr>
          <w:p>
            <w:pPr>
              <w:pStyle w:val="72"/>
              <w:rPr>
                <w:lang w:eastAsia="en-US"/>
              </w:rPr>
            </w:pPr>
            <w:r>
              <w:rPr>
                <w:lang w:eastAsia="en-US"/>
              </w:rPr>
              <w:t>3E</w:t>
            </w:r>
          </w:p>
        </w:tc>
        <w:tc>
          <w:tcPr>
            <w:tcW w:w="606" w:type="dxa"/>
            <w:vAlign w:val="center"/>
          </w:tcPr>
          <w:p>
            <w:pPr>
              <w:pStyle w:val="72"/>
              <w:rPr>
                <w:lang w:eastAsia="en-US"/>
              </w:rPr>
            </w:pPr>
            <w:r>
              <w:rPr>
                <w:lang w:eastAsia="en-US"/>
              </w:rPr>
              <w:t>2E</w:t>
            </w:r>
          </w:p>
        </w:tc>
        <w:tc>
          <w:tcPr>
            <w:tcW w:w="1276" w:type="dxa"/>
            <w:vAlign w:val="center"/>
          </w:tcPr>
          <w:p>
            <w:pPr>
              <w:pStyle w:val="72"/>
              <w:rPr>
                <w:lang w:eastAsia="en-US"/>
              </w:rPr>
            </w:pPr>
            <w:r>
              <w:rPr>
                <w:lang w:eastAsia="en-US"/>
              </w:rPr>
              <w:t>1.67E</w:t>
            </w:r>
          </w:p>
        </w:tc>
        <w:tc>
          <w:tcPr>
            <w:tcW w:w="1008" w:type="dxa"/>
            <w:vAlign w:val="center"/>
          </w:tcPr>
          <w:p>
            <w:pPr>
              <w:pStyle w:val="72"/>
              <w:rPr>
                <w:lang w:eastAsia="en-US"/>
              </w:rPr>
            </w:pPr>
            <w:r>
              <w:rPr>
                <w:lang w:eastAsia="en-US"/>
              </w:rPr>
              <w:t>1.5E</w:t>
            </w:r>
          </w:p>
        </w:tc>
        <w:tc>
          <w:tcPr>
            <w:tcW w:w="1276" w:type="dxa"/>
            <w:vAlign w:val="center"/>
          </w:tcPr>
          <w:p>
            <w:pPr>
              <w:pStyle w:val="72"/>
              <w:rPr>
                <w:lang w:eastAsia="en-US"/>
              </w:rPr>
            </w:pPr>
            <w:r>
              <w:rPr>
                <w:lang w:eastAsia="en-US"/>
              </w:rPr>
              <w:t>1.33E</w:t>
            </w:r>
          </w:p>
        </w:tc>
        <w:tc>
          <w:tcPr>
            <w:tcW w:w="1276" w:type="dxa"/>
            <w:vAlign w:val="center"/>
          </w:tcPr>
          <w:p>
            <w:pPr>
              <w:pStyle w:val="72"/>
              <w:rPr>
                <w:lang w:eastAsia="en-US"/>
              </w:rPr>
            </w:pPr>
            <w:r>
              <w:rPr>
                <w:lang w:eastAsia="en-US"/>
              </w:rPr>
              <w:t>1.25E</w:t>
            </w:r>
          </w:p>
        </w:tc>
        <w:tc>
          <w:tcPr>
            <w:tcW w:w="1272" w:type="dxa"/>
            <w:vAlign w:val="center"/>
          </w:tcPr>
          <w:p>
            <w:pPr>
              <w:pStyle w:val="72"/>
              <w:rPr>
                <w:lang w:eastAsia="en-US"/>
              </w:rPr>
            </w:pPr>
            <w:r>
              <w:rPr>
                <w:lang w:eastAsia="en-US"/>
              </w:rPr>
              <w:t>1.11E</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80" w:hRule="atLeast"/>
          <w:jc w:val="center"/>
        </w:trPr>
        <w:tc>
          <w:tcPr>
            <w:tcW w:w="2667" w:type="dxa"/>
            <w:vAlign w:val="center"/>
          </w:tcPr>
          <w:p>
            <w:pPr>
              <w:pStyle w:val="72"/>
              <w:rPr>
                <w:rFonts w:eastAsia="Times New Roman"/>
                <w:lang w:eastAsia="en-US"/>
              </w:rPr>
            </w:pPr>
            <w:r>
              <w:rPr>
                <w:lang w:eastAsia="en-US"/>
              </w:rPr>
              <w:t>排污量</w:t>
            </w:r>
            <w:r>
              <w:rPr>
                <w:rFonts w:eastAsia="Times New Roman"/>
                <w:lang w:eastAsia="en-US"/>
              </w:rPr>
              <w:t>B</w:t>
            </w:r>
          </w:p>
        </w:tc>
        <w:tc>
          <w:tcPr>
            <w:tcW w:w="679" w:type="dxa"/>
            <w:vAlign w:val="center"/>
          </w:tcPr>
          <w:p>
            <w:pPr>
              <w:pStyle w:val="72"/>
              <w:rPr>
                <w:lang w:eastAsia="en-US"/>
              </w:rPr>
            </w:pPr>
            <w:r>
              <w:rPr>
                <w:lang w:eastAsia="en-US"/>
              </w:rPr>
              <w:t>2E</w:t>
            </w:r>
          </w:p>
        </w:tc>
        <w:tc>
          <w:tcPr>
            <w:tcW w:w="606" w:type="dxa"/>
            <w:vAlign w:val="center"/>
          </w:tcPr>
          <w:p>
            <w:pPr>
              <w:pStyle w:val="72"/>
              <w:rPr>
                <w:lang w:eastAsia="en-US"/>
              </w:rPr>
            </w:pPr>
            <w:r>
              <w:rPr>
                <w:lang w:eastAsia="en-US"/>
              </w:rPr>
              <w:t>E</w:t>
            </w:r>
          </w:p>
        </w:tc>
        <w:tc>
          <w:tcPr>
            <w:tcW w:w="1276" w:type="dxa"/>
            <w:vAlign w:val="center"/>
          </w:tcPr>
          <w:p>
            <w:pPr>
              <w:pStyle w:val="72"/>
              <w:rPr>
                <w:lang w:eastAsia="en-US"/>
              </w:rPr>
            </w:pPr>
            <w:r>
              <w:rPr>
                <w:lang w:eastAsia="en-US"/>
              </w:rPr>
              <w:t>0.67E</w:t>
            </w:r>
          </w:p>
        </w:tc>
        <w:tc>
          <w:tcPr>
            <w:tcW w:w="1008" w:type="dxa"/>
            <w:vAlign w:val="center"/>
          </w:tcPr>
          <w:p>
            <w:pPr>
              <w:pStyle w:val="72"/>
              <w:rPr>
                <w:lang w:eastAsia="en-US"/>
              </w:rPr>
            </w:pPr>
            <w:r>
              <w:rPr>
                <w:lang w:eastAsia="en-US"/>
              </w:rPr>
              <w:t>0.5E</w:t>
            </w:r>
          </w:p>
        </w:tc>
        <w:tc>
          <w:tcPr>
            <w:tcW w:w="1276" w:type="dxa"/>
            <w:vAlign w:val="center"/>
          </w:tcPr>
          <w:p>
            <w:pPr>
              <w:pStyle w:val="72"/>
              <w:rPr>
                <w:lang w:eastAsia="en-US"/>
              </w:rPr>
            </w:pPr>
            <w:r>
              <w:rPr>
                <w:lang w:eastAsia="en-US"/>
              </w:rPr>
              <w:t>0.33E</w:t>
            </w:r>
          </w:p>
        </w:tc>
        <w:tc>
          <w:tcPr>
            <w:tcW w:w="1276" w:type="dxa"/>
            <w:vAlign w:val="center"/>
          </w:tcPr>
          <w:p>
            <w:pPr>
              <w:pStyle w:val="72"/>
              <w:rPr>
                <w:lang w:eastAsia="en-US"/>
              </w:rPr>
            </w:pPr>
            <w:r>
              <w:rPr>
                <w:lang w:eastAsia="en-US"/>
              </w:rPr>
              <w:t>0.25E</w:t>
            </w:r>
          </w:p>
        </w:tc>
        <w:tc>
          <w:tcPr>
            <w:tcW w:w="1272" w:type="dxa"/>
            <w:vAlign w:val="center"/>
          </w:tcPr>
          <w:p>
            <w:pPr>
              <w:pStyle w:val="72"/>
              <w:rPr>
                <w:lang w:eastAsia="en-US"/>
              </w:rPr>
            </w:pPr>
            <w:r>
              <w:rPr>
                <w:lang w:eastAsia="en-US"/>
              </w:rPr>
              <w:t>0.11E</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80" w:hRule="atLeast"/>
          <w:jc w:val="center"/>
        </w:trPr>
        <w:tc>
          <w:tcPr>
            <w:tcW w:w="10060" w:type="dxa"/>
            <w:gridSpan w:val="8"/>
            <w:vAlign w:val="center"/>
          </w:tcPr>
          <w:p>
            <w:pPr>
              <w:pStyle w:val="72"/>
              <w:rPr>
                <w:rFonts w:ascii="华文楷体" w:eastAsia="华文楷体"/>
              </w:rPr>
            </w:pPr>
            <w:r>
              <w:rPr>
                <w:rFonts w:hint="eastAsia" w:ascii="华文楷体" w:eastAsia="华文楷体"/>
              </w:rPr>
              <w:t>注：E是蒸发水量，在没有资料的情况下偏保守的数据是循环水量的1%。</w:t>
            </w:r>
          </w:p>
        </w:tc>
      </w:tr>
    </w:tbl>
    <w:p>
      <w:pPr>
        <w:spacing w:before="120"/>
        <w:ind w:firstLine="560"/>
        <w:rPr>
          <w:snapToGrid w:val="0"/>
          <w:kern w:val="2"/>
        </w:rPr>
      </w:pPr>
      <w:r>
        <w:rPr>
          <w:snapToGrid w:val="0"/>
          <w:kern w:val="2"/>
        </w:rPr>
        <w:t>故应逐步淘汰浓缩倍数小于3的水处理技术，推广浓缩倍数大于4的先进水处理技术。</w:t>
      </w:r>
    </w:p>
    <w:p>
      <w:pPr>
        <w:pStyle w:val="5"/>
        <w:spacing w:before="120"/>
      </w:pPr>
      <w:bookmarkStart w:id="360" w:name="_bookmark99"/>
      <w:bookmarkEnd w:id="360"/>
      <w:bookmarkStart w:id="361" w:name="_Toc8032628"/>
      <w:r>
        <w:t>6.2.3.</w:t>
      </w:r>
      <w:r>
        <w:rPr>
          <w:rFonts w:hint="eastAsia"/>
        </w:rPr>
        <w:t>3</w:t>
      </w:r>
      <w:r>
        <w:t>加强水平衡测试，全面推行计划用水和定额管理</w:t>
      </w:r>
      <w:bookmarkEnd w:id="361"/>
    </w:p>
    <w:p>
      <w:pPr>
        <w:ind w:firstLine="560"/>
      </w:pPr>
      <w:r>
        <w:rPr>
          <w:rFonts w:hint="eastAsia"/>
        </w:rPr>
        <w:t>目前</w:t>
      </w:r>
      <w:r>
        <w:t>，</w:t>
      </w:r>
      <w:r>
        <w:rPr>
          <w:rFonts w:hint="eastAsia"/>
        </w:rPr>
        <w:t>淮北市</w:t>
      </w:r>
      <w:r>
        <w:t>完成水量平衡测试的非工业用水单位的用水量占全部非工业单位用水总量的比例</w:t>
      </w:r>
      <w:r>
        <w:rPr>
          <w:rFonts w:hint="eastAsia"/>
        </w:rPr>
        <w:t>较低</w:t>
      </w:r>
      <w:r>
        <w:t>，低于节水型城市最低评价标准30%。基于此，必须加强包括行政事业单位、学校、公共设施、社会服务业、旅游餐饮业等公共服务行业的水平衡测试工作。通过水平衡测试，分行业类别制定科学合理的用水定额。</w:t>
      </w:r>
    </w:p>
    <w:p>
      <w:pPr>
        <w:ind w:firstLine="560"/>
      </w:pPr>
      <w:r>
        <w:t>各个单位要执行用水计划和定额管理工作，各用水部门实施计划和用水考核，采取一月一报制度，制定合理的奖惩措施，对于超计划超定额取水的按照</w:t>
      </w:r>
      <w:r>
        <w:rPr>
          <w:rFonts w:hint="eastAsia"/>
        </w:rPr>
        <w:t>《安徽省城市节约用水管理办法》</w:t>
      </w:r>
      <w:r>
        <w:t>征收超计划加价水费。</w:t>
      </w:r>
    </w:p>
    <w:p>
      <w:pPr>
        <w:ind w:firstLine="560"/>
      </w:pPr>
      <w:r>
        <w:t>供水计量是实现科学节水的基础性工作。没有完善准确的计量器具配置，就不能提供可靠的数据。建立和强化地下水计量收费监管系统。住宅入户管上全面实行</w:t>
      </w:r>
      <w:r>
        <w:rPr>
          <w:rFonts w:hint="eastAsia"/>
        </w:rPr>
        <w:t>“</w:t>
      </w:r>
      <w:r>
        <w:t>一户一表、抄表到户</w:t>
      </w:r>
      <w:r>
        <w:rPr>
          <w:rFonts w:hint="eastAsia"/>
        </w:rPr>
        <w:t>”</w:t>
      </w:r>
      <w:r>
        <w:t>政策，公共建筑应根据不同使用性质及计费标准分类分别设计量水表。在水箱补水、冷却塔、游泳池、水景、公共厨房、洗衣房、游乐设施、公共浴室、中水储水池等的补水管上设计量水表，且水表均应符合现行国家标准的要求。在学校、学生公寓、集体宿舍公共浴室等集中用水部位推广智能流量控制装置。特种行业用水计量收费率保持在100%。口径DN15~DN25的水表，每6年更换一次，口径大于DN25的水表，每4年更换一次。</w:t>
      </w:r>
    </w:p>
    <w:p>
      <w:pPr>
        <w:ind w:firstLine="560"/>
      </w:pPr>
      <w:r>
        <w:t>计划（定额）用水管理是城市节水管理的一项基础性工作。通过计划（定额）用水管理制度的实施，既满足了宏观层面实施最严格水资源管理制度要求，强化了对城市用水的宏观调控管理，又以具有强制性指标的形式，对用水户直接进行考核，实行节奖超罚，促使企业单位采取必要措施加强节水管理和技术革新，严控用水单耗，提高水的利用效率。通过考核、监管、复核、超计划累进加价等，推进节水工作的落实。</w:t>
      </w:r>
    </w:p>
    <w:p>
      <w:pPr>
        <w:pStyle w:val="3"/>
        <w:spacing w:before="120" w:after="60" w:line="360" w:lineRule="auto"/>
        <w:ind w:firstLine="602"/>
        <w:rPr>
          <w:rFonts w:ascii="Times New Roman" w:hAnsi="Times New Roman"/>
        </w:rPr>
      </w:pPr>
      <w:bookmarkStart w:id="362" w:name="_bookmark100"/>
      <w:bookmarkEnd w:id="362"/>
      <w:bookmarkStart w:id="363" w:name="_Toc8032629"/>
      <w:bookmarkStart w:id="364" w:name="_Toc531180130"/>
      <w:r>
        <w:rPr>
          <w:rFonts w:hint="eastAsia" w:ascii="Times New Roman" w:hAnsi="Times New Roman"/>
        </w:rPr>
        <w:t>6.</w:t>
      </w:r>
      <w:r>
        <w:rPr>
          <w:rFonts w:ascii="Times New Roman" w:hAnsi="Times New Roman"/>
        </w:rPr>
        <w:t>3城市管网改造</w:t>
      </w:r>
      <w:bookmarkEnd w:id="363"/>
      <w:bookmarkEnd w:id="364"/>
    </w:p>
    <w:p>
      <w:pPr>
        <w:pStyle w:val="4"/>
      </w:pPr>
      <w:bookmarkStart w:id="365" w:name="_Toc531180131"/>
      <w:bookmarkStart w:id="366" w:name="_Toc8032630"/>
      <w:r>
        <w:rPr>
          <w:rFonts w:hint="eastAsia"/>
        </w:rPr>
        <w:t>6.</w:t>
      </w:r>
      <w:r>
        <w:t>3</w:t>
      </w:r>
      <w:r>
        <w:rPr>
          <w:rFonts w:hint="eastAsia"/>
        </w:rPr>
        <w:t>.1</w:t>
      </w:r>
      <w:r>
        <w:t>降低城市供水管网漏水率</w:t>
      </w:r>
      <w:bookmarkEnd w:id="365"/>
      <w:bookmarkEnd w:id="366"/>
    </w:p>
    <w:p>
      <w:pPr>
        <w:ind w:firstLine="560"/>
      </w:pPr>
      <w:r>
        <w:t>城市供水管道是城市的命脉，是保障人民生活、发展生产建设不可缺少的物质基础，其已成为城市可持续发展和建设的重要制约因素，直接关系到社会的稳定和经济的发展。国内外均将加强供水管网的漏损控制，降低管网漏损率作为一项重要工作。</w:t>
      </w:r>
    </w:p>
    <w:p>
      <w:pPr>
        <w:ind w:firstLine="560"/>
      </w:pPr>
      <w:r>
        <w:rPr>
          <w:rFonts w:hint="eastAsia"/>
        </w:rPr>
        <w:t>规划期内要制定供水管道维修和更新改造计划，加大新型防漏、防爆、防污染管材的更新力度。管材优先采用球墨铸铁管。继续推进居民住宅二次供水设施改造，加快对使用年限超过</w:t>
      </w:r>
      <w:r>
        <w:t>50</w:t>
      </w:r>
      <w:r>
        <w:rPr>
          <w:rFonts w:hint="eastAsia"/>
        </w:rPr>
        <w:t>年、锈蚀老化的铸铁管、镀锌管和受损失修的供水管网进行更新改造，使用新型健康环保材料，减少供水管网“跑冒滴漏”和“爆管”等情况的发生。推动供水管网独立分区计量管理，完善供水管网检漏制度，确保到</w:t>
      </w:r>
      <w:r>
        <w:t>2020</w:t>
      </w:r>
      <w:r>
        <w:rPr>
          <w:rFonts w:hint="eastAsia"/>
        </w:rPr>
        <w:t>年，城区公共供水管网漏损率控制在</w:t>
      </w:r>
      <w:r>
        <w:t>10%</w:t>
      </w:r>
      <w:r>
        <w:rPr>
          <w:rFonts w:hint="eastAsia"/>
        </w:rPr>
        <w:t>以内。</w:t>
      </w:r>
    </w:p>
    <w:p>
      <w:pPr>
        <w:spacing w:before="120"/>
        <w:ind w:firstLine="562"/>
        <w:rPr>
          <w:b/>
          <w:snapToGrid w:val="0"/>
          <w:kern w:val="2"/>
        </w:rPr>
      </w:pPr>
      <w:r>
        <w:rPr>
          <w:rFonts w:hint="eastAsia"/>
          <w:b/>
          <w:snapToGrid w:val="0"/>
          <w:kern w:val="2"/>
        </w:rPr>
        <w:t>1）</w:t>
      </w:r>
      <w:r>
        <w:rPr>
          <w:b/>
          <w:snapToGrid w:val="0"/>
          <w:kern w:val="2"/>
        </w:rPr>
        <w:t>城市供水管网漏损率计算方法</w:t>
      </w:r>
    </w:p>
    <w:p>
      <w:pPr>
        <w:spacing w:before="120"/>
        <w:ind w:firstLine="560"/>
      </w:pPr>
      <w:r>
        <w:t>（1）根据CJJ92-2016《城市供水管网漏损控制及评定标准》</w:t>
      </w:r>
      <w:r>
        <w:rPr>
          <w:rFonts w:hint="eastAsia"/>
        </w:rPr>
        <w:t>，</w:t>
      </w:r>
      <w:r>
        <w:t>城市自来水管网漏损率应按下列公式计算：</w:t>
      </w:r>
    </w:p>
    <w:p>
      <w:pPr>
        <w:adjustRightInd/>
        <w:spacing w:before="116" w:line="420" w:lineRule="exact"/>
        <w:ind w:right="3" w:firstLine="3640" w:firstLineChars="1300"/>
        <w:rPr>
          <w:rFonts w:cs="宋体"/>
          <w:i/>
        </w:rPr>
      </w:pPr>
    </w:p>
    <w:p>
      <w:pPr>
        <w:adjustRightInd/>
        <w:spacing w:before="5" w:line="240" w:lineRule="auto"/>
        <w:ind w:firstLine="0" w:firstLineChars="0"/>
        <w:jc w:val="center"/>
        <w:rPr>
          <w:rFonts w:hAnsi="宋体" w:cs="宋体"/>
          <w:sz w:val="12"/>
          <w:lang w:eastAsia="en-US"/>
        </w:rPr>
      </w:pPr>
      <w:r>
        <w:rPr>
          <w:rFonts w:hAnsi="宋体" w:cs="宋体"/>
          <w:sz w:val="12"/>
        </w:rPr>
        <w:drawing>
          <wp:inline distT="0" distB="0" distL="0" distR="0">
            <wp:extent cx="1914525" cy="660400"/>
            <wp:effectExtent l="19050" t="0" r="9309" b="0"/>
            <wp:docPr id="207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图片 24"/>
                    <pic:cNvPicPr>
                      <a:picLocks noChangeAspect="1" noChangeArrowheads="1"/>
                    </pic:cNvPicPr>
                  </pic:nvPicPr>
                  <pic:blipFill>
                    <a:blip r:embed="rId80"/>
                    <a:srcRect/>
                    <a:stretch>
                      <a:fillRect/>
                    </a:stretch>
                  </pic:blipFill>
                  <pic:spPr>
                    <a:xfrm>
                      <a:off x="0" y="0"/>
                      <a:ext cx="1919963" cy="662201"/>
                    </a:xfrm>
                    <a:prstGeom prst="rect">
                      <a:avLst/>
                    </a:prstGeom>
                    <a:noFill/>
                    <a:ln w="9525">
                      <a:noFill/>
                      <a:miter lim="800000"/>
                      <a:headEnd/>
                      <a:tailEnd/>
                    </a:ln>
                  </pic:spPr>
                </pic:pic>
              </a:graphicData>
            </a:graphic>
          </wp:inline>
        </w:drawing>
      </w:r>
    </w:p>
    <w:p>
      <w:pPr>
        <w:ind w:firstLine="560"/>
      </w:pPr>
      <w:r>
        <w:t>式中：Ra——管网年漏损率（%）；</w:t>
      </w:r>
    </w:p>
    <w:p>
      <w:pPr>
        <w:ind w:firstLine="1400" w:firstLineChars="500"/>
      </w:pPr>
      <w:r>
        <w:t>Qa——年供水量（km³）；</w:t>
      </w:r>
    </w:p>
    <w:p>
      <w:pPr>
        <w:ind w:firstLine="1400" w:firstLineChars="500"/>
      </w:pPr>
      <w:r>
        <w:t>Qae——年有效供水量（km³）。</w:t>
      </w:r>
    </w:p>
    <w:p>
      <w:pPr>
        <w:spacing w:before="120"/>
        <w:ind w:firstLine="560"/>
      </w:pPr>
      <w:r>
        <w:t>按此计算方法，201</w:t>
      </w:r>
      <w:r>
        <w:rPr>
          <w:rFonts w:hint="eastAsia"/>
        </w:rPr>
        <w:t>7</w:t>
      </w:r>
      <w:r>
        <w:t>年，</w:t>
      </w:r>
      <w:r>
        <w:rPr>
          <w:rFonts w:hint="eastAsia"/>
        </w:rPr>
        <w:t>淮北</w:t>
      </w:r>
      <w:r>
        <w:t>市城市供水管网漏损率为11.4%。</w:t>
      </w:r>
    </w:p>
    <w:p>
      <w:pPr>
        <w:spacing w:before="120"/>
        <w:ind w:firstLine="560"/>
      </w:pPr>
      <w:r>
        <w:t>（2）比漏水量（单位管长每小时的漏水量）应按下列公式计算：</w:t>
      </w:r>
    </w:p>
    <w:p>
      <w:pPr>
        <w:spacing w:line="240" w:lineRule="auto"/>
        <w:ind w:firstLine="560"/>
        <w:jc w:val="center"/>
      </w:pPr>
      <w:r>
        <w:rPr>
          <w:rFonts w:hint="eastAsia"/>
        </w:rPr>
        <w:drawing>
          <wp:inline distT="0" distB="0" distL="0" distR="0">
            <wp:extent cx="1395095" cy="734695"/>
            <wp:effectExtent l="19050" t="0" r="0" b="0"/>
            <wp:docPr id="207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图片 42"/>
                    <pic:cNvPicPr>
                      <a:picLocks noChangeAspect="1" noChangeArrowheads="1"/>
                    </pic:cNvPicPr>
                  </pic:nvPicPr>
                  <pic:blipFill>
                    <a:blip r:embed="rId81"/>
                    <a:srcRect/>
                    <a:stretch>
                      <a:fillRect/>
                    </a:stretch>
                  </pic:blipFill>
                  <pic:spPr>
                    <a:xfrm>
                      <a:off x="0" y="0"/>
                      <a:ext cx="1396942" cy="736080"/>
                    </a:xfrm>
                    <a:prstGeom prst="rect">
                      <a:avLst/>
                    </a:prstGeom>
                    <a:noFill/>
                    <a:ln w="9525">
                      <a:noFill/>
                      <a:miter lim="800000"/>
                      <a:headEnd/>
                      <a:tailEnd/>
                    </a:ln>
                  </pic:spPr>
                </pic:pic>
              </a:graphicData>
            </a:graphic>
          </wp:inline>
        </w:drawing>
      </w:r>
    </w:p>
    <w:p>
      <w:pPr>
        <w:ind w:firstLine="560"/>
      </w:pPr>
      <w:r>
        <w:t>式中：Qh——单位管长漏水量</w:t>
      </w:r>
      <w:r>
        <w:rPr>
          <w:rFonts w:hint="eastAsia"/>
        </w:rPr>
        <w:t>，比漏水量</w:t>
      </w:r>
      <w:r>
        <w:t>[m³/（km·h）]；</w:t>
      </w:r>
    </w:p>
    <w:p>
      <w:pPr>
        <w:ind w:firstLine="1540" w:firstLineChars="550"/>
      </w:pPr>
      <w:r>
        <w:t>L</w:t>
      </w:r>
      <w:r>
        <w:rPr>
          <w:rFonts w:hint="eastAsia"/>
        </w:rPr>
        <w:t>t</w:t>
      </w:r>
      <w:r>
        <w:t>——管网管道总长量（km）。</w:t>
      </w:r>
    </w:p>
    <w:p>
      <w:pPr>
        <w:spacing w:before="120"/>
        <w:ind w:firstLine="560"/>
      </w:pPr>
      <w:r>
        <w:t>根据2010年国际水协19届会议报告统计，各国比漏水量统计数字见表</w:t>
      </w:r>
      <w:r>
        <w:rPr>
          <w:rFonts w:hint="eastAsia"/>
        </w:rPr>
        <w:t>6-3。</w:t>
      </w:r>
    </w:p>
    <w:p>
      <w:pPr>
        <w:spacing w:before="120"/>
        <w:ind w:firstLine="560"/>
      </w:pPr>
      <w:r>
        <w:t>（3）管网漏水量也可根据压力和管道的泄露缝隙大小进行计算，计算公式如下：</w:t>
      </w:r>
    </w:p>
    <w:p>
      <w:pPr>
        <w:spacing w:before="120"/>
        <w:ind w:left="38" w:right="19" w:firstLine="520"/>
        <w:jc w:val="center"/>
        <w:rPr>
          <w:i/>
          <w:sz w:val="26"/>
        </w:rPr>
      </w:pPr>
      <w:r>
        <w:rPr>
          <w:i/>
          <w:sz w:val="26"/>
        </w:rPr>
        <w:t>Q</w:t>
      </w:r>
      <w:r>
        <w:rPr>
          <w:i/>
          <w:position w:val="-5"/>
          <w:sz w:val="15"/>
        </w:rPr>
        <w:t>h</w:t>
      </w:r>
      <w:r>
        <w:rPr>
          <w:rFonts w:ascii="Symbol" w:hAnsi="Symbol"/>
          <w:sz w:val="25"/>
        </w:rPr>
        <w:t></w:t>
      </w:r>
      <w:r>
        <w:rPr>
          <w:rFonts w:ascii="Symbol" w:hAnsi="Symbol"/>
          <w:i/>
          <w:sz w:val="26"/>
        </w:rPr>
        <w:t></w:t>
      </w:r>
      <w:r>
        <w:rPr>
          <w:i/>
          <w:sz w:val="26"/>
        </w:rPr>
        <w:t>W</w:t>
      </w:r>
    </w:p>
    <w:p>
      <w:pPr>
        <w:ind w:firstLine="560"/>
      </w:pPr>
      <w:r>
        <w:t>式中：</w:t>
      </w:r>
      <w:r>
        <w:rPr>
          <w:rFonts w:ascii="Symbol" w:hAnsi="Symbol" w:eastAsia="Symbol"/>
          <w:i/>
          <w:sz w:val="27"/>
        </w:rPr>
        <w:t></w:t>
      </w:r>
      <w:r>
        <w:t>——泄漏系数，无量纲；</w:t>
      </w:r>
    </w:p>
    <w:p>
      <w:pPr>
        <w:ind w:firstLine="1352" w:firstLineChars="483"/>
      </w:pPr>
      <w:r>
        <w:rPr>
          <w:i/>
        </w:rPr>
        <w:t>W</w:t>
      </w:r>
      <w:r>
        <w:t>——泄漏的面积，m</w:t>
      </w:r>
      <w:r>
        <w:rPr>
          <w:vertAlign w:val="superscript"/>
        </w:rPr>
        <w:t>2</w:t>
      </w:r>
      <w:r>
        <w:t>；</w:t>
      </w:r>
    </w:p>
    <w:p>
      <w:pPr>
        <w:ind w:firstLine="1400" w:firstLineChars="500"/>
      </w:pPr>
      <w:r>
        <w:rPr>
          <w:i/>
        </w:rPr>
        <w:t>P</w:t>
      </w:r>
      <w:r>
        <w:t>——管网缝隙压差，10</w:t>
      </w:r>
      <w:r>
        <w:rPr>
          <w:vertAlign w:val="superscript"/>
        </w:rPr>
        <w:t>5</w:t>
      </w:r>
      <w:r>
        <w:t>Pa。</w:t>
      </w:r>
    </w:p>
    <w:p>
      <w:pPr>
        <w:spacing w:before="120"/>
        <w:ind w:firstLine="560"/>
      </w:pPr>
      <w:r>
        <w:t>国际给水管网的漏水量为0.5~1.14m³/km·h，我国近期的漏水量为</w:t>
      </w:r>
      <w:r>
        <w:rPr>
          <w:rFonts w:hint="eastAsia"/>
        </w:rPr>
        <w:t>0.</w:t>
      </w:r>
      <w:r>
        <w:t>7~</w:t>
      </w:r>
      <w:r>
        <w:rPr>
          <w:rFonts w:hint="eastAsia"/>
        </w:rPr>
        <w:t>3.7</w:t>
      </w:r>
      <w:r>
        <w:t>4m³/km·h，发达国家一般城市的给水压力通常比我国高，一般在0.3~0.5MPa之间，而我国通常在0.18~0.30MPa之间。缝隙和压力是泄露的重要因素，因此我国的给水管道接口质量和管道基础应是比较差，为此应加强施工质量和检漏措施，逐步淘汰更新管道。</w:t>
      </w:r>
    </w:p>
    <w:p>
      <w:pPr>
        <w:ind w:firstLine="560"/>
      </w:pPr>
      <w:r>
        <w:t>本规划2020年规划管网漏损率为10%，2035年漏水率到达国际水平8%，节水可观，节水潜力计算见本规划第四章中的内容。</w:t>
      </w:r>
    </w:p>
    <w:p>
      <w:pPr>
        <w:ind w:firstLine="560"/>
      </w:pPr>
      <w:r>
        <w:t>由于接户管破裂或腐蚀、配水管网的老化，且伴随城市面积的扩展，管网长度及供水能力的增加，漏水总量必然会增加，为减少总的漏水量，必须逐步改造老旧管网，通过侦听逐步更换已经损坏的给水管道。</w:t>
      </w:r>
    </w:p>
    <w:p>
      <w:pPr>
        <w:pStyle w:val="16"/>
        <w:kinsoku w:val="0"/>
        <w:overflowPunct w:val="0"/>
        <w:spacing w:before="154" w:line="360" w:lineRule="auto"/>
        <w:ind w:firstLine="641" w:firstLineChars="266"/>
        <w:jc w:val="center"/>
        <w:rPr>
          <w:rFonts w:cs="Times New Roman"/>
          <w:b/>
          <w:sz w:val="24"/>
        </w:rPr>
      </w:pPr>
      <w:r>
        <w:rPr>
          <w:rFonts w:hint="eastAsia" w:cs="Times New Roman"/>
          <w:b/>
          <w:sz w:val="24"/>
        </w:rPr>
        <w:t>表</w:t>
      </w:r>
      <w:r>
        <w:rPr>
          <w:rFonts w:cs="Times New Roman"/>
          <w:b/>
          <w:sz w:val="24"/>
        </w:rPr>
        <w:t>6</w:t>
      </w:r>
      <w:r>
        <w:rPr>
          <w:rFonts w:hint="eastAsia" w:cs="Times New Roman"/>
          <w:b/>
          <w:sz w:val="24"/>
        </w:rPr>
        <w:t>-3</w:t>
      </w:r>
      <w:r>
        <w:rPr>
          <w:rFonts w:cs="Times New Roman"/>
          <w:b/>
          <w:sz w:val="24"/>
        </w:rPr>
        <w:t>各国比漏水量统计表</w:t>
      </w:r>
    </w:p>
    <w:tbl>
      <w:tblPr>
        <w:tblStyle w:val="39"/>
        <w:tblW w:w="10060"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0" w:type="dxa"/>
          <w:bottom w:w="0" w:type="dxa"/>
          <w:right w:w="0" w:type="dxa"/>
        </w:tblCellMar>
      </w:tblPr>
      <w:tblGrid>
        <w:gridCol w:w="1066"/>
        <w:gridCol w:w="2113"/>
        <w:gridCol w:w="2113"/>
        <w:gridCol w:w="1066"/>
        <w:gridCol w:w="1589"/>
        <w:gridCol w:w="2113"/>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80" w:hRule="atLeast"/>
          <w:jc w:val="center"/>
        </w:trPr>
        <w:tc>
          <w:tcPr>
            <w:tcW w:w="1066" w:type="dxa"/>
            <w:vAlign w:val="center"/>
          </w:tcPr>
          <w:p>
            <w:pPr>
              <w:pStyle w:val="72"/>
              <w:rPr>
                <w:lang w:eastAsia="en-US"/>
              </w:rPr>
            </w:pPr>
            <w:r>
              <w:rPr>
                <w:lang w:eastAsia="en-US"/>
              </w:rPr>
              <w:t>序号</w:t>
            </w:r>
          </w:p>
        </w:tc>
        <w:tc>
          <w:tcPr>
            <w:tcW w:w="2113" w:type="dxa"/>
            <w:vAlign w:val="center"/>
          </w:tcPr>
          <w:p>
            <w:pPr>
              <w:pStyle w:val="72"/>
              <w:rPr>
                <w:lang w:eastAsia="en-US"/>
              </w:rPr>
            </w:pPr>
            <w:r>
              <w:rPr>
                <w:lang w:eastAsia="en-US"/>
              </w:rPr>
              <w:t>国家</w:t>
            </w:r>
          </w:p>
        </w:tc>
        <w:tc>
          <w:tcPr>
            <w:tcW w:w="2113" w:type="dxa"/>
            <w:vAlign w:val="center"/>
          </w:tcPr>
          <w:p>
            <w:pPr>
              <w:pStyle w:val="72"/>
              <w:rPr>
                <w:lang w:eastAsia="en-US"/>
              </w:rPr>
            </w:pPr>
            <w:r>
              <w:rPr>
                <w:lang w:eastAsia="en-US"/>
              </w:rPr>
              <w:t>比漏水量</w:t>
            </w:r>
          </w:p>
        </w:tc>
        <w:tc>
          <w:tcPr>
            <w:tcW w:w="1066" w:type="dxa"/>
            <w:vAlign w:val="center"/>
          </w:tcPr>
          <w:p>
            <w:pPr>
              <w:pStyle w:val="72"/>
              <w:rPr>
                <w:lang w:eastAsia="en-US"/>
              </w:rPr>
            </w:pPr>
            <w:r>
              <w:rPr>
                <w:lang w:eastAsia="en-US"/>
              </w:rPr>
              <w:t>序号</w:t>
            </w:r>
          </w:p>
        </w:tc>
        <w:tc>
          <w:tcPr>
            <w:tcW w:w="1589" w:type="dxa"/>
            <w:vAlign w:val="center"/>
          </w:tcPr>
          <w:p>
            <w:pPr>
              <w:pStyle w:val="72"/>
              <w:rPr>
                <w:lang w:eastAsia="en-US"/>
              </w:rPr>
            </w:pPr>
            <w:r>
              <w:rPr>
                <w:lang w:eastAsia="en-US"/>
              </w:rPr>
              <w:t>国家</w:t>
            </w:r>
          </w:p>
        </w:tc>
        <w:tc>
          <w:tcPr>
            <w:tcW w:w="2113" w:type="dxa"/>
            <w:vAlign w:val="center"/>
          </w:tcPr>
          <w:p>
            <w:pPr>
              <w:pStyle w:val="72"/>
              <w:rPr>
                <w:lang w:eastAsia="en-US"/>
              </w:rPr>
            </w:pPr>
            <w:r>
              <w:rPr>
                <w:lang w:eastAsia="en-US"/>
              </w:rPr>
              <w:t>比漏水量</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80" w:hRule="atLeast"/>
          <w:jc w:val="center"/>
        </w:trPr>
        <w:tc>
          <w:tcPr>
            <w:tcW w:w="1066" w:type="dxa"/>
            <w:vAlign w:val="center"/>
          </w:tcPr>
          <w:p>
            <w:pPr>
              <w:pStyle w:val="72"/>
              <w:rPr>
                <w:lang w:eastAsia="en-US"/>
              </w:rPr>
            </w:pPr>
            <w:r>
              <w:rPr>
                <w:lang w:eastAsia="en-US"/>
              </w:rPr>
              <w:t>1</w:t>
            </w:r>
          </w:p>
        </w:tc>
        <w:tc>
          <w:tcPr>
            <w:tcW w:w="2113" w:type="dxa"/>
            <w:vAlign w:val="center"/>
          </w:tcPr>
          <w:p>
            <w:pPr>
              <w:pStyle w:val="72"/>
              <w:rPr>
                <w:lang w:eastAsia="en-US"/>
              </w:rPr>
            </w:pPr>
            <w:r>
              <w:rPr>
                <w:lang w:eastAsia="en-US"/>
              </w:rPr>
              <w:t>中国大陆</w:t>
            </w:r>
          </w:p>
        </w:tc>
        <w:tc>
          <w:tcPr>
            <w:tcW w:w="2113" w:type="dxa"/>
            <w:vAlign w:val="center"/>
          </w:tcPr>
          <w:p>
            <w:pPr>
              <w:pStyle w:val="72"/>
              <w:rPr>
                <w:lang w:eastAsia="en-US"/>
              </w:rPr>
            </w:pPr>
            <w:r>
              <w:rPr>
                <w:lang w:eastAsia="en-US"/>
              </w:rPr>
              <w:t>3.7</w:t>
            </w:r>
          </w:p>
        </w:tc>
        <w:tc>
          <w:tcPr>
            <w:tcW w:w="1066" w:type="dxa"/>
            <w:vAlign w:val="center"/>
          </w:tcPr>
          <w:p>
            <w:pPr>
              <w:pStyle w:val="72"/>
              <w:rPr>
                <w:lang w:eastAsia="en-US"/>
              </w:rPr>
            </w:pPr>
            <w:r>
              <w:rPr>
                <w:lang w:eastAsia="en-US"/>
              </w:rPr>
              <w:t>6</w:t>
            </w:r>
          </w:p>
        </w:tc>
        <w:tc>
          <w:tcPr>
            <w:tcW w:w="1589" w:type="dxa"/>
            <w:vAlign w:val="center"/>
          </w:tcPr>
          <w:p>
            <w:pPr>
              <w:pStyle w:val="72"/>
              <w:rPr>
                <w:lang w:eastAsia="en-US"/>
              </w:rPr>
            </w:pPr>
            <w:r>
              <w:rPr>
                <w:lang w:eastAsia="en-US"/>
              </w:rPr>
              <w:t>日本</w:t>
            </w:r>
          </w:p>
        </w:tc>
        <w:tc>
          <w:tcPr>
            <w:tcW w:w="2113" w:type="dxa"/>
            <w:vAlign w:val="center"/>
          </w:tcPr>
          <w:p>
            <w:pPr>
              <w:pStyle w:val="72"/>
              <w:rPr>
                <w:lang w:eastAsia="en-US"/>
              </w:rPr>
            </w:pPr>
            <w:r>
              <w:rPr>
                <w:lang w:eastAsia="en-US"/>
              </w:rPr>
              <w:t>1.0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80" w:hRule="atLeast"/>
          <w:jc w:val="center"/>
        </w:trPr>
        <w:tc>
          <w:tcPr>
            <w:tcW w:w="1066" w:type="dxa"/>
            <w:vAlign w:val="center"/>
          </w:tcPr>
          <w:p>
            <w:pPr>
              <w:pStyle w:val="72"/>
              <w:rPr>
                <w:lang w:eastAsia="en-US"/>
              </w:rPr>
            </w:pPr>
            <w:r>
              <w:rPr>
                <w:lang w:eastAsia="en-US"/>
              </w:rPr>
              <w:t>2</w:t>
            </w:r>
          </w:p>
        </w:tc>
        <w:tc>
          <w:tcPr>
            <w:tcW w:w="2113" w:type="dxa"/>
            <w:vAlign w:val="center"/>
          </w:tcPr>
          <w:p>
            <w:pPr>
              <w:pStyle w:val="72"/>
              <w:rPr>
                <w:lang w:eastAsia="en-US"/>
              </w:rPr>
            </w:pPr>
            <w:r>
              <w:rPr>
                <w:lang w:eastAsia="en-US"/>
              </w:rPr>
              <w:t>巴西</w:t>
            </w:r>
          </w:p>
        </w:tc>
        <w:tc>
          <w:tcPr>
            <w:tcW w:w="2113" w:type="dxa"/>
            <w:vAlign w:val="center"/>
          </w:tcPr>
          <w:p>
            <w:pPr>
              <w:pStyle w:val="72"/>
              <w:rPr>
                <w:lang w:eastAsia="en-US"/>
              </w:rPr>
            </w:pPr>
            <w:r>
              <w:rPr>
                <w:lang w:eastAsia="en-US"/>
              </w:rPr>
              <w:t>2.3</w:t>
            </w:r>
          </w:p>
        </w:tc>
        <w:tc>
          <w:tcPr>
            <w:tcW w:w="1066" w:type="dxa"/>
            <w:vAlign w:val="center"/>
          </w:tcPr>
          <w:p>
            <w:pPr>
              <w:pStyle w:val="72"/>
              <w:rPr>
                <w:lang w:eastAsia="en-US"/>
              </w:rPr>
            </w:pPr>
            <w:r>
              <w:rPr>
                <w:lang w:eastAsia="en-US"/>
              </w:rPr>
              <w:t>7</w:t>
            </w:r>
          </w:p>
        </w:tc>
        <w:tc>
          <w:tcPr>
            <w:tcW w:w="1589" w:type="dxa"/>
            <w:vAlign w:val="center"/>
          </w:tcPr>
          <w:p>
            <w:pPr>
              <w:pStyle w:val="72"/>
              <w:rPr>
                <w:lang w:eastAsia="en-US"/>
              </w:rPr>
            </w:pPr>
            <w:r>
              <w:rPr>
                <w:lang w:eastAsia="en-US"/>
              </w:rPr>
              <w:t>英国</w:t>
            </w:r>
          </w:p>
        </w:tc>
        <w:tc>
          <w:tcPr>
            <w:tcW w:w="2113" w:type="dxa"/>
            <w:vAlign w:val="center"/>
          </w:tcPr>
          <w:p>
            <w:pPr>
              <w:pStyle w:val="72"/>
              <w:rPr>
                <w:lang w:eastAsia="en-US"/>
              </w:rPr>
            </w:pPr>
            <w:r>
              <w:rPr>
                <w:lang w:eastAsia="en-US"/>
              </w:rPr>
              <w:t>0.6</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80" w:hRule="atLeast"/>
          <w:jc w:val="center"/>
        </w:trPr>
        <w:tc>
          <w:tcPr>
            <w:tcW w:w="1066" w:type="dxa"/>
            <w:vAlign w:val="center"/>
          </w:tcPr>
          <w:p>
            <w:pPr>
              <w:pStyle w:val="72"/>
              <w:rPr>
                <w:lang w:eastAsia="en-US"/>
              </w:rPr>
            </w:pPr>
            <w:r>
              <w:rPr>
                <w:lang w:eastAsia="en-US"/>
              </w:rPr>
              <w:t>3</w:t>
            </w:r>
          </w:p>
        </w:tc>
        <w:tc>
          <w:tcPr>
            <w:tcW w:w="2113" w:type="dxa"/>
            <w:vAlign w:val="center"/>
          </w:tcPr>
          <w:p>
            <w:pPr>
              <w:pStyle w:val="72"/>
              <w:rPr>
                <w:lang w:eastAsia="en-US"/>
              </w:rPr>
            </w:pPr>
            <w:r>
              <w:rPr>
                <w:lang w:eastAsia="en-US"/>
              </w:rPr>
              <w:t>中国香港</w:t>
            </w:r>
          </w:p>
        </w:tc>
        <w:tc>
          <w:tcPr>
            <w:tcW w:w="2113" w:type="dxa"/>
            <w:vAlign w:val="center"/>
          </w:tcPr>
          <w:p>
            <w:pPr>
              <w:pStyle w:val="72"/>
              <w:rPr>
                <w:lang w:eastAsia="en-US"/>
              </w:rPr>
            </w:pPr>
            <w:r>
              <w:rPr>
                <w:lang w:eastAsia="en-US"/>
              </w:rPr>
              <w:t>2.5</w:t>
            </w:r>
          </w:p>
        </w:tc>
        <w:tc>
          <w:tcPr>
            <w:tcW w:w="1066" w:type="dxa"/>
            <w:vAlign w:val="center"/>
          </w:tcPr>
          <w:p>
            <w:pPr>
              <w:pStyle w:val="72"/>
              <w:rPr>
                <w:lang w:eastAsia="en-US"/>
              </w:rPr>
            </w:pPr>
            <w:r>
              <w:rPr>
                <w:lang w:eastAsia="en-US"/>
              </w:rPr>
              <w:t>8</w:t>
            </w:r>
          </w:p>
        </w:tc>
        <w:tc>
          <w:tcPr>
            <w:tcW w:w="1589" w:type="dxa"/>
            <w:vAlign w:val="center"/>
          </w:tcPr>
          <w:p>
            <w:pPr>
              <w:pStyle w:val="72"/>
              <w:rPr>
                <w:lang w:eastAsia="en-US"/>
              </w:rPr>
            </w:pPr>
            <w:r>
              <w:rPr>
                <w:lang w:eastAsia="en-US"/>
              </w:rPr>
              <w:t>德国</w:t>
            </w:r>
          </w:p>
        </w:tc>
        <w:tc>
          <w:tcPr>
            <w:tcW w:w="2113" w:type="dxa"/>
            <w:vAlign w:val="center"/>
          </w:tcPr>
          <w:p>
            <w:pPr>
              <w:pStyle w:val="72"/>
              <w:rPr>
                <w:lang w:eastAsia="en-US"/>
              </w:rPr>
            </w:pPr>
            <w:r>
              <w:rPr>
                <w:lang w:eastAsia="en-US"/>
              </w:rPr>
              <w:t>0.4</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80" w:hRule="atLeast"/>
          <w:jc w:val="center"/>
        </w:trPr>
        <w:tc>
          <w:tcPr>
            <w:tcW w:w="1066" w:type="dxa"/>
            <w:vAlign w:val="center"/>
          </w:tcPr>
          <w:p>
            <w:pPr>
              <w:pStyle w:val="72"/>
              <w:rPr>
                <w:lang w:eastAsia="en-US"/>
              </w:rPr>
            </w:pPr>
            <w:r>
              <w:rPr>
                <w:lang w:eastAsia="en-US"/>
              </w:rPr>
              <w:t>4</w:t>
            </w:r>
          </w:p>
        </w:tc>
        <w:tc>
          <w:tcPr>
            <w:tcW w:w="2113" w:type="dxa"/>
            <w:vAlign w:val="center"/>
          </w:tcPr>
          <w:p>
            <w:pPr>
              <w:pStyle w:val="72"/>
              <w:rPr>
                <w:lang w:eastAsia="en-US"/>
              </w:rPr>
            </w:pPr>
            <w:r>
              <w:rPr>
                <w:lang w:eastAsia="en-US"/>
              </w:rPr>
              <w:t>新加坡</w:t>
            </w:r>
          </w:p>
        </w:tc>
        <w:tc>
          <w:tcPr>
            <w:tcW w:w="2113" w:type="dxa"/>
            <w:vAlign w:val="center"/>
          </w:tcPr>
          <w:p>
            <w:pPr>
              <w:pStyle w:val="72"/>
              <w:rPr>
                <w:lang w:eastAsia="en-US"/>
              </w:rPr>
            </w:pPr>
            <w:r>
              <w:rPr>
                <w:lang w:eastAsia="en-US"/>
              </w:rPr>
              <w:t>0.3</w:t>
            </w:r>
          </w:p>
        </w:tc>
        <w:tc>
          <w:tcPr>
            <w:tcW w:w="1066" w:type="dxa"/>
            <w:vAlign w:val="center"/>
          </w:tcPr>
          <w:p>
            <w:pPr>
              <w:pStyle w:val="72"/>
              <w:rPr>
                <w:lang w:eastAsia="en-US"/>
              </w:rPr>
            </w:pPr>
            <w:r>
              <w:rPr>
                <w:lang w:eastAsia="en-US"/>
              </w:rPr>
              <w:t>9</w:t>
            </w:r>
          </w:p>
        </w:tc>
        <w:tc>
          <w:tcPr>
            <w:tcW w:w="1589" w:type="dxa"/>
            <w:vAlign w:val="center"/>
          </w:tcPr>
          <w:p>
            <w:pPr>
              <w:pStyle w:val="72"/>
              <w:rPr>
                <w:lang w:eastAsia="en-US"/>
              </w:rPr>
            </w:pPr>
            <w:r>
              <w:rPr>
                <w:lang w:eastAsia="en-US"/>
              </w:rPr>
              <w:t>瑞士</w:t>
            </w:r>
          </w:p>
        </w:tc>
        <w:tc>
          <w:tcPr>
            <w:tcW w:w="2113" w:type="dxa"/>
            <w:vAlign w:val="center"/>
          </w:tcPr>
          <w:p>
            <w:pPr>
              <w:pStyle w:val="72"/>
              <w:rPr>
                <w:lang w:eastAsia="en-US"/>
              </w:rPr>
            </w:pPr>
            <w:r>
              <w:rPr>
                <w:lang w:eastAsia="en-US"/>
              </w:rPr>
              <w:t>0.3</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80" w:hRule="atLeast"/>
          <w:jc w:val="center"/>
        </w:trPr>
        <w:tc>
          <w:tcPr>
            <w:tcW w:w="1066" w:type="dxa"/>
            <w:vAlign w:val="center"/>
          </w:tcPr>
          <w:p>
            <w:pPr>
              <w:pStyle w:val="72"/>
              <w:rPr>
                <w:lang w:eastAsia="en-US"/>
              </w:rPr>
            </w:pPr>
            <w:r>
              <w:rPr>
                <w:lang w:eastAsia="en-US"/>
              </w:rPr>
              <w:t>5</w:t>
            </w:r>
          </w:p>
        </w:tc>
        <w:tc>
          <w:tcPr>
            <w:tcW w:w="2113" w:type="dxa"/>
            <w:vAlign w:val="center"/>
          </w:tcPr>
          <w:p>
            <w:pPr>
              <w:pStyle w:val="72"/>
              <w:rPr>
                <w:lang w:eastAsia="en-US"/>
              </w:rPr>
            </w:pPr>
            <w:r>
              <w:rPr>
                <w:lang w:eastAsia="en-US"/>
              </w:rPr>
              <w:t>西班牙</w:t>
            </w:r>
          </w:p>
        </w:tc>
        <w:tc>
          <w:tcPr>
            <w:tcW w:w="2113" w:type="dxa"/>
            <w:vAlign w:val="center"/>
          </w:tcPr>
          <w:p>
            <w:pPr>
              <w:pStyle w:val="72"/>
              <w:rPr>
                <w:lang w:eastAsia="en-US"/>
              </w:rPr>
            </w:pPr>
            <w:r>
              <w:rPr>
                <w:lang w:eastAsia="en-US"/>
              </w:rPr>
              <w:t>0.9</w:t>
            </w:r>
          </w:p>
        </w:tc>
        <w:tc>
          <w:tcPr>
            <w:tcW w:w="1066" w:type="dxa"/>
            <w:vAlign w:val="center"/>
          </w:tcPr>
          <w:p>
            <w:pPr>
              <w:pStyle w:val="72"/>
              <w:rPr>
                <w:lang w:eastAsia="en-US"/>
              </w:rPr>
            </w:pPr>
            <w:r>
              <w:rPr>
                <w:lang w:eastAsia="en-US"/>
              </w:rPr>
              <w:t>10</w:t>
            </w:r>
          </w:p>
        </w:tc>
        <w:tc>
          <w:tcPr>
            <w:tcW w:w="1589" w:type="dxa"/>
            <w:vAlign w:val="center"/>
          </w:tcPr>
          <w:p>
            <w:pPr>
              <w:pStyle w:val="72"/>
              <w:rPr>
                <w:lang w:eastAsia="en-US"/>
              </w:rPr>
            </w:pPr>
            <w:r>
              <w:rPr>
                <w:lang w:eastAsia="en-US"/>
              </w:rPr>
              <w:t>意大利</w:t>
            </w:r>
          </w:p>
        </w:tc>
        <w:tc>
          <w:tcPr>
            <w:tcW w:w="2113" w:type="dxa"/>
            <w:vAlign w:val="center"/>
          </w:tcPr>
          <w:p>
            <w:pPr>
              <w:pStyle w:val="72"/>
              <w:rPr>
                <w:lang w:eastAsia="en-US"/>
              </w:rPr>
            </w:pPr>
            <w:r>
              <w:rPr>
                <w:lang w:eastAsia="en-US"/>
              </w:rPr>
              <w:t>2.5</w:t>
            </w:r>
          </w:p>
        </w:tc>
      </w:tr>
    </w:tbl>
    <w:p>
      <w:pPr>
        <w:spacing w:before="120"/>
        <w:ind w:firstLine="562"/>
        <w:rPr>
          <w:b/>
          <w:snapToGrid w:val="0"/>
          <w:kern w:val="2"/>
        </w:rPr>
      </w:pPr>
      <w:r>
        <w:rPr>
          <w:rFonts w:hint="eastAsia"/>
          <w:b/>
          <w:snapToGrid w:val="0"/>
          <w:kern w:val="2"/>
        </w:rPr>
        <w:t>2）</w:t>
      </w:r>
      <w:r>
        <w:rPr>
          <w:b/>
          <w:snapToGrid w:val="0"/>
          <w:kern w:val="2"/>
        </w:rPr>
        <w:t>加强管网的普查、维修和养护</w:t>
      </w:r>
    </w:p>
    <w:p>
      <w:pPr>
        <w:ind w:firstLine="560"/>
      </w:pPr>
      <w:r>
        <w:t>管网的管理是降低漏损率的第一步。城市地下管线普查要明确责任部门，制定总体方案，建立工作机制和相关规范，组织好普查成果验收和归档工作。普查工作包括地下管线基础信息普查和隐患排查。基础信息普查应按照相关技术规程进行探测、补测，重点掌握地下管线的规模大小、位置关系、运行年限等基本情况；隐患排查应全面了解地下管线的运行状况，摸清地下管线存在的结构性隐患和危险源。</w:t>
      </w:r>
    </w:p>
    <w:p>
      <w:pPr>
        <w:ind w:firstLine="560"/>
      </w:pPr>
      <w:r>
        <w:t>供水企业要建立地下管线以及接户管的巡护和隐患排查制度，加大管网检漏工作频次，借鉴其他国家漏水探测技术，见图6-1，严格执行安全技术规程，配备专门人员对管线进行日常巡护，定期进行检测维修，强化监控预警，发现危害管线安全的行为或隐患应及时处理。开展地下管线作业时，要严格遵守相关规定，配备必要的设施设备，按照先检测后监护再进入的原则进行作业，严禁违规违章作业。</w:t>
      </w:r>
    </w:p>
    <w:p>
      <w:pPr>
        <w:spacing w:before="120" w:after="72" w:afterLines="30" w:line="240" w:lineRule="auto"/>
        <w:ind w:firstLine="0" w:firstLineChars="0"/>
        <w:jc w:val="center"/>
      </w:pPr>
      <w:r>
        <w:drawing>
          <wp:inline distT="0" distB="0" distL="0" distR="0">
            <wp:extent cx="3876040" cy="2333625"/>
            <wp:effectExtent l="19050" t="0" r="0" b="0"/>
            <wp:docPr id="27" name="image192.png" descr="C:\Users\Administrator\Desktop\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92.png" descr="C:\Users\Administrator\Desktop\图片1.png"/>
                    <pic:cNvPicPr>
                      <a:picLocks noChangeAspect="1" noChangeArrowheads="1"/>
                    </pic:cNvPicPr>
                  </pic:nvPicPr>
                  <pic:blipFill>
                    <a:blip r:embed="rId82"/>
                    <a:srcRect/>
                    <a:stretch>
                      <a:fillRect/>
                    </a:stretch>
                  </pic:blipFill>
                  <pic:spPr>
                    <a:xfrm>
                      <a:off x="0" y="0"/>
                      <a:ext cx="3876040" cy="2333625"/>
                    </a:xfrm>
                    <a:prstGeom prst="rect">
                      <a:avLst/>
                    </a:prstGeom>
                    <a:noFill/>
                    <a:ln w="9525">
                      <a:noFill/>
                      <a:miter lim="800000"/>
                      <a:headEnd/>
                      <a:tailEnd/>
                    </a:ln>
                  </pic:spPr>
                </pic:pic>
              </a:graphicData>
            </a:graphic>
          </wp:inline>
        </w:drawing>
      </w:r>
    </w:p>
    <w:p>
      <w:pPr>
        <w:pStyle w:val="16"/>
        <w:kinsoku w:val="0"/>
        <w:overflowPunct w:val="0"/>
        <w:spacing w:before="154" w:line="360" w:lineRule="auto"/>
        <w:ind w:firstLine="641" w:firstLineChars="266"/>
        <w:jc w:val="center"/>
        <w:rPr>
          <w:rFonts w:cs="Times New Roman"/>
          <w:b/>
          <w:sz w:val="24"/>
        </w:rPr>
      </w:pPr>
      <w:r>
        <w:rPr>
          <w:rFonts w:cs="Times New Roman"/>
          <w:b/>
          <w:sz w:val="24"/>
        </w:rPr>
        <w:t>图6-1</w:t>
      </w:r>
      <w:r>
        <w:rPr>
          <w:rFonts w:cs="Times New Roman"/>
          <w:b/>
          <w:sz w:val="24"/>
        </w:rPr>
        <w:tab/>
      </w:r>
      <w:r>
        <w:rPr>
          <w:rFonts w:hint="eastAsia" w:cs="Times New Roman"/>
          <w:b/>
          <w:sz w:val="24"/>
        </w:rPr>
        <w:t xml:space="preserve"> </w:t>
      </w:r>
      <w:r>
        <w:rPr>
          <w:rFonts w:cs="Times New Roman"/>
          <w:b/>
          <w:sz w:val="24"/>
        </w:rPr>
        <w:t>日本管道漏水探测技术</w:t>
      </w:r>
    </w:p>
    <w:p>
      <w:pPr>
        <w:spacing w:before="120"/>
        <w:ind w:firstLine="562"/>
        <w:rPr>
          <w:b/>
          <w:snapToGrid w:val="0"/>
          <w:kern w:val="2"/>
        </w:rPr>
      </w:pPr>
      <w:r>
        <w:rPr>
          <w:rFonts w:hint="eastAsia"/>
          <w:b/>
          <w:snapToGrid w:val="0"/>
          <w:kern w:val="2"/>
        </w:rPr>
        <w:t>3）</w:t>
      </w:r>
      <w:r>
        <w:rPr>
          <w:b/>
          <w:snapToGrid w:val="0"/>
          <w:kern w:val="2"/>
        </w:rPr>
        <w:t>继续推进供水管网工程改造</w:t>
      </w:r>
    </w:p>
    <w:p>
      <w:pPr>
        <w:ind w:firstLine="560"/>
      </w:pPr>
      <w:r>
        <w:t>根据国内外案例总结，管网漏损原因如下：一是管道材质的原因，灰口铸铁管的管材质量导致漏损率高；二是接口因素，接口的材料不合格，接口形式选择不当，施工不规范等；三是水锤因素，加压设备的频繁启闭，管道阀门的频繁快速操作，排气门失效；四是温度的变化，水文的变化产生应力，造成了管道的破坏；五是腐蚀作用，土壤和地下水的腐蚀，</w:t>
      </w:r>
      <w:r>
        <w:rPr>
          <w:rFonts w:hint="eastAsia"/>
        </w:rPr>
        <w:t>导致</w:t>
      </w:r>
      <w:r>
        <w:t>管壁变薄甚至洞穿，造成漏水；六是施工原因，基础和回填没有做好，管道埋深不够或者地基下沉导致开裂等等。</w:t>
      </w:r>
    </w:p>
    <w:p>
      <w:pPr>
        <w:ind w:firstLine="560"/>
      </w:pPr>
      <w:r>
        <w:t>根据城市给水管网管理统计数据，给水管网漏水率控制在10%以下，必须具备以下条件，一是管道基础合理，二是重荷载区应采用高强度管道，三是管道不应采用预应力钢筋混凝土给水管网和灰口铸铁管，应采用球墨铸铁管和PE塑料管，因为后者具有更高强度以及更好的抗震性。</w:t>
      </w:r>
    </w:p>
    <w:p>
      <w:pPr>
        <w:ind w:firstLine="560"/>
      </w:pPr>
      <w:r>
        <w:t>另外为保障水质安全和供水安全，也应采用高质量的给水管道，建议2020年前改造更新完成市区内的预应力钢筋混凝土给水管网，2035年改造更新完成灰口铸铁管以及外部外加荷载多的地区管道的改造。</w:t>
      </w:r>
    </w:p>
    <w:p>
      <w:pPr>
        <w:ind w:firstLine="560"/>
      </w:pPr>
      <w:r>
        <w:t>推进管网计量科学化，减少管网漏水量，实施城市给水三级计量，第一级区域计量模拟，第二级小区</w:t>
      </w:r>
      <w:r>
        <w:rPr>
          <w:rFonts w:hint="eastAsia"/>
        </w:rPr>
        <w:t>和</w:t>
      </w:r>
      <w:r>
        <w:t>单位企业计量，第三级用水户计量。目前</w:t>
      </w:r>
      <w:r>
        <w:rPr>
          <w:rFonts w:hint="eastAsia"/>
        </w:rPr>
        <w:t>淮北</w:t>
      </w:r>
      <w:r>
        <w:t>市大多采用是采用第二、三级计量，远不能满足减少管网漏水控制的要求。</w:t>
      </w:r>
    </w:p>
    <w:p>
      <w:pPr>
        <w:ind w:firstLine="560"/>
      </w:pPr>
      <w:r>
        <w:t>近几年，</w:t>
      </w:r>
      <w:r>
        <w:rPr>
          <w:rFonts w:hint="eastAsia"/>
        </w:rPr>
        <w:t>淮北市</w:t>
      </w:r>
      <w:r>
        <w:t>下大力气对建成区老旧和劣质的供水管网进行了改造，但仍存在大量的老旧管网未进行改造，一是一些棚户区需进行改造，二是</w:t>
      </w:r>
      <w:r>
        <w:rPr>
          <w:rFonts w:hint="eastAsia"/>
        </w:rPr>
        <w:t>一些低质量</w:t>
      </w:r>
      <w:r>
        <w:t>供水管材需要更换，三是部分工业企业供水管网漏损严重需进行更换，四是一些公共单位老旧管网尚未及时更新，下一步应结合棚户区改造、海绵城市建设等工作逐步推进这些地方的管网改造。</w:t>
      </w:r>
    </w:p>
    <w:p>
      <w:pPr>
        <w:spacing w:before="120"/>
        <w:ind w:firstLine="562"/>
        <w:rPr>
          <w:b/>
          <w:snapToGrid w:val="0"/>
          <w:kern w:val="2"/>
        </w:rPr>
      </w:pPr>
      <w:r>
        <w:rPr>
          <w:rFonts w:hint="eastAsia"/>
          <w:b/>
          <w:snapToGrid w:val="0"/>
          <w:kern w:val="2"/>
        </w:rPr>
        <w:t>4）</w:t>
      </w:r>
      <w:r>
        <w:rPr>
          <w:b/>
          <w:snapToGrid w:val="0"/>
          <w:kern w:val="2"/>
        </w:rPr>
        <w:t>设置DMA分区计量</w:t>
      </w:r>
    </w:p>
    <w:p>
      <w:pPr>
        <w:ind w:firstLine="560"/>
      </w:pPr>
      <w:r>
        <w:t>《住房城乡建设部国家发展改革委关于印发城镇节水工作指南的通知》中已经指出：鼓励开展管网独立分区计量管理（DMA），在普查基础上建立公共供水管网信息系统，鼓励开展管网独立分区计量体系的建设，并完成相应的管网分区局部改造、泵站改造、分区阀门及计量设备安装等工程；强化居住小区计量管理，鼓励建立小区DMA管理模式，健全总分表匹配和分析机制，实施三级计量防漏措施。逐步更新改造不符合要求的小区。</w:t>
      </w:r>
    </w:p>
    <w:p>
      <w:pPr>
        <w:ind w:firstLine="560"/>
      </w:pPr>
      <w:r>
        <w:t>供水管网实施区域计量分区（DMA）管理是城市管网管理的一种新模式，对提高供水系统的管理水平、提高供水效益、优化管网运行以及减小管网漏损等具有重要的意义。区域的划分应根据给水管网的压力、管道类型、基础等具有相似的区域，经科学研究划分区域规模和边界，对分区方案进行计算，验证其可行性，规避DMA引起的管网运行风险。</w:t>
      </w:r>
    </w:p>
    <w:p>
      <w:pPr>
        <w:ind w:firstLine="560"/>
      </w:pPr>
      <w:r>
        <w:t>DMA分区的步骤和管理流程</w:t>
      </w:r>
    </w:p>
    <w:p>
      <w:pPr>
        <w:ind w:firstLine="560"/>
      </w:pPr>
      <w:r>
        <w:rPr>
          <w:rFonts w:hint="eastAsia"/>
        </w:rPr>
        <w:t>（1）</w:t>
      </w:r>
      <w:r>
        <w:t>初步划分DMA，确定临时DMA的边界</w:t>
      </w:r>
    </w:p>
    <w:p>
      <w:pPr>
        <w:ind w:firstLine="560"/>
      </w:pPr>
      <w:r>
        <w:t>根据GIS提供的管网、道路、河流等数据信息，综合考虑DMA的大小</w:t>
      </w:r>
      <w:r>
        <w:rPr>
          <w:rFonts w:hint="eastAsia"/>
        </w:rPr>
        <w:t>（</w:t>
      </w:r>
      <w:r>
        <w:t>包括计量区域总户数NP和管道长度LM</w:t>
      </w:r>
      <w:r>
        <w:rPr>
          <w:rFonts w:hint="eastAsia"/>
        </w:rPr>
        <w:t>）</w:t>
      </w:r>
      <w:r>
        <w:t>，划分临时DMA的边界。通常以建筑小区为单元或按公共建筑来考虑。</w:t>
      </w:r>
    </w:p>
    <w:p>
      <w:pPr>
        <w:ind w:firstLine="560"/>
      </w:pPr>
      <w:r>
        <w:rPr>
          <w:rFonts w:hint="eastAsia"/>
        </w:rPr>
        <w:t>（2）</w:t>
      </w:r>
      <w:r>
        <w:t>统计临时DMA的各项指标</w:t>
      </w:r>
    </w:p>
    <w:p>
      <w:pPr>
        <w:ind w:firstLine="560"/>
      </w:pPr>
      <w:r>
        <w:t>该指标统计的有用户数NP，月均用水量CM，管线长度LM。自来水公司为DMA各项指标的统计提供基本资料。DMA的监测重点是户外供水管线，因此统计临时DMA的管线长度时不包括进户管，只统计管径&gt;15mm的供水管线。GIS中有管线的详细信息</w:t>
      </w:r>
      <w:r>
        <w:rPr>
          <w:rFonts w:hint="eastAsia"/>
        </w:rPr>
        <w:t>（</w:t>
      </w:r>
      <w:r>
        <w:t>包括长度、管径、地址等</w:t>
      </w:r>
      <w:r>
        <w:rPr>
          <w:rFonts w:hint="eastAsia"/>
        </w:rPr>
        <w:t>）</w:t>
      </w:r>
      <w:r>
        <w:t>，利用GIS的统计功能得到临时性DMA的管线长度LM。</w:t>
      </w:r>
    </w:p>
    <w:p>
      <w:pPr>
        <w:ind w:firstLine="560"/>
      </w:pPr>
      <w:r>
        <w:rPr>
          <w:rFonts w:hint="eastAsia"/>
        </w:rPr>
        <w:t>（3）</w:t>
      </w:r>
      <w:r>
        <w:t>调整临时DMA，得到正式的DMA</w:t>
      </w:r>
    </w:p>
    <w:p>
      <w:pPr>
        <w:ind w:firstLine="560"/>
      </w:pPr>
      <w:r>
        <w:t>确保DMA的Lp在1500~3000户左右。</w:t>
      </w:r>
    </w:p>
    <w:p>
      <w:pPr>
        <w:ind w:firstLine="560"/>
      </w:pPr>
      <w:r>
        <w:rPr>
          <w:rFonts w:hint="eastAsia"/>
        </w:rPr>
        <w:t>（4）</w:t>
      </w:r>
      <w:r>
        <w:t>选择进水口和流量计型号</w:t>
      </w:r>
    </w:p>
    <w:p>
      <w:pPr>
        <w:ind w:firstLine="560"/>
      </w:pPr>
      <w:r>
        <w:t>通常情况下，一般只需设置一个进水口，但当DMA内存在重要的用户，如医院等以及个别户数NP较大的需要设施2个进水口，保证供水安全和消防安全</w:t>
      </w:r>
    </w:p>
    <w:p>
      <w:pPr>
        <w:ind w:firstLine="560"/>
      </w:pPr>
      <w:r>
        <w:t>根据DMA的CM和流量计测量范围计算流量计口径，若计算出的流量计口径和选定的进水口管径不同，安装流量计时可通过变径解决。</w:t>
      </w:r>
    </w:p>
    <w:p>
      <w:pPr>
        <w:ind w:firstLine="560"/>
      </w:pPr>
      <w:r>
        <w:rPr>
          <w:rFonts w:hint="eastAsia"/>
        </w:rPr>
        <w:t>（5）</w:t>
      </w:r>
      <w:r>
        <w:t>整理需要关闭的边界阀门和新设阀门</w:t>
      </w:r>
    </w:p>
    <w:p>
      <w:pPr>
        <w:ind w:firstLine="560"/>
      </w:pPr>
      <w:r>
        <w:t>只有对每个DMA管网进行详细分析、整理需要关闭的边界阀门，才能通过关闭阀门使各个DMA管网独立。</w:t>
      </w:r>
    </w:p>
    <w:p>
      <w:pPr>
        <w:ind w:firstLine="560"/>
      </w:pPr>
      <w:r>
        <w:t>DMA的典型管理流程如下图6-2所示。</w:t>
      </w:r>
    </w:p>
    <w:p>
      <w:pPr>
        <w:adjustRightInd/>
        <w:spacing w:before="7" w:line="240" w:lineRule="auto"/>
        <w:ind w:firstLine="0" w:firstLineChars="0"/>
        <w:jc w:val="center"/>
        <w:rPr>
          <w:rFonts w:ascii="宋体" w:hAnsi="宋体" w:cs="宋体"/>
          <w:sz w:val="9"/>
        </w:rPr>
      </w:pPr>
      <w:r>
        <w:drawing>
          <wp:inline distT="0" distB="0" distL="0" distR="0">
            <wp:extent cx="4612640" cy="3042920"/>
            <wp:effectExtent l="19050" t="0" r="0" b="0"/>
            <wp:docPr id="24" name="image193.png" descr="C:\Users\Administrator\Desktop\$R1SIXQ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3.png" descr="C:\Users\Administrator\Desktop\$R1SIXQO.png"/>
                    <pic:cNvPicPr>
                      <a:picLocks noChangeAspect="1" noChangeArrowheads="1"/>
                    </pic:cNvPicPr>
                  </pic:nvPicPr>
                  <pic:blipFill>
                    <a:blip r:embed="rId83"/>
                    <a:srcRect/>
                    <a:stretch>
                      <a:fillRect/>
                    </a:stretch>
                  </pic:blipFill>
                  <pic:spPr>
                    <a:xfrm>
                      <a:off x="0" y="0"/>
                      <a:ext cx="4616492" cy="3045490"/>
                    </a:xfrm>
                    <a:prstGeom prst="rect">
                      <a:avLst/>
                    </a:prstGeom>
                    <a:noFill/>
                    <a:ln w="9525">
                      <a:noFill/>
                      <a:miter lim="800000"/>
                      <a:headEnd/>
                      <a:tailEnd/>
                    </a:ln>
                  </pic:spPr>
                </pic:pic>
              </a:graphicData>
            </a:graphic>
          </wp:inline>
        </w:drawing>
      </w:r>
    </w:p>
    <w:p>
      <w:pPr>
        <w:pStyle w:val="16"/>
        <w:kinsoku w:val="0"/>
        <w:overflowPunct w:val="0"/>
        <w:spacing w:before="154" w:line="360" w:lineRule="auto"/>
        <w:ind w:firstLine="641" w:firstLineChars="266"/>
        <w:jc w:val="center"/>
        <w:rPr>
          <w:rFonts w:cs="Times New Roman"/>
          <w:b/>
          <w:sz w:val="24"/>
        </w:rPr>
      </w:pPr>
      <w:r>
        <w:rPr>
          <w:rFonts w:cs="Times New Roman"/>
          <w:b/>
          <w:sz w:val="24"/>
        </w:rPr>
        <w:t>图6-2</w:t>
      </w:r>
      <w:r>
        <w:rPr>
          <w:rFonts w:cs="Times New Roman"/>
          <w:b/>
          <w:sz w:val="24"/>
        </w:rPr>
        <w:tab/>
      </w:r>
      <w:r>
        <w:rPr>
          <w:rFonts w:hint="eastAsia" w:cs="Times New Roman"/>
          <w:b/>
          <w:sz w:val="24"/>
        </w:rPr>
        <w:t xml:space="preserve"> </w:t>
      </w:r>
      <w:r>
        <w:rPr>
          <w:rFonts w:cs="Times New Roman"/>
          <w:b/>
          <w:sz w:val="24"/>
        </w:rPr>
        <w:t>实施DMA分区管理推荐流程</w:t>
      </w:r>
    </w:p>
    <w:p>
      <w:pPr>
        <w:spacing w:before="120"/>
        <w:ind w:firstLine="560"/>
      </w:pPr>
      <w:r>
        <w:rPr>
          <w:rFonts w:hint="eastAsia"/>
        </w:rPr>
        <w:t>（6）</w:t>
      </w:r>
      <w:r>
        <w:t>DMA工程规划任务</w:t>
      </w:r>
    </w:p>
    <w:p>
      <w:pPr>
        <w:spacing w:before="120"/>
        <w:ind w:firstLine="560"/>
      </w:pPr>
      <w:r>
        <w:t>结合国际国内市政管网发展趋势以及</w:t>
      </w:r>
      <w:r>
        <w:rPr>
          <w:rFonts w:hint="eastAsia"/>
        </w:rPr>
        <w:t>淮北</w:t>
      </w:r>
      <w:r>
        <w:t>市供水管网现状，</w:t>
      </w:r>
      <w:r>
        <w:rPr>
          <w:rFonts w:hint="eastAsia"/>
        </w:rPr>
        <w:t>近期</w:t>
      </w:r>
      <w:r>
        <w:t>探索完成3~5个示范区域的DMA分区计量改造工作，在示范区域内对DMA的水压、水质等进行监测，以便对后续整个建成区DMA的划分和实施起到指导作用，同时为节省改造时的土建费用投资，鼓励新建项目直接采用DMA分区计量措施；2021年以后根据成熟经验逐步推广，争取到2035年，DMA分区计量覆盖区域占到中心城区</w:t>
      </w:r>
      <w:r>
        <w:rPr>
          <w:rFonts w:hint="eastAsia"/>
        </w:rPr>
        <w:t>9</w:t>
      </w:r>
      <w:r>
        <w:t>0%以上。</w:t>
      </w:r>
    </w:p>
    <w:p>
      <w:pPr>
        <w:pStyle w:val="4"/>
      </w:pPr>
      <w:bookmarkStart w:id="367" w:name="_bookmark84"/>
      <w:bookmarkEnd w:id="367"/>
      <w:bookmarkStart w:id="368" w:name="_Toc8032631"/>
      <w:bookmarkStart w:id="369" w:name="_Toc531180132"/>
      <w:r>
        <w:rPr>
          <w:rFonts w:hint="eastAsia"/>
        </w:rPr>
        <w:t>6.3.2</w:t>
      </w:r>
      <w:r>
        <w:t>加快排水管网改造和建设</w:t>
      </w:r>
      <w:bookmarkEnd w:id="368"/>
      <w:bookmarkEnd w:id="369"/>
    </w:p>
    <w:p>
      <w:pPr>
        <w:pStyle w:val="5"/>
        <w:spacing w:before="120"/>
      </w:pPr>
      <w:bookmarkStart w:id="370" w:name="_Toc8032632"/>
      <w:r>
        <w:rPr>
          <w:rFonts w:hint="eastAsia"/>
        </w:rPr>
        <w:t>6.3.2.1</w:t>
      </w:r>
      <w:r>
        <w:t>加强管网现状调查与勘测</w:t>
      </w:r>
      <w:bookmarkEnd w:id="370"/>
    </w:p>
    <w:p>
      <w:pPr>
        <w:ind w:firstLine="560"/>
      </w:pPr>
      <w:r>
        <w:t>管网改造一个非常重要的基础工作是要对现状市政排水管网、小区单位内部排水管网、污水排放源头与末端等进行调查和测量，它是施工图设计与相关参数计算的依据。依据《城市地下管线探测技术规程》（CJJ61-20</w:t>
      </w:r>
      <w:r>
        <w:rPr>
          <w:rFonts w:hint="eastAsia"/>
        </w:rPr>
        <w:t>17</w:t>
      </w:r>
      <w:r>
        <w:t>）对于市政排水管道的调查测量内容和方法，一方面在条件允许的地区以及新建城区要采取雨污分流制改造与建设，另一方面在部分老旧城区应进行截留式合流制改造。</w:t>
      </w:r>
    </w:p>
    <w:p>
      <w:pPr>
        <w:pStyle w:val="5"/>
        <w:spacing w:before="120"/>
      </w:pPr>
      <w:bookmarkStart w:id="371" w:name="_Toc8032633"/>
      <w:r>
        <w:rPr>
          <w:rFonts w:hint="eastAsia"/>
        </w:rPr>
        <w:t>6.3.2.2</w:t>
      </w:r>
      <w:r>
        <w:t>推进部分老城区雨污合流制改造</w:t>
      </w:r>
      <w:bookmarkEnd w:id="371"/>
    </w:p>
    <w:p>
      <w:pPr>
        <w:ind w:firstLine="560"/>
      </w:pPr>
      <w:r>
        <w:t>对于由于场地、道路等因素限制，难以实现雨污分流改造的部分棚户区以及老旧小区，应积极推行截流式合流制管网改造，计算合理截流倍数，实现有效截流。</w:t>
      </w:r>
    </w:p>
    <w:p>
      <w:pPr>
        <w:ind w:firstLine="560"/>
      </w:pPr>
      <w:r>
        <w:t>1）保留部分合流制管网，实行截流式合流制排水系统</w:t>
      </w:r>
    </w:p>
    <w:p>
      <w:pPr>
        <w:ind w:firstLine="560"/>
      </w:pPr>
      <w:r>
        <w:t>截流式合流制排水系统适用于雨水较少、排水受纳水体环境容量大、河道水位比较低，一定量的污水对水体不形成影响，出流管为自由出流或受水体顶托影响较小的地区。当改造区域符合以上标准或难以一次性改造为雨污分流制排水系统时，应优先考虑截流式合流制排水系统，未来随着城市的发展，逐步完善管网，改为分流制。</w:t>
      </w:r>
    </w:p>
    <w:p>
      <w:pPr>
        <w:ind w:firstLine="560"/>
      </w:pPr>
      <w:r>
        <w:t>截流式合流制系统建设的关键就是截流井的设置，但关于截流井的设计目前国内还没有一个能够适合各种地区情况的统一规范。在确定截流井设计方案时应先对与淮北市情况相近地区截流井的设计及运行状况进行充分的调查，借鉴周边地区的成功经验从而解决淮北市的实际问题。</w:t>
      </w:r>
    </w:p>
    <w:p>
      <w:pPr>
        <w:ind w:firstLine="560"/>
      </w:pPr>
      <w:r>
        <w:rPr>
          <w:rFonts w:hint="eastAsia"/>
        </w:rPr>
        <w:t>（1）</w:t>
      </w:r>
      <w:r>
        <w:t>截流井</w:t>
      </w:r>
      <w:r>
        <w:rPr>
          <w:rFonts w:hint="eastAsia"/>
        </w:rPr>
        <w:t>Ⅰ</w:t>
      </w:r>
      <w:r>
        <w:t>型（见图6-3</w:t>
      </w:r>
      <w:r>
        <w:rPr>
          <w:rFonts w:hint="eastAsia"/>
        </w:rPr>
        <w:t>A</w:t>
      </w:r>
      <w:r>
        <w:t>）方案可以在距河道较远、溢流口不受河水水位顶托影响或影响很小的地方设置；截流井</w:t>
      </w:r>
      <w:r>
        <w:rPr>
          <w:rFonts w:hint="eastAsia"/>
        </w:rPr>
        <w:t>Ⅱ</w:t>
      </w:r>
      <w:r>
        <w:t>型（见图6-3</w:t>
      </w:r>
      <w:r>
        <w:rPr>
          <w:rFonts w:hint="eastAsia"/>
        </w:rPr>
        <w:t>B</w:t>
      </w:r>
      <w:r>
        <w:t>）方案、截流井</w:t>
      </w:r>
      <w:r>
        <w:rPr>
          <w:rFonts w:hint="eastAsia"/>
        </w:rPr>
        <w:t>Ⅲ</w:t>
      </w:r>
      <w:r>
        <w:t>型（见图6-3</w:t>
      </w:r>
      <w:r>
        <w:rPr>
          <w:rFonts w:hint="eastAsia"/>
        </w:rPr>
        <w:t>C</w:t>
      </w:r>
      <w:r>
        <w:t>）方案可以结合实际情况在溢流口位于河道边、受河水水位影响较大的地方使用。</w:t>
      </w:r>
    </w:p>
    <w:p>
      <w:pPr>
        <w:ind w:firstLine="560"/>
      </w:pPr>
      <w:r>
        <w:rPr>
          <w:rFonts w:hint="eastAsia"/>
        </w:rPr>
        <w:t>（2）</w:t>
      </w:r>
      <w:r>
        <w:t>由于截流井溢流口大部分位于内河常水位以下，按照《室外排水设计规范》（GB50014-2006</w:t>
      </w:r>
      <w:r>
        <w:rPr>
          <w:rFonts w:hint="eastAsia"/>
        </w:rPr>
        <w:t>，2016年版</w:t>
      </w:r>
      <w:r>
        <w:t>）的规定，截流井溢流口应设置防倒灌设施，综合考虑投资和运行维护等情况，建议在溢流井内或者排放口处设鸭嘴阀。橡胶鸭嘴阀具有所需开启压差小、防倒灌效果好、防腐能力强、使用寿命长、维护保养少、不容易被偷盗等特性，因此橡胶鸭嘴阀已经成为实现防倒灌功能的理想产品，目前已在很多工程中得到应用。</w:t>
      </w:r>
    </w:p>
    <w:p>
      <w:pPr>
        <w:ind w:firstLine="560"/>
      </w:pPr>
      <w:r>
        <w:rPr>
          <w:rFonts w:hint="eastAsia"/>
        </w:rPr>
        <w:t>（3）</w:t>
      </w:r>
      <w:r>
        <w:t>由于旧城区雨污合流水量较大、截流井溢流口大部分位于内河常水位以下，在建设截流式合流制管道时，设计人员在选择截流倍数时，应参考被保护水体的重要性，对既有排水功能又有景观要求的河道，选择较大的截流倍数（2～5倍），以减少污染；对仅有排水功能的河道，选择较小的截流倍数（1～2倍），以节约截流管的投资及污水处理厂的常年运行费用；溢流水位可以参考《合流制系统污水截流井设计规程》（CECS91:97）计算，并结合内河常水位确定；如果计算溢流水位高于内河常水位，则设计溢流水位取计算水位值，否则取内河常水位。</w:t>
      </w:r>
    </w:p>
    <w:p>
      <w:pPr>
        <w:ind w:firstLine="560"/>
      </w:pPr>
    </w:p>
    <w:p>
      <w:pPr>
        <w:adjustRightInd/>
        <w:spacing w:line="240" w:lineRule="auto"/>
        <w:ind w:left="427" w:firstLine="0" w:firstLineChars="0"/>
        <w:rPr>
          <w:rFonts w:ascii="宋体" w:hAnsi="宋体" w:cs="宋体"/>
          <w:sz w:val="20"/>
        </w:rPr>
      </w:pPr>
      <w:r>
        <w:rPr>
          <w:rFonts w:ascii="宋体" w:hAnsi="宋体" w:cs="宋体"/>
          <w:sz w:val="20"/>
        </w:rPr>
        <w:drawing>
          <wp:inline distT="0" distB="0" distL="0" distR="0">
            <wp:extent cx="4790440" cy="1515110"/>
            <wp:effectExtent l="19050" t="0" r="0" b="0"/>
            <wp:docPr id="16"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94.png"/>
                    <pic:cNvPicPr>
                      <a:picLocks noChangeAspect="1" noChangeArrowheads="1"/>
                    </pic:cNvPicPr>
                  </pic:nvPicPr>
                  <pic:blipFill>
                    <a:blip r:embed="rId84"/>
                    <a:srcRect/>
                    <a:stretch>
                      <a:fillRect/>
                    </a:stretch>
                  </pic:blipFill>
                  <pic:spPr>
                    <a:xfrm>
                      <a:off x="0" y="0"/>
                      <a:ext cx="4790440" cy="1515110"/>
                    </a:xfrm>
                    <a:prstGeom prst="rect">
                      <a:avLst/>
                    </a:prstGeom>
                    <a:noFill/>
                    <a:ln w="9525">
                      <a:noFill/>
                      <a:miter lim="800000"/>
                      <a:headEnd/>
                      <a:tailEnd/>
                    </a:ln>
                  </pic:spPr>
                </pic:pic>
              </a:graphicData>
            </a:graphic>
          </wp:inline>
        </w:drawing>
      </w:r>
    </w:p>
    <w:p>
      <w:pPr>
        <w:adjustRightInd/>
        <w:spacing w:line="240" w:lineRule="auto"/>
        <w:ind w:left="427" w:firstLine="0" w:firstLineChars="0"/>
        <w:rPr>
          <w:rFonts w:ascii="宋体" w:hAnsi="宋体" w:cs="宋体"/>
          <w:sz w:val="20"/>
          <w:lang w:eastAsia="en-US"/>
        </w:rPr>
      </w:pPr>
    </w:p>
    <w:p>
      <w:pPr>
        <w:adjustRightInd/>
        <w:spacing w:before="29" w:line="240" w:lineRule="auto"/>
        <w:ind w:right="323" w:firstLine="0" w:firstLineChars="0"/>
        <w:jc w:val="center"/>
        <w:rPr>
          <w:rFonts w:ascii="宋体" w:hAnsi="宋体" w:cs="宋体"/>
          <w:sz w:val="21"/>
          <w:szCs w:val="22"/>
          <w:lang w:eastAsia="en-US"/>
        </w:rPr>
      </w:pPr>
      <w:r>
        <w:rPr>
          <w:rFonts w:hint="eastAsia" w:ascii="Calibri" w:hAnsi="Calibri" w:cs="宋体"/>
          <w:sz w:val="21"/>
          <w:szCs w:val="22"/>
        </w:rPr>
        <w:t xml:space="preserve">A </w:t>
      </w:r>
      <w:r>
        <w:rPr>
          <w:rFonts w:ascii="宋体" w:hAnsi="宋体" w:cs="宋体"/>
          <w:sz w:val="21"/>
          <w:szCs w:val="22"/>
          <w:lang w:eastAsia="en-US"/>
        </w:rPr>
        <w:t>截流井Ⅰ型</w:t>
      </w:r>
    </w:p>
    <w:p>
      <w:pPr>
        <w:adjustRightInd/>
        <w:spacing w:before="83" w:after="35" w:line="240" w:lineRule="auto"/>
        <w:ind w:right="323" w:firstLine="2660" w:firstLineChars="950"/>
      </w:pPr>
      <w:r>
        <w:drawing>
          <wp:inline distT="0" distB="0" distL="0" distR="0">
            <wp:extent cx="3207385" cy="2838450"/>
            <wp:effectExtent l="19050" t="0" r="0" b="0"/>
            <wp:docPr id="11"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95.png"/>
                    <pic:cNvPicPr>
                      <a:picLocks noChangeAspect="1" noChangeArrowheads="1"/>
                    </pic:cNvPicPr>
                  </pic:nvPicPr>
                  <pic:blipFill>
                    <a:blip r:embed="rId85"/>
                    <a:srcRect/>
                    <a:stretch>
                      <a:fillRect/>
                    </a:stretch>
                  </pic:blipFill>
                  <pic:spPr>
                    <a:xfrm>
                      <a:off x="0" y="0"/>
                      <a:ext cx="3207385" cy="2838450"/>
                    </a:xfrm>
                    <a:prstGeom prst="rect">
                      <a:avLst/>
                    </a:prstGeom>
                    <a:noFill/>
                    <a:ln w="9525">
                      <a:noFill/>
                      <a:miter lim="800000"/>
                      <a:headEnd/>
                      <a:tailEnd/>
                    </a:ln>
                  </pic:spPr>
                </pic:pic>
              </a:graphicData>
            </a:graphic>
          </wp:inline>
        </w:drawing>
      </w:r>
    </w:p>
    <w:p>
      <w:pPr>
        <w:adjustRightInd/>
        <w:spacing w:before="83" w:after="35" w:line="240" w:lineRule="auto"/>
        <w:ind w:right="323" w:firstLine="0" w:firstLineChars="0"/>
        <w:jc w:val="center"/>
        <w:rPr>
          <w:rFonts w:ascii="宋体" w:hAnsi="宋体" w:cs="宋体"/>
          <w:sz w:val="21"/>
          <w:szCs w:val="22"/>
          <w:lang w:eastAsia="en-US"/>
        </w:rPr>
      </w:pPr>
      <w:r>
        <w:rPr>
          <w:rFonts w:hint="eastAsia" w:ascii="Calibri" w:hAnsi="Calibri" w:cs="宋体"/>
          <w:sz w:val="21"/>
          <w:szCs w:val="22"/>
        </w:rPr>
        <w:t xml:space="preserve">B </w:t>
      </w:r>
      <w:r>
        <w:rPr>
          <w:rFonts w:ascii="宋体" w:hAnsi="宋体" w:cs="宋体"/>
          <w:sz w:val="21"/>
          <w:szCs w:val="22"/>
          <w:lang w:eastAsia="en-US"/>
        </w:rPr>
        <w:t>截流井Ⅱ型</w:t>
      </w:r>
    </w:p>
    <w:p>
      <w:pPr>
        <w:adjustRightInd/>
        <w:spacing w:line="240" w:lineRule="auto"/>
        <w:ind w:left="1633" w:firstLine="500" w:firstLineChars="250"/>
        <w:rPr>
          <w:rFonts w:ascii="宋体" w:hAnsi="宋体" w:cs="宋体"/>
          <w:sz w:val="20"/>
          <w:lang w:eastAsia="en-US"/>
        </w:rPr>
      </w:pPr>
      <w:r>
        <w:rPr>
          <w:rFonts w:ascii="宋体" w:hAnsi="宋体" w:cs="宋体"/>
          <w:sz w:val="20"/>
        </w:rPr>
        <w:drawing>
          <wp:inline distT="0" distB="0" distL="0" distR="0">
            <wp:extent cx="3234690" cy="2770505"/>
            <wp:effectExtent l="19050" t="0" r="3810" b="0"/>
            <wp:docPr id="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96.png"/>
                    <pic:cNvPicPr>
                      <a:picLocks noChangeAspect="1" noChangeArrowheads="1"/>
                    </pic:cNvPicPr>
                  </pic:nvPicPr>
                  <pic:blipFill>
                    <a:blip r:embed="rId86"/>
                    <a:srcRect/>
                    <a:stretch>
                      <a:fillRect/>
                    </a:stretch>
                  </pic:blipFill>
                  <pic:spPr>
                    <a:xfrm>
                      <a:off x="0" y="0"/>
                      <a:ext cx="3234690" cy="2770505"/>
                    </a:xfrm>
                    <a:prstGeom prst="rect">
                      <a:avLst/>
                    </a:prstGeom>
                    <a:noFill/>
                    <a:ln w="9525">
                      <a:noFill/>
                      <a:miter lim="800000"/>
                      <a:headEnd/>
                      <a:tailEnd/>
                    </a:ln>
                  </pic:spPr>
                </pic:pic>
              </a:graphicData>
            </a:graphic>
          </wp:inline>
        </w:drawing>
      </w:r>
    </w:p>
    <w:p>
      <w:pPr>
        <w:adjustRightInd/>
        <w:spacing w:line="280" w:lineRule="exact"/>
        <w:ind w:right="321" w:firstLine="0" w:firstLineChars="0"/>
        <w:jc w:val="center"/>
        <w:rPr>
          <w:rFonts w:ascii="宋体" w:hAnsi="宋体" w:cs="宋体"/>
          <w:sz w:val="21"/>
          <w:szCs w:val="22"/>
        </w:rPr>
      </w:pPr>
      <w:r>
        <w:rPr>
          <w:rFonts w:eastAsia="Times New Roman" w:cs="宋体"/>
          <w:sz w:val="21"/>
          <w:szCs w:val="22"/>
        </w:rPr>
        <w:t>C</w:t>
      </w:r>
      <w:r>
        <w:rPr>
          <w:rFonts w:hint="eastAsia" w:cs="宋体"/>
          <w:sz w:val="21"/>
          <w:szCs w:val="22"/>
        </w:rPr>
        <w:t xml:space="preserve"> </w:t>
      </w:r>
      <w:r>
        <w:rPr>
          <w:rFonts w:ascii="宋体" w:hAnsi="宋体" w:cs="宋体"/>
          <w:sz w:val="21"/>
          <w:szCs w:val="22"/>
        </w:rPr>
        <w:t>截流井Ⅲ型</w:t>
      </w:r>
    </w:p>
    <w:p>
      <w:pPr>
        <w:pStyle w:val="16"/>
        <w:kinsoku w:val="0"/>
        <w:overflowPunct w:val="0"/>
        <w:spacing w:before="154" w:line="360" w:lineRule="auto"/>
        <w:ind w:firstLine="641" w:firstLineChars="266"/>
        <w:jc w:val="center"/>
        <w:rPr>
          <w:rFonts w:cs="Times New Roman"/>
          <w:b/>
          <w:sz w:val="24"/>
        </w:rPr>
      </w:pPr>
      <w:r>
        <w:rPr>
          <w:rFonts w:cs="Times New Roman"/>
          <w:b/>
          <w:sz w:val="24"/>
        </w:rPr>
        <w:t>图6-3</w:t>
      </w:r>
      <w:r>
        <w:rPr>
          <w:rFonts w:hint="eastAsia" w:cs="Times New Roman"/>
          <w:b/>
          <w:sz w:val="24"/>
        </w:rPr>
        <w:t xml:space="preserve"> </w:t>
      </w:r>
      <w:r>
        <w:rPr>
          <w:rFonts w:cs="Times New Roman"/>
          <w:b/>
          <w:sz w:val="24"/>
        </w:rPr>
        <w:tab/>
      </w:r>
      <w:r>
        <w:rPr>
          <w:rFonts w:cs="Times New Roman"/>
          <w:b/>
          <w:sz w:val="24"/>
        </w:rPr>
        <w:t>截流井方案示意图</w:t>
      </w:r>
    </w:p>
    <w:p>
      <w:pPr>
        <w:ind w:firstLine="560"/>
      </w:pPr>
      <w:r>
        <w:rPr>
          <w:rFonts w:hint="eastAsia"/>
        </w:rPr>
        <w:t>（4）</w:t>
      </w:r>
      <w:r>
        <w:t>即使按照以上方案实施，实际截流水量也肯定会大于设计截流水量，但是如果按照目前正在实施的一些工程仅设置全部统一的一个标高（常水位加约0.5m）的溢流堰，而不考虑计算堰高和水位关系及防倒灌设施，就可能会导致截流式合流制系统基本成为雨污合流制系统，截流雨水量过大，污水浓度过低而不能向污水处理厂提升，既不利于污水处理厂的稳定运行，也会造成污水处理服务费和泵站提升排江费用的浪费，在河道水位高于溢流堰时还会造成河水倒灌。截流井的设计方案直接决定了截流式合流制系统改造的成功与否，因而在方案选择上一定要慎重。</w:t>
      </w:r>
    </w:p>
    <w:p>
      <w:pPr>
        <w:ind w:firstLine="560"/>
      </w:pPr>
      <w:r>
        <w:t>2）在截流式合流制的基础上，设置合流污水调蓄构筑物</w:t>
      </w:r>
    </w:p>
    <w:p>
      <w:pPr>
        <w:ind w:firstLine="560"/>
      </w:pPr>
      <w:r>
        <w:t>此外，为保证水体不受或少受污染，可在截流干管适当位置设置合流污水调蓄构筑物，将超过截流干管转输能力及污水厂处理能力的合流污水引入调蓄构筑物暂时储存，待暴雨过后再通过污水泵提升至截流干管，最终进入污水厂进行处理。</w:t>
      </w:r>
    </w:p>
    <w:p>
      <w:pPr>
        <w:ind w:firstLine="560"/>
      </w:pPr>
      <w:r>
        <w:t>需要指出的是，这种调蓄构筑物往往占地面积很大，并且雨水量不是一个定值，合理确定合流污水调蓄构筑物容积有较大难度；再者，调蓄合流污水量最终要通过污水泵提升至截流干管，造成日常运行、维护、管理的不便，同时也增加了污水处理厂的负荷及运行费用，所以不提倡采用，只有在充分论证无实施分流制的可能性后才予以考虑。</w:t>
      </w:r>
    </w:p>
    <w:p>
      <w:pPr>
        <w:ind w:firstLine="560"/>
      </w:pPr>
      <w:r>
        <w:t>3）在截流式合流制的基础上，对溢流混合污水进行处理</w:t>
      </w:r>
    </w:p>
    <w:p>
      <w:pPr>
        <w:ind w:firstLine="560"/>
      </w:pPr>
      <w:r>
        <w:t>在前两种情况都无法实现的情况下，可以采用在溢流合流污水排入水体前，对污水进行处理。针对合流污水水量大、浓度低的特点，可采用一级处理，选择筛滤、混凝沉淀、投氯消毒的处理工艺，合流污水经处理后，污染物浓度可显著降低，从而大大减轻对水体的污染。同样，该措施由于考虑雨水的处理，与前种情况存在类似的不足：日常运行费用高且分散处理设施远离城市集中污水处理厂，在运行、维护、管理上均存在诸多不便。</w:t>
      </w:r>
    </w:p>
    <w:p>
      <w:pPr>
        <w:ind w:firstLine="560"/>
      </w:pPr>
      <w:r>
        <w:t>合流制管网改造是一项非常复杂的工作，不能简单粗暴的对待，改造前必须考虑好截流倍数、溢流井设计、截流量控制、雨水口防臭、对污水厂处理规模及水质的影响等各方面因素，避免改造后得不偿失。</w:t>
      </w:r>
    </w:p>
    <w:p>
      <w:pPr>
        <w:pStyle w:val="5"/>
        <w:spacing w:before="120"/>
      </w:pPr>
      <w:bookmarkStart w:id="372" w:name="_Toc8032634"/>
      <w:r>
        <w:rPr>
          <w:rFonts w:hint="eastAsia"/>
        </w:rPr>
        <w:t>6.3.2.3</w:t>
      </w:r>
      <w:r>
        <w:t>加快新老城区雨污分流制改造和建设</w:t>
      </w:r>
      <w:bookmarkEnd w:id="372"/>
    </w:p>
    <w:p>
      <w:pPr>
        <w:ind w:firstLine="560"/>
      </w:pPr>
      <w:r>
        <w:t>（1）明确支管到户工作调查标准和方法</w:t>
      </w:r>
    </w:p>
    <w:p>
      <w:pPr>
        <w:ind w:firstLine="560"/>
      </w:pPr>
      <w:r>
        <w:t>实施雨污分流管网改造和雨污分流工程支管到户工作的调查标准和方法，目前没有明确的规范指引。企业单位内部排水管道、污水源头、建筑内部、建筑室外排水管网，包含排水构筑物（指化粪池、隔油池等）等排水设施，都是雨污分流工程需要调查的对象。</w:t>
      </w:r>
    </w:p>
    <w:p>
      <w:pPr>
        <w:ind w:firstLine="560"/>
      </w:pPr>
      <w:r>
        <w:t>开展雨污分流支管到户管调查工作，需要由政府主管部门牵头，制定工作计划和标准，统筹测量、勘察、设计、施工环节的配合及在相关媒体上开展宣传发动工作等，要让相关部门、企业和单位以及居民充分认识到雨污分流的重要性，积极配合调查测量单位开展工作。</w:t>
      </w:r>
    </w:p>
    <w:p>
      <w:pPr>
        <w:ind w:firstLine="560"/>
      </w:pPr>
      <w:r>
        <w:t>（2）加强雨污分流工程管理</w:t>
      </w:r>
    </w:p>
    <w:p>
      <w:pPr>
        <w:ind w:firstLine="560"/>
      </w:pPr>
      <w:r>
        <w:t>工程建设是实现雨污分流的途径，后期管理才是实现雨污分流的保证。结合已了解的</w:t>
      </w:r>
      <w:r>
        <w:rPr>
          <w:rFonts w:hint="eastAsia"/>
        </w:rPr>
        <w:t>淮北</w:t>
      </w:r>
      <w:r>
        <w:t>当地情况，加强管理比工程措施显得更加重要。</w:t>
      </w:r>
    </w:p>
    <w:p>
      <w:pPr>
        <w:ind w:firstLine="560"/>
      </w:pPr>
      <w:r>
        <w:t>加强小区管道与市政管道连接的管理。目前小区管道与市政管道的连接存在混接的情况比较严重，必须加强管理，实行前期排水许可、后期验收交接，层层落实，确保不产生新的错接混接。同时落实责任单位对现有管线进行养护排查，发现问题及时改造。为防止雨污管道混接，应按照国家《城镇排水与污水处理条例》要求严格管理雨污水管道连接，并应制定严格的管理条例和登记备案制度。</w:t>
      </w:r>
    </w:p>
    <w:p>
      <w:pPr>
        <w:ind w:firstLine="560"/>
      </w:pPr>
      <w:r>
        <w:t>加强排水系统的竣工验收管理。相关部门应加强竣工验收工作的管理，确保实际工程按照规划的要求实施。新建市政排水管道，应建立专门的排水信息档案，档案中应明确每条道路上污水、雨水管径、检查井坐标、标高等技术资料，为以后道路两侧新建小区管道的接入提供完善依据。</w:t>
      </w:r>
    </w:p>
    <w:p>
      <w:pPr>
        <w:ind w:firstLine="560"/>
      </w:pPr>
      <w:r>
        <w:t>做好雨污分流工程项目档案的管理。工程建设过程中，会形成大量的档案资料，这些资料对于城市今后的发展和城市地下管网的建设和维护，都具有十分重要的参考意义。在雨污分流工程竣工以后，这些珍贵的档案材料应当及时移交给城市的城建档案馆或者城市的综合档案馆，并且这些档案应当作为一个独立的全宗被完整保管下来。</w:t>
      </w:r>
    </w:p>
    <w:p>
      <w:pPr>
        <w:pStyle w:val="5"/>
        <w:spacing w:before="120"/>
      </w:pPr>
      <w:bookmarkStart w:id="373" w:name="_Toc8032635"/>
      <w:r>
        <w:rPr>
          <w:rFonts w:hint="eastAsia"/>
        </w:rPr>
        <w:t>6.3.2.4</w:t>
      </w:r>
      <w:r>
        <w:t>定期维护及更换排水管道</w:t>
      </w:r>
      <w:bookmarkEnd w:id="373"/>
    </w:p>
    <w:p>
      <w:pPr>
        <w:ind w:firstLine="560"/>
      </w:pPr>
      <w:r>
        <w:t>排水管网由于服役时间过长、管材、管道接口等原因，易出现排水漏损，造成水体污染；由于沉积物的增加，易出先管道堵塞，造成排水不畅，暴雨时容易出现积水。应通过对管网的调查和现场勘测，对排水管道进行定期维护或更换。</w:t>
      </w:r>
    </w:p>
    <w:p>
      <w:pPr>
        <w:ind w:firstLine="560"/>
      </w:pPr>
      <w:r>
        <w:rPr>
          <w:rFonts w:hint="eastAsia"/>
        </w:rPr>
        <w:t>（1）</w:t>
      </w:r>
      <w:r>
        <w:t>排水管网由于施工问题（或者年代比较久远</w:t>
      </w:r>
      <w:r>
        <w:rPr>
          <w:rFonts w:hint="eastAsia"/>
        </w:rPr>
        <w:t>）</w:t>
      </w:r>
      <w:r>
        <w:t>，导致自来水管道、煤气管道以及相关施工建设工程出现交叉现象，污水管道被挤压破坏，出现漏水渗水，渗沙土等现象，甚至出现管道脱节。这些不仅破坏了污水管网处理系统，同时也使污水通过破关管道流入地下，污染地下水源。</w:t>
      </w:r>
    </w:p>
    <w:p>
      <w:pPr>
        <w:ind w:firstLine="560"/>
      </w:pPr>
      <w:r>
        <w:rPr>
          <w:rFonts w:hint="eastAsia"/>
        </w:rPr>
        <w:t>（2）</w:t>
      </w:r>
      <w:r>
        <w:t>排水管网由于工程设计不合理，在城镇污水处理系统建设的过程中，管道出现高低不平的现象，当污水积攒到一定的高度后，才能流过，这种积攒污水的行为，很容易形成渗透现象。不利于排污以及污水处理工作。</w:t>
      </w:r>
    </w:p>
    <w:p>
      <w:pPr>
        <w:ind w:firstLine="560"/>
      </w:pPr>
      <w:r>
        <w:rPr>
          <w:rFonts w:hint="eastAsia"/>
        </w:rPr>
        <w:t>（3）</w:t>
      </w:r>
      <w:r>
        <w:t>排水管网在没有定期进行维修与清污的前提下，污水管网之中会出现很多生活垃圾，废弃物，甚至于泥土等，造成管道淤塞。</w:t>
      </w:r>
    </w:p>
    <w:p>
      <w:pPr>
        <w:pStyle w:val="4"/>
      </w:pPr>
      <w:bookmarkStart w:id="374" w:name="_bookmark85"/>
      <w:bookmarkEnd w:id="374"/>
      <w:bookmarkStart w:id="375" w:name="_Toc8032636"/>
      <w:bookmarkStart w:id="376" w:name="_Toc531180133"/>
      <w:r>
        <w:rPr>
          <w:rFonts w:hint="eastAsia"/>
        </w:rPr>
        <w:t>6.3.3</w:t>
      </w:r>
      <w:r>
        <w:t>推进居住小区二次供水设施改造</w:t>
      </w:r>
      <w:bookmarkEnd w:id="375"/>
      <w:bookmarkEnd w:id="376"/>
    </w:p>
    <w:p>
      <w:pPr>
        <w:ind w:firstLine="560"/>
      </w:pPr>
      <w:r>
        <w:t>长期以来，由于二次供水没有被纳入自来水公司的服务范围，没有相应的政策法规规范，二次供水的建设、运行和维护处于比较混乱的状态，水质不达标不稳定、收费不统一、服务不规范、安全可靠性无保障，经常出现纠纷多、事故多、投诉多、隐患多的</w:t>
      </w:r>
      <w:r>
        <w:rPr>
          <w:rFonts w:hint="eastAsia"/>
        </w:rPr>
        <w:t>“</w:t>
      </w:r>
      <w:r>
        <w:t>四多</w:t>
      </w:r>
      <w:r>
        <w:rPr>
          <w:rFonts w:hint="eastAsia"/>
        </w:rPr>
        <w:t>”</w:t>
      </w:r>
      <w:r>
        <w:t>现象。为保障小区二次供水的安全可靠性和供水水质质量，必须加强对二次供水设施的改造，以实现节水和供水安全保障的要求，确保供水最后1km的安全可靠性，实现从水厂到水龙头的全程监管。</w:t>
      </w:r>
    </w:p>
    <w:p>
      <w:pPr>
        <w:ind w:firstLine="560"/>
      </w:pPr>
      <w:r>
        <w:t>按照</w:t>
      </w:r>
      <w:r>
        <w:rPr>
          <w:rFonts w:hint="eastAsia"/>
        </w:rPr>
        <w:t>二次供水改造“</w:t>
      </w:r>
      <w:r>
        <w:t>政府主导、多方筹资、改造一批、接管一批、专业管理、行业监管</w:t>
      </w:r>
      <w:r>
        <w:rPr>
          <w:rFonts w:hint="eastAsia"/>
        </w:rPr>
        <w:t>”</w:t>
      </w:r>
      <w:r>
        <w:t>的原则，通过二次供水设施改造，进一步提高二次供水设施建设和管理水平，消除小区总表供水方式，推动计量到户、抄表到户。优化二次供水管理机制，逐步建立二次供水设施由供水企业统一管理的模式，更大程度保障居民用水健康安全需求。</w:t>
      </w:r>
    </w:p>
    <w:p>
      <w:pPr>
        <w:ind w:firstLine="562"/>
        <w:rPr>
          <w:b/>
        </w:rPr>
      </w:pPr>
      <w:r>
        <w:rPr>
          <w:rFonts w:hint="eastAsia"/>
          <w:b/>
        </w:rPr>
        <w:t>1）</w:t>
      </w:r>
      <w:r>
        <w:rPr>
          <w:b/>
        </w:rPr>
        <w:t>推进方案</w:t>
      </w:r>
    </w:p>
    <w:p>
      <w:pPr>
        <w:ind w:firstLine="560"/>
      </w:pPr>
      <w:r>
        <w:t>（1）编制改造规划。由各区牵头，区水务、住建、供水企业参加，全面排查辖区内未移交供水企业管理的二次供水设施基本情况，并针对性制定改造方案，测算改造工程投资。</w:t>
      </w:r>
    </w:p>
    <w:p>
      <w:pPr>
        <w:ind w:firstLine="560"/>
      </w:pPr>
      <w:r>
        <w:t>（2）落实改造任务。按照</w:t>
      </w:r>
      <w:r>
        <w:rPr>
          <w:rFonts w:hint="eastAsia"/>
        </w:rPr>
        <w:t>“</w:t>
      </w:r>
      <w:r>
        <w:t>先急后缓、先易后难</w:t>
      </w:r>
      <w:r>
        <w:rPr>
          <w:rFonts w:hint="eastAsia"/>
        </w:rPr>
        <w:t>”</w:t>
      </w:r>
      <w:r>
        <w:t>原则，分两批牵头制定改造计划，下达各区组织实施。</w:t>
      </w:r>
    </w:p>
    <w:p>
      <w:pPr>
        <w:ind w:firstLine="560"/>
      </w:pPr>
      <w:r>
        <w:t>（3）组织改造施工。各区根据市政府下达的工作任务，编制改造实施方案，组织实施辖区内居民住宅小区二次供水设施改造工作。</w:t>
      </w:r>
    </w:p>
    <w:p>
      <w:pPr>
        <w:ind w:firstLine="560"/>
      </w:pPr>
      <w:r>
        <w:t>（4）严格验收把关。改造任务完成后，各区要及时组织水务、住建、卫生、公安等部门及供水企业进行竣工验收，经验收合格并落实运行维护资金后，将二次供水设施移交供水企业管理。市里将对各区任务完成情况进行考核，并通报考核结果。</w:t>
      </w:r>
    </w:p>
    <w:p>
      <w:pPr>
        <w:ind w:firstLine="562"/>
        <w:rPr>
          <w:b/>
        </w:rPr>
      </w:pPr>
      <w:r>
        <w:rPr>
          <w:rFonts w:hint="eastAsia"/>
          <w:b/>
        </w:rPr>
        <w:t>2）</w:t>
      </w:r>
      <w:r>
        <w:rPr>
          <w:b/>
        </w:rPr>
        <w:t>保障措施</w:t>
      </w:r>
    </w:p>
    <w:p>
      <w:pPr>
        <w:ind w:firstLine="560"/>
      </w:pPr>
      <w:r>
        <w:t>加强组织领导。市政府成立专项工作领导小组，负责统筹推进二次供水改造组织实施工作。各区要成立居民住宅二次供水设施改造工作机构，整合职能部门和街道社区力量，具体组织实施本区域的居民住宅二次供水设施改造工作。</w:t>
      </w:r>
    </w:p>
    <w:p>
      <w:pPr>
        <w:ind w:firstLine="560"/>
      </w:pPr>
      <w:r>
        <w:t>落实改造资金。一是尚未交付的住宅小区，严格按照水务、住建等部门验收标准，由开发建设单位自身负责改造到位。二是已交付的住宅小区，改造资金由区政府（管委会）统筹筹集，具体由各区确定并报市区居民住宅二次供水改造工作领导小组备案。三是单位自建房，改造资金由产权人筹集。市政府将安排小区二次供水改造工程专项补助资金，待改造完成后，按完成情况对各区进行奖补，由市水务局会同财政局制定奖补办法。凡本次未统计列入改造和改造未达标的，今后改造所需费用，由属地政府（管委会）全额承担。</w:t>
      </w:r>
    </w:p>
    <w:p>
      <w:pPr>
        <w:ind w:firstLine="560"/>
      </w:pPr>
      <w:r>
        <w:t>严格督查考核。由市</w:t>
      </w:r>
      <w:r>
        <w:rPr>
          <w:rFonts w:hint="eastAsia"/>
        </w:rPr>
        <w:t>城乡建设委员会、</w:t>
      </w:r>
      <w:r>
        <w:t>水务局会同市委市政府督查室，对二次供水设施改造工作进行专项督查，通报各地工作开展情况。</w:t>
      </w:r>
    </w:p>
    <w:p>
      <w:pPr>
        <w:ind w:firstLine="560"/>
      </w:pPr>
      <w:r>
        <w:t>争取群众支持。居民住宅二次供水设施改造涉及千家万户，施工协调难度大。各区要通过广泛的宣传发动，争取群众理解和支持。对往年欠缴水费的，由当地政府（管委会）协调，帮助供水企业追缴。</w:t>
      </w:r>
    </w:p>
    <w:p>
      <w:pPr>
        <w:ind w:firstLine="560"/>
      </w:pPr>
      <w:r>
        <w:t>确保公开透明。各地要采取</w:t>
      </w:r>
      <w:r>
        <w:rPr>
          <w:rFonts w:hint="eastAsia"/>
        </w:rPr>
        <w:t>“</w:t>
      </w:r>
      <w:r>
        <w:t>统一设计、统一审核、统一采购、统一施工、统一跟踪审计</w:t>
      </w:r>
      <w:r>
        <w:rPr>
          <w:rFonts w:hint="eastAsia"/>
        </w:rPr>
        <w:t>”</w:t>
      </w:r>
      <w:r>
        <w:t>的方式进行组织实施，由当地审计和物价部门把关价格结算，并将工程实施情况向业主公示。</w:t>
      </w:r>
    </w:p>
    <w:p>
      <w:pPr>
        <w:ind w:firstLine="560"/>
      </w:pPr>
      <w:r>
        <w:t>二次供水设施改造主要内容，一则管网改造，通过检漏听漏，找出管网漏损率，根据漏损率高低制定合理的改造方案；二则水泵房及供水设备（水泵、阀门、电控装置、消毒设施、压力容器等）改造，供水水质应符合现行国家标准《生活饮用水卫生标准》（GB5749）的规定，供水水量应符合现行国家标准《建筑给水排水设计规范》（GB50015）、《室外给水设计规范》（GB50013）、《城市居民生活用水量标准》（GB/T50331）及有关标准的规定，同时供水设备产品应满足节水节能的相关要求。</w:t>
      </w:r>
    </w:p>
    <w:p>
      <w:pPr>
        <w:ind w:firstLine="560"/>
      </w:pPr>
      <w:r>
        <w:t>借鉴其他城市的相关经验，二次供水改造最大的难点是资金筹措，</w:t>
      </w:r>
      <w:r>
        <w:rPr>
          <w:rFonts w:hint="eastAsia"/>
        </w:rPr>
        <w:t>借鉴其他地区经验，</w:t>
      </w:r>
      <w:r>
        <w:t>建议</w:t>
      </w:r>
      <w:r>
        <w:rPr>
          <w:rFonts w:hint="eastAsia"/>
        </w:rPr>
        <w:t>可考虑</w:t>
      </w:r>
      <w:r>
        <w:t>市政府承担1/3，供水单位1/3，区政府筹集1/3（由相关机关、企业、事业单位、原房改房单位、房地产企业等承担，不足部分由区政府统筹），以便保证按时完成改造任务。</w:t>
      </w:r>
    </w:p>
    <w:bookmarkEnd w:id="353"/>
    <w:bookmarkEnd w:id="354"/>
    <w:bookmarkEnd w:id="355"/>
    <w:bookmarkEnd w:id="356"/>
    <w:p>
      <w:pPr>
        <w:pStyle w:val="3"/>
        <w:spacing w:before="120" w:after="60" w:line="360" w:lineRule="auto"/>
        <w:ind w:firstLine="602"/>
        <w:rPr>
          <w:rFonts w:ascii="Times New Roman" w:hAnsi="Times New Roman"/>
        </w:rPr>
      </w:pPr>
      <w:bookmarkStart w:id="377" w:name="_Toc8032637"/>
      <w:bookmarkStart w:id="378" w:name="_Toc531180134"/>
      <w:bookmarkStart w:id="379" w:name="_Toc523390698"/>
      <w:r>
        <w:rPr>
          <w:rFonts w:hint="eastAsia" w:ascii="Times New Roman" w:hAnsi="Times New Roman"/>
        </w:rPr>
        <w:t>6.4信息化建设</w:t>
      </w:r>
      <w:bookmarkEnd w:id="377"/>
      <w:bookmarkEnd w:id="378"/>
    </w:p>
    <w:p>
      <w:pPr>
        <w:ind w:firstLine="560"/>
      </w:pPr>
      <w:r>
        <w:t>我国在提倡建设智慧城市和数字城市，节水信息化就是其中的重要组成部分，信息技术是节水管理工作实现自动、高效、规范和准确的重要依托，信息技术应用代表未来管理技术的发展方向。这次新的国家标准《城市节水评价标准》GB/T51083-2015把节水信息化纳入评价标准中，是保障城市供水安全的重要举措，并为决策提供了大数据依据。</w:t>
      </w:r>
    </w:p>
    <w:p>
      <w:pPr>
        <w:ind w:firstLine="560"/>
      </w:pPr>
      <w:r>
        <w:t>城市给水排水管网系统信息化建设是高科技的系统工程，必须全盘考虑、统一规划、分步实施，否则就会导致重复建设、重复投资，不仅整个系统的精度难以保证，而且会造成极大的浪费。结合《城市节水评价标准》的要求及目前</w:t>
      </w:r>
      <w:r>
        <w:rPr>
          <w:rFonts w:hint="eastAsia"/>
        </w:rPr>
        <w:t>淮北市</w:t>
      </w:r>
      <w:r>
        <w:t>当地的实际情况以及国内外发展趋势，本规划中信息化建设主要从以下几方面开展工作。</w:t>
      </w:r>
    </w:p>
    <w:p>
      <w:pPr>
        <w:pStyle w:val="4"/>
      </w:pPr>
      <w:bookmarkStart w:id="380" w:name="_bookmark87"/>
      <w:bookmarkEnd w:id="380"/>
      <w:bookmarkStart w:id="381" w:name="_Toc8032638"/>
      <w:bookmarkStart w:id="382" w:name="_Toc531180135"/>
      <w:r>
        <w:rPr>
          <w:rFonts w:hint="eastAsia"/>
        </w:rPr>
        <w:t>6.4.1节水</w:t>
      </w:r>
      <w:r>
        <w:t>系统信息化</w:t>
      </w:r>
      <w:bookmarkEnd w:id="381"/>
      <w:bookmarkEnd w:id="382"/>
    </w:p>
    <w:p>
      <w:pPr>
        <w:ind w:firstLine="560"/>
      </w:pPr>
      <w:r>
        <w:t>通过该系统用水单位可以查询、申请、填报本单位用水情况、计划情况、用水定额信息等相关内容。各级节水管理部门可以实现对用水单位基本信息、水表信息、用水情况、用水计划、用水定额、各种创建等相关信息的管理，并可以生成相应的统计报表。</w:t>
      </w:r>
    </w:p>
    <w:p>
      <w:pPr>
        <w:ind w:firstLine="560"/>
      </w:pPr>
      <w:r>
        <w:t>系统</w:t>
      </w:r>
      <w:r>
        <w:rPr>
          <w:rFonts w:hint="eastAsia"/>
        </w:rPr>
        <w:t>基本功能</w:t>
      </w:r>
      <w:r>
        <w:t>分为5大功能模块。</w:t>
      </w:r>
    </w:p>
    <w:p>
      <w:pPr>
        <w:ind w:firstLine="560"/>
      </w:pPr>
      <w:r>
        <w:t>单位信息管理：包括基本信息管理和水表信息管理两部分，管理人员分别可以对单位基本信息和水表信息进行可以添加、修改、删除、查等操作。用水单位相关管理人员可以查询、修改本单位基本信息，以及添加、修改、查询本单位用水情况。</w:t>
      </w:r>
    </w:p>
    <w:p>
      <w:pPr>
        <w:ind w:firstLine="560"/>
      </w:pPr>
      <w:r>
        <w:t>用水情况管理：包括用水管理和报表管理各子功能模块。用水管理是指由各级节水管理部门和供水单位录入或导入各个单位每块水表计量的月用水量；报表管理是指由各个单位相关管理人员填报每月用水及生产情况（用水定额信息），并由各级节水管理部门进行审核确认。</w:t>
      </w:r>
    </w:p>
    <w:p>
      <w:pPr>
        <w:ind w:firstLine="560"/>
      </w:pPr>
      <w:r>
        <w:t>用水计划管理：用水计划管理包括用水计划测算、用水计划管理、计划调整、用水计划执行情况等子模块，用于实现计划管理，并征收超计划水资源费。在该模块中，管理人员和用水单位之间可以进行信息交互，以系统为平台管理人员可以将用水指标、预警信息、计划执行情况等相关信息告知用水单位，单位可以将反馈信息或计划调整申请信息提交给管理单位。</w:t>
      </w:r>
    </w:p>
    <w:p>
      <w:pPr>
        <w:ind w:firstLine="560"/>
      </w:pPr>
      <w:r>
        <w:t>节水专项管理：该功能模块提供了对水平衡测试、节水型学校、节水型企业、节水型单位、节水型社区等测试或创建项目的管理。</w:t>
      </w:r>
    </w:p>
    <w:p>
      <w:pPr>
        <w:ind w:firstLine="560"/>
      </w:pPr>
      <w:r>
        <w:t>系统设置管理：用于对系统进行常规维护，包括登录用户管理、功能权限设置等相关功能。</w:t>
      </w:r>
    </w:p>
    <w:p>
      <w:pPr>
        <w:ind w:firstLine="560"/>
      </w:pPr>
      <w:r>
        <w:t>未来还需通过进一步完善信息化建设，实现如下功能：</w:t>
      </w:r>
    </w:p>
    <w:p>
      <w:pPr>
        <w:ind w:firstLine="562"/>
        <w:rPr>
          <w:b/>
        </w:rPr>
      </w:pPr>
      <w:r>
        <w:rPr>
          <w:rFonts w:hint="eastAsia"/>
          <w:b/>
        </w:rPr>
        <w:t>1）</w:t>
      </w:r>
      <w:r>
        <w:rPr>
          <w:b/>
        </w:rPr>
        <w:t>实现实现</w:t>
      </w:r>
      <w:r>
        <w:rPr>
          <w:rFonts w:hint="eastAsia"/>
          <w:b/>
        </w:rPr>
        <w:t>与抄表系统对接</w:t>
      </w:r>
      <w:r>
        <w:rPr>
          <w:b/>
        </w:rPr>
        <w:t>，系统自动统计累计各种水费收入和水量数据</w:t>
      </w:r>
    </w:p>
    <w:p>
      <w:pPr>
        <w:ind w:firstLine="560"/>
      </w:pPr>
      <w:r>
        <w:t>建议总水表和分户表均利用具有远传功能的数字式水表。</w:t>
      </w:r>
    </w:p>
    <w:p>
      <w:pPr>
        <w:ind w:firstLine="560"/>
      </w:pPr>
      <w:r>
        <w:t>供水单位应制定抄表制度，推广一户一表，扩大抄表到户的区域范围；加强企业用水管理，建立供水和用水数据传输与共享数据库，支撑用水效率控制。建立城市节水统计分析信息库，依据城市节水统计制度建立分级统计上报数据入口，分用水单位、区级节水管理机构和市级节水管理机构三级入口，能够实现节水统计数据分析，并完成向上级主管部门或统计部门的上报信息自动生成。</w:t>
      </w:r>
    </w:p>
    <w:p>
      <w:pPr>
        <w:ind w:firstLine="562"/>
        <w:rPr>
          <w:b/>
        </w:rPr>
      </w:pPr>
      <w:r>
        <w:rPr>
          <w:rFonts w:hint="eastAsia"/>
          <w:b/>
        </w:rPr>
        <w:t>2）</w:t>
      </w:r>
      <w:r>
        <w:rPr>
          <w:b/>
        </w:rPr>
        <w:t>市政管网压力、水质检测和漏水预报</w:t>
      </w:r>
    </w:p>
    <w:p>
      <w:pPr>
        <w:ind w:firstLine="560"/>
      </w:pPr>
      <w:r>
        <w:t>通过设置的压力和DMA计量水表能监测城市给水管网的动态，并能提供优化运行的数据，以期节约系统运行费用。</w:t>
      </w:r>
    </w:p>
    <w:p>
      <w:pPr>
        <w:ind w:firstLine="560"/>
      </w:pPr>
      <w:r>
        <w:t>通过压力和流量监测预报管网漏水和损坏可能性，保障给水系统安全运行。采用管网地理信息系统（GIS）和巡检系统，缩短检漏周期，增加检漏效率和漏电修复及时率，降低管网漏损率，实现经济经济效益、环境效益双丰收。</w:t>
      </w:r>
    </w:p>
    <w:p>
      <w:pPr>
        <w:ind w:firstLine="562"/>
        <w:rPr>
          <w:b/>
        </w:rPr>
      </w:pPr>
      <w:r>
        <w:rPr>
          <w:rFonts w:hint="eastAsia"/>
          <w:b/>
        </w:rPr>
        <w:t>3）</w:t>
      </w:r>
      <w:r>
        <w:rPr>
          <w:b/>
        </w:rPr>
        <w:t>地下水位监测和水质检测信息化</w:t>
      </w:r>
    </w:p>
    <w:p>
      <w:pPr>
        <w:ind w:firstLine="560"/>
      </w:pPr>
      <w:r>
        <w:t>全面优化地下水监测网，从布局上消除观测冗余和不足，从井结构和观测方式上提高监测点提取地下水信息的能力；提高基层检测员的技能和酬劳，减少初级滤波误差；认真落实地下水监测技术规范中规定的数据模板，增大不同时间、不同地点监测数据之间的可比性；加快地下水监测数据库系统的建设步伐，统一标准，分阶段实现，将不同时期的地下水监测静态和动态数据统一管理，并提供基本的分析（如统计、报表等）功能，二次滤波；深入了解用户潜在的信息需求，增加地下水监测内容和服务项目，积极探索提高地下水监测地位和价值的多种有效实现方式。</w:t>
      </w:r>
    </w:p>
    <w:p>
      <w:pPr>
        <w:pStyle w:val="4"/>
      </w:pPr>
      <w:bookmarkStart w:id="383" w:name="_bookmark88"/>
      <w:bookmarkEnd w:id="383"/>
      <w:bookmarkStart w:id="384" w:name="_Toc8032639"/>
      <w:bookmarkStart w:id="385" w:name="_Toc531180136"/>
      <w:r>
        <w:rPr>
          <w:rFonts w:hint="eastAsia"/>
        </w:rPr>
        <w:t>6.4.2</w:t>
      </w:r>
      <w:r>
        <w:t>排水系统信息化</w:t>
      </w:r>
      <w:bookmarkEnd w:id="384"/>
      <w:bookmarkEnd w:id="385"/>
    </w:p>
    <w:p>
      <w:pPr>
        <w:ind w:firstLine="560"/>
      </w:pPr>
      <w:r>
        <w:t>排水系统是城市重要的基础设施，也是城市水污染防治和城市排渍防涝的骨干工程，对消除和减少城市道路积水、管道溢流等内涝灾害发挥着重要的安全保障作用。而目前我国的排水系统信息化建设和管理体系还不完善，尤其是排水管网管理和泵站调度方面，依然依靠传统的基于人工和经验的管线管理和泵站运行方式，缺乏信息系统规划，导致信息共享困难和能源浪费。随着我国排水事业的不断发展，需要使排水管理方式从人工管理转变为智能化的计算机管理，以提高排水系统管理的有效性和科学性。</w:t>
      </w:r>
    </w:p>
    <w:p>
      <w:pPr>
        <w:ind w:firstLine="560"/>
      </w:pPr>
      <w:r>
        <w:t>排水系统信息化可以扭转重建设轻管理的局面，提高城市排水管道寿命，提高城市运行安全保障能力的重要措施。早在上世纪90年代，日本东京就开始建设堪称</w:t>
      </w:r>
      <w:r>
        <w:rPr>
          <w:rFonts w:hint="eastAsia"/>
        </w:rPr>
        <w:t>“</w:t>
      </w:r>
      <w:r>
        <w:t>世界最先进</w:t>
      </w:r>
      <w:r>
        <w:rPr>
          <w:rFonts w:hint="eastAsia"/>
        </w:rPr>
        <w:t>”</w:t>
      </w:r>
      <w:r>
        <w:t>的排水系统，全程使用计算机遥控，并在中央控制室进行全程监控。东京还设有降雨信息系统来预测和统计各种降雨数据，并进行各地的排水调度。</w:t>
      </w:r>
    </w:p>
    <w:p>
      <w:pPr>
        <w:ind w:firstLine="560"/>
      </w:pPr>
      <w:r>
        <w:t>排水网络平台数据库是排水信息化建设的重要基础设施。具有如下功能：（1）汇总建立排水资源共享服务数据库体系，包括：雨情、水情、涝情、排水设施及其养护，共4个子数据库。（2）提供雨情、水情、涝情历史及实时查询服务。（3）提供水利工程基础数据的分类、分流域、分区域多属性的检索查询、显示功能。建立系统的排水相关基础工程数据库，为防汛工程规划、设计、运行维护和抢险调度提供基础资料。</w:t>
      </w:r>
    </w:p>
    <w:p>
      <w:pPr>
        <w:ind w:firstLine="560"/>
      </w:pPr>
      <w:r>
        <w:t>采用统一的水务信息共享标准，将历史及实时雨情、水情、涝情监测资料统一汇入排水基础数据库，形成雨情、水情、涝情数据子库，供查询调用。</w:t>
      </w:r>
      <w:r>
        <w:rPr>
          <w:rFonts w:hint="eastAsia"/>
        </w:rPr>
        <w:t>基于以上信息数据，可为城市水资源开发利用、城市用水、城市排水等方面提供决策信息支持。</w:t>
      </w:r>
    </w:p>
    <w:p>
      <w:pPr>
        <w:ind w:firstLine="560"/>
      </w:pPr>
      <w:r>
        <w:t>随着</w:t>
      </w:r>
      <w:r>
        <w:rPr>
          <w:rFonts w:hint="eastAsia"/>
        </w:rPr>
        <w:t>淮北</w:t>
      </w:r>
      <w:r>
        <w:t>市排水设施建设的迅速发展，对城市排水设施的管理水平的要求越来越高。提高排水系统管理现代化水平，是建设数字化城市必不可少的部分。现代城市排水系统包括截洪沟、河道、明渠、排水管网、污水提升泵站、雨水泵站、污水处理厂等，是保障城市经济活动、居民生活和健康的重要基础设施。任何环节出现问题都会带来严重后果。</w:t>
      </w:r>
    </w:p>
    <w:p>
      <w:pPr>
        <w:pStyle w:val="4"/>
      </w:pPr>
      <w:bookmarkStart w:id="386" w:name="_bookmark89"/>
      <w:bookmarkEnd w:id="386"/>
      <w:bookmarkStart w:id="387" w:name="_Toc531180137"/>
      <w:bookmarkStart w:id="388" w:name="_Toc8032640"/>
      <w:r>
        <w:rPr>
          <w:rFonts w:hint="eastAsia"/>
        </w:rPr>
        <w:t>6.4.3</w:t>
      </w:r>
      <w:r>
        <w:t>水环境生态系统信息化</w:t>
      </w:r>
      <w:bookmarkEnd w:id="387"/>
      <w:bookmarkEnd w:id="388"/>
    </w:p>
    <w:p>
      <w:pPr>
        <w:spacing w:before="120"/>
        <w:ind w:firstLine="560"/>
      </w:pPr>
      <w:r>
        <w:t>2016年，《国家信息化发展战略纲要》（简称纲要）发布，《纲要》提出：“构建基于信息化的新型生态环境治理体系，加快建设天蓝、地绿、水净的美丽中国”。强调充分利用新一代信息技术手段，创新自然资源管理模式，加强资源集约利用，健全生态环境治理体系，促进均衡资源供求关系，实现生态系统良性循环，有力支撑环境优美、生态良好的美丽中国建设。</w:t>
      </w:r>
    </w:p>
    <w:p>
      <w:pPr>
        <w:ind w:firstLine="560"/>
      </w:pPr>
      <w:r>
        <w:t>“十三五”时期，以“互联网+”为特征的经济社会各领域信息化建设持续深入，以生态治理为重心的生态文明建设首次成为国家战略，推进信息化与生态文明建设的有机结合，是顺应技术扩散机制的必然选择，是提升生态环境治理现代化能力的内在需要，有利于改变传统经济对于物质资源的强依赖关系，促进实现以资源减量化投入、能源高效化使用、废物再生资源化利用为特征的经济循环式增长。</w:t>
      </w:r>
    </w:p>
    <w:p>
      <w:pPr>
        <w:ind w:firstLine="560"/>
      </w:pPr>
      <w:r>
        <w:t>恢复水生态，改善水环境是海绵城市建设和生态文明建设的重要内容，信息化提供了水生态环境新型治理手段。以云计算、物联网、虚拟现实、北斗导航等为代表的新一代信息技术为生态环境跨区域管控、源头治理修复和全时全过程管理提供了技术支持。云计算平台为区域流域环境污染的信息交流和传递搭建了便利空间，物联网实现了污染源、污染物、生态环境的实时感知，虚拟现实使得数字化生态环境能够直观呈现，遥感、地理信息系统、全球定位系统、数据收集系统等技术与北斗导航系统集成为生态环境的远程监测创造了条件。</w:t>
      </w:r>
    </w:p>
    <w:p>
      <w:pPr>
        <w:ind w:firstLine="560"/>
      </w:pPr>
      <w:r>
        <w:t>积极运用遥感、空间定位、视频监控等科技手段，对重点河湖、水域蓝绿线、河道采砂等进行动态监控，建立水质监测、监视、预警系统工程、水生态恢复工程、水资源水环境综合管理工程等，完善地表水、地下水等方面的监测信息数据库。通过信息化系统及时向有关部门反馈监测数据，为科学治理提高依据。</w:t>
      </w:r>
    </w:p>
    <w:p>
      <w:pPr>
        <w:ind w:firstLine="560"/>
      </w:pPr>
      <w:r>
        <w:t>加强水质评价，集中国控、省控、市控断面水质监测数据，水功能区、各断面目标和水质监测资料，共同评估超标断面、超标项目、超标水期，确定水环境问题清单，针对评价结论有针对性的开展治理工作，对重要控制断面问题突出的优先解决。</w:t>
      </w:r>
    </w:p>
    <w:p>
      <w:pPr>
        <w:ind w:firstLine="560"/>
      </w:pPr>
      <w:r>
        <w:t>运用新一代信息网络技术，收集流域内排污总量变化资料，入河排污口排污量数据，动态汇集工业企业污染监测信息，并与水利部门入河排污口资料、实测入河排污量资料做平衡分析，建库存档，网上记录并公布。建立污染源-入河排污口-断面水质的综合环境监控体系，加强重点流域水源源头站点、跨界水体监测断面（点位）的自动监测能力建设。逐步提高监测人员的业务水平。这是一个跨部门、跨业务的综合性项目，需要建立数据信息共享平台，实现业务协同。</w:t>
      </w:r>
    </w:p>
    <w:p>
      <w:pPr>
        <w:pStyle w:val="4"/>
      </w:pPr>
      <w:bookmarkStart w:id="389" w:name="_bookmark90"/>
      <w:bookmarkEnd w:id="389"/>
      <w:bookmarkStart w:id="390" w:name="_Toc531180138"/>
      <w:bookmarkStart w:id="391" w:name="_Toc8032641"/>
      <w:r>
        <w:rPr>
          <w:rFonts w:hint="eastAsia"/>
        </w:rPr>
        <w:t>6.4.4</w:t>
      </w:r>
      <w:r>
        <w:t>节水宣传信息化</w:t>
      </w:r>
      <w:bookmarkEnd w:id="390"/>
      <w:bookmarkEnd w:id="391"/>
    </w:p>
    <w:p>
      <w:pPr>
        <w:ind w:firstLine="560"/>
      </w:pPr>
      <w:r>
        <w:t>通过在电视、报纸、网络等媒体开设专栏、专题、专页等，多形式、多层面地进行宣传和报道。做到电视里有影像、报刊上有文字、广播里有声音</w:t>
      </w:r>
      <w:r>
        <w:rPr>
          <w:rFonts w:hint="eastAsia"/>
        </w:rPr>
        <w:t>，</w:t>
      </w:r>
      <w:r>
        <w:t>让节约用水理念深入人心。</w:t>
      </w:r>
    </w:p>
    <w:p>
      <w:pPr>
        <w:ind w:firstLine="560"/>
      </w:pPr>
      <w:r>
        <w:t>依托物联网和智慧城市建设，</w:t>
      </w:r>
      <w:r>
        <w:fldChar w:fldCharType="begin"/>
      </w:r>
      <w:r>
        <w:instrText xml:space="preserve"> HYPERLINK "http://www.lexinchina.com/" \h </w:instrText>
      </w:r>
      <w:r>
        <w:fldChar w:fldCharType="separate"/>
      </w:r>
      <w:r>
        <w:t>通过在线群发</w:t>
      </w:r>
      <w:r>
        <w:fldChar w:fldCharType="end"/>
      </w:r>
      <w:r>
        <w:t>短信或者手机客户端，将节水知识和常识以短信或微信的形式发送至手机用户；同时用户可通过客户端留言，针对用水问题进行提问或者对浪费水行为进行曝光举报，对节水行为进行宣传等等。</w:t>
      </w:r>
    </w:p>
    <w:p>
      <w:pPr>
        <w:ind w:firstLine="560"/>
      </w:pPr>
      <w:r>
        <w:t>建立城市用水节水信息发布、节水科技推广等服务共享平台，实现行业性先进企业产品用水单耗数据或节水先进技术范例信息共享。</w:t>
      </w:r>
    </w:p>
    <w:p>
      <w:pPr>
        <w:pStyle w:val="3"/>
        <w:spacing w:before="120" w:after="60" w:line="360" w:lineRule="auto"/>
        <w:ind w:firstLine="602"/>
        <w:rPr>
          <w:rFonts w:ascii="Times New Roman" w:hAnsi="Times New Roman"/>
        </w:rPr>
      </w:pPr>
      <w:bookmarkStart w:id="392" w:name="_Toc8032642"/>
      <w:bookmarkStart w:id="393" w:name="_Toc531180139"/>
      <w:r>
        <w:rPr>
          <w:rFonts w:hint="eastAsia" w:ascii="Times New Roman" w:hAnsi="Times New Roman"/>
        </w:rPr>
        <w:t>6.5非常规水资源利用政策与措施</w:t>
      </w:r>
      <w:bookmarkEnd w:id="379"/>
      <w:bookmarkEnd w:id="392"/>
      <w:bookmarkEnd w:id="393"/>
    </w:p>
    <w:p>
      <w:pPr>
        <w:ind w:firstLine="560"/>
      </w:pPr>
      <w:r>
        <w:rPr>
          <w:rFonts w:hint="eastAsia"/>
        </w:rPr>
        <w:t>为缓解水资源短缺状况，淮北市必须优化水资源配置，同时适度开源，扩大非常规水源利用，不断提高区域水资源承载能力，形成具有区域特色的开源节流新思路。针对淮北市实际情况，</w:t>
      </w:r>
      <w:r>
        <w:t>规划期内，应继续加强再生水的回用量，尤其要着重提高再生水的工业利用占比；继续加大城市雨水利用工程项目的建设。</w:t>
      </w:r>
      <w:r>
        <w:rPr>
          <w:rFonts w:hint="eastAsia"/>
        </w:rPr>
        <w:t>逐步建立非常规水源利用激励政策，扩大非常规水源在社会总用水量中的占比。具备非常规水源开发再利用能力的地区和用途，新建建设项目取水优先安排非常规水源。</w:t>
      </w:r>
    </w:p>
    <w:p>
      <w:pPr>
        <w:pStyle w:val="4"/>
      </w:pPr>
      <w:bookmarkStart w:id="394" w:name="_Toc531180140"/>
      <w:bookmarkStart w:id="395" w:name="_Toc8032643"/>
      <w:r>
        <w:rPr>
          <w:rFonts w:hint="eastAsia"/>
        </w:rPr>
        <w:t>6.5.1</w:t>
      </w:r>
      <w:r>
        <w:t>再生水利用</w:t>
      </w:r>
      <w:bookmarkEnd w:id="394"/>
      <w:bookmarkEnd w:id="395"/>
    </w:p>
    <w:p>
      <w:pPr>
        <w:spacing w:before="120"/>
        <w:ind w:firstLine="560"/>
      </w:pPr>
      <w:r>
        <w:t>根据“水十条”的要求，工业生产、城市绿化、道路清扫、车辆冲洗、建筑施工以及生态景观等用水，要优先使用再生水。具备使用再生水条件但未充分利用的钢铁、</w:t>
      </w:r>
      <w:r>
        <w:rPr>
          <w:rFonts w:hint="eastAsia"/>
        </w:rPr>
        <w:t>采矿、</w:t>
      </w:r>
      <w:r>
        <w:t>火电、化工、制浆造纸、印染等项目，</w:t>
      </w:r>
      <w:r>
        <w:rPr>
          <w:rFonts w:hint="eastAsia"/>
        </w:rPr>
        <w:t>通过政策引导，在未利用再生水条件下，限制</w:t>
      </w:r>
      <w:r>
        <w:t>新增取水许可。</w:t>
      </w:r>
    </w:p>
    <w:p>
      <w:pPr>
        <w:ind w:firstLine="562"/>
        <w:rPr>
          <w:b/>
        </w:rPr>
      </w:pPr>
      <w:r>
        <w:rPr>
          <w:rFonts w:hint="eastAsia"/>
          <w:b/>
        </w:rPr>
        <w:t>1）</w:t>
      </w:r>
      <w:r>
        <w:rPr>
          <w:b/>
        </w:rPr>
        <w:t>再生水利用方向</w:t>
      </w:r>
    </w:p>
    <w:p>
      <w:pPr>
        <w:ind w:firstLine="560"/>
      </w:pPr>
      <w:r>
        <w:t>根据</w:t>
      </w:r>
      <w:r>
        <w:rPr>
          <w:rFonts w:hint="eastAsia"/>
        </w:rPr>
        <w:t>淮北</w:t>
      </w:r>
      <w:r>
        <w:t>现状、经济发展水平，城市污水再生处理后主要用途为：工业用水、城市绿化、道路冲洗和浇洒、河道补水、农田灌溉以及污水厂厂内自用。</w:t>
      </w:r>
    </w:p>
    <w:p>
      <w:pPr>
        <w:ind w:firstLine="560"/>
      </w:pPr>
      <w:r>
        <w:t>（1）应用于工业</w:t>
      </w:r>
    </w:p>
    <w:p>
      <w:pPr>
        <w:ind w:firstLine="560"/>
      </w:pPr>
      <w:r>
        <w:t>工业用水包括冷却用水、洗涤用水、锅炉用水、工艺用水、产品用水等。再生水应用于工业主要包括循环冷却水、熄焦、熄炉渣用水、灰渣水力输送用水、工厂绿地浇洒、地面、设备、车辆冲洗、厂区消防等用水，其中最具普遍性和代表性的用途是工业冷却用水。由于工厂、企业生产的产品不同，各类工业用水的水质标准也不同，即使企业对回用水质有特殊要求，但只要水源稳定，企业可自行按特殊要求作进一步处理，可以使处理费用降低。从长远来看，研究和制定相关政策，用经济杠杆激励城市热电厂、发电厂等工业冷却水用水大户接收和使用污水处理厂的达标尾水作为循环冷却水，扩大尾水的工业用户意义重大。</w:t>
      </w:r>
    </w:p>
    <w:p>
      <w:pPr>
        <w:ind w:firstLine="560"/>
      </w:pPr>
      <w:r>
        <w:rPr>
          <w:rFonts w:hint="eastAsia"/>
        </w:rPr>
        <w:t>淮北</w:t>
      </w:r>
      <w:r>
        <w:t>市拥有成片规划发展的经济开发区，工业企业门类多，应根据各企业对水质的要求，筛选合适的企业进行尾水回用，并逐步扩大尾水回用范围。结合各工业园区的规划，适时引入再生水资源，可节约水资源，具有巨大的经济效益和可操作性。</w:t>
      </w:r>
    </w:p>
    <w:p>
      <w:pPr>
        <w:ind w:firstLine="560"/>
      </w:pPr>
      <w:r>
        <w:t>（2）应用于城市绿化、道路冲洗</w:t>
      </w:r>
    </w:p>
    <w:p>
      <w:pPr>
        <w:ind w:firstLine="560"/>
      </w:pPr>
      <w:r>
        <w:t>为满足公园绿地植物生长、保持城市道路整洁、降低地表温度，园林绿化部门要定期对公园绿地、城市道路进行浇洒或冲洗，另外城市的下水道也要定期进行冲洗，以维持市容整洁卫生。</w:t>
      </w:r>
    </w:p>
    <w:p>
      <w:pPr>
        <w:ind w:firstLine="560"/>
      </w:pPr>
      <w:r>
        <w:t>目前</w:t>
      </w:r>
      <w:r>
        <w:rPr>
          <w:rFonts w:hint="eastAsia"/>
        </w:rPr>
        <w:t>淮北</w:t>
      </w:r>
      <w:r>
        <w:t>市公园绿地、浇洒道路的水源几乎全部为自来水，成本较高。按照《城市污水再生利用</w:t>
      </w:r>
      <w:r>
        <w:rPr>
          <w:rFonts w:hint="eastAsia"/>
        </w:rPr>
        <w:t>-</w:t>
      </w:r>
      <w:r>
        <w:t>城市杂用水水质》标准，将污水处理厂出水经过深度处理后，水质完全可以用于绿化喷洒浇灌、冲洗道路。而再生水中含有剩余的氮磷等养元素，用于绿化浇灌，既可以节约用水，又可以给草木丰富的营养，所产生的经济、环境效益都很显著。因此，使用再生水作为水源，不但可以满足使用要求，而且可以节约大量宝贵的自来水资源，是再生水利用的途径之一。</w:t>
      </w:r>
    </w:p>
    <w:p>
      <w:pPr>
        <w:ind w:firstLine="560"/>
      </w:pPr>
      <w:r>
        <w:t>（3）应用于河道补充水</w:t>
      </w:r>
    </w:p>
    <w:p>
      <w:pPr>
        <w:ind w:firstLine="560"/>
      </w:pPr>
      <w:r>
        <w:t>按照国家标准《景观环境用水的再生水利用标准》规定，一般再生水作为景观环境用水有以下几种方式：</w:t>
      </w:r>
    </w:p>
    <w:p>
      <w:pPr>
        <w:ind w:firstLine="560"/>
      </w:pPr>
      <w:r>
        <w:t>1）观赏性景观环境水体，人体非直接接触，包括不设娱乐设施的景观河道、景观湖泊及其他观赏性水体，它们由再生水或部分再生水及天然水或自来水组成。</w:t>
      </w:r>
    </w:p>
    <w:p>
      <w:pPr>
        <w:ind w:firstLine="560"/>
      </w:pPr>
      <w:r>
        <w:t>2）观赏性景观环境水体，允许人体非全身性接触的，可以划船、嬉水，对感官和卫生条件有一定要求，包括设有娱乐设施的景观河道、景观湖泊及其他观赏性水体，它们由再生水或部分再生水及天然水或自来水组成。</w:t>
      </w:r>
    </w:p>
    <w:p>
      <w:pPr>
        <w:ind w:firstLine="560"/>
      </w:pPr>
      <w:r>
        <w:t>3）水景类用水，主要用于人造瀑布、喷泉、娱乐、观赏等设施的用水。</w:t>
      </w:r>
    </w:p>
    <w:p>
      <w:pPr>
        <w:ind w:firstLine="560"/>
      </w:pPr>
      <w:r>
        <w:t>4）观赏河道类连续流动水体或景观湖泊类非连续流动水体。</w:t>
      </w:r>
    </w:p>
    <w:p>
      <w:pPr>
        <w:ind w:firstLine="560"/>
      </w:pPr>
      <w:r>
        <w:t>城市的河道由于</w:t>
      </w:r>
      <w:r>
        <w:rPr>
          <w:rFonts w:hint="eastAsia"/>
        </w:rPr>
        <w:t>天然径流较少，流动性较差，</w:t>
      </w:r>
      <w:r>
        <w:t>有的河道变为排放污水的臭沟，使城市景观不仅受到不良的影响，而且失去了河道在城市景观中的功能。</w:t>
      </w:r>
    </w:p>
    <w:p>
      <w:pPr>
        <w:ind w:firstLine="560"/>
      </w:pPr>
      <w:r>
        <w:t>目前</w:t>
      </w:r>
      <w:r>
        <w:rPr>
          <w:rFonts w:hint="eastAsia"/>
        </w:rPr>
        <w:t>淮北</w:t>
      </w:r>
      <w:r>
        <w:t>市中心城市大部分公园内湖湖水和河道主要是依靠自然降水和自来水补充进行调节置换的。但由于自然降水的初期降雨地面径流水质很差，汇流入湖更加剧了内湖湖水和河道的污染。对于公园这种公益单位来讲，用自来水进行定期换水是一笔沉重的经济负担。</w:t>
      </w:r>
    </w:p>
    <w:p>
      <w:pPr>
        <w:ind w:firstLine="560"/>
      </w:pPr>
      <w:r>
        <w:t>按照中华人民共和国建设部颁布的城镇建设行业标准《再生水回用于景观水体的水质标准》（CJ/T95-2000）要求，城市污水处理厂的出水再进行深度处理，不但可以满足作为景观水体的水质要求，而且水量充足，供水稳定，非常适用于大面积的景观水体的换水补水。只要河道是流动的河道本身还具有一定的自净能力，这样不仅使城市景观得到改善，也为河道两岸再生水回用单位提供他输水渠道。即保证河道有足够的水动力，减少需要补充清洁水量，又可促进社会经济可持续发展，有效缓解水资源缺乏，对合理调度现有的水源起到积极作用，将获得良好的经济效益和社会效益。</w:t>
      </w:r>
    </w:p>
    <w:p>
      <w:pPr>
        <w:ind w:firstLine="560"/>
      </w:pPr>
      <w:r>
        <w:t>（4）应用于农田灌溉城市污水经再生工艺净化处理后，可以用于农田灌溉、造林育苗、畜牧养殖、水产养殖等用水。作为再生水回用，尽管在北京高碑店污水厂有放养金鱼的试验，但目前尚不适用于大规模淡水养殖，只是在进行试验性的探索，再生水主要还是用于农田灌溉。国家对农业灌溉用水制定了水质标准，污水经过二级处理后一般都能达到农业灌溉用水标准。农业灌溉用水有水量大、效益不高的特点，如何降低农业灌溉用水量。国内外实践已经证明，再生水作为农灌回用是行之有效的办法。如果污水处理厂周围是农田，污水处理厂的出水用于农田灌溉是最好的途径，既节约了输水工程，又可将再生就近得到利用。</w:t>
      </w:r>
    </w:p>
    <w:p>
      <w:pPr>
        <w:ind w:firstLine="560"/>
      </w:pPr>
      <w:r>
        <w:t>然而随着对农田灌溉认识的增加，对灌溉水量及水质的限制也日趋严格，以防止可能出现的严重二次污染，不建议再生水回用于农业灌溉。</w:t>
      </w:r>
    </w:p>
    <w:p>
      <w:pPr>
        <w:ind w:firstLine="560"/>
      </w:pPr>
      <w:r>
        <w:t>（5）污水厂自用</w:t>
      </w:r>
    </w:p>
    <w:p>
      <w:pPr>
        <w:ind w:firstLine="560"/>
      </w:pPr>
      <w:r>
        <w:t>主要包括厂区设备和池体冲洗、绿化用水。</w:t>
      </w:r>
    </w:p>
    <w:p>
      <w:pPr>
        <w:ind w:firstLine="562"/>
        <w:rPr>
          <w:b/>
        </w:rPr>
      </w:pPr>
      <w:r>
        <w:rPr>
          <w:rFonts w:hint="eastAsia"/>
          <w:b/>
        </w:rPr>
        <w:t>2）</w:t>
      </w:r>
      <w:r>
        <w:rPr>
          <w:b/>
        </w:rPr>
        <w:t>再生水水源水质</w:t>
      </w:r>
    </w:p>
    <w:p>
      <w:pPr>
        <w:pStyle w:val="16"/>
        <w:kinsoku w:val="0"/>
        <w:overflowPunct w:val="0"/>
        <w:spacing w:before="154" w:line="360" w:lineRule="auto"/>
        <w:ind w:firstLine="641" w:firstLineChars="266"/>
        <w:jc w:val="center"/>
        <w:rPr>
          <w:rFonts w:cs="Times New Roman"/>
          <w:b/>
          <w:sz w:val="24"/>
        </w:rPr>
      </w:pPr>
      <w:r>
        <w:rPr>
          <w:rFonts w:cs="Times New Roman"/>
          <w:b/>
          <w:sz w:val="24"/>
        </w:rPr>
        <w:t>表6</w:t>
      </w:r>
      <w:r>
        <w:rPr>
          <w:rFonts w:hint="eastAsia" w:cs="Times New Roman"/>
          <w:b/>
          <w:sz w:val="24"/>
        </w:rPr>
        <w:t>-</w:t>
      </w:r>
      <w:r>
        <w:rPr>
          <w:rFonts w:cs="Times New Roman"/>
          <w:b/>
          <w:sz w:val="24"/>
        </w:rPr>
        <w:t>5工业、城市杂用、景观环境水与一级A标准比较（单位：mg/L）</w:t>
      </w:r>
    </w:p>
    <w:tbl>
      <w:tblPr>
        <w:tblStyle w:val="39"/>
        <w:tblW w:w="10060" w:type="dxa"/>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0" w:type="dxa"/>
          <w:bottom w:w="0" w:type="dxa"/>
          <w:right w:w="0" w:type="dxa"/>
        </w:tblCellMar>
      </w:tblPr>
      <w:tblGrid>
        <w:gridCol w:w="1067"/>
        <w:gridCol w:w="539"/>
        <w:gridCol w:w="539"/>
        <w:gridCol w:w="539"/>
        <w:gridCol w:w="541"/>
        <w:gridCol w:w="539"/>
        <w:gridCol w:w="539"/>
        <w:gridCol w:w="1338"/>
        <w:gridCol w:w="672"/>
        <w:gridCol w:w="672"/>
        <w:gridCol w:w="672"/>
        <w:gridCol w:w="805"/>
        <w:gridCol w:w="803"/>
        <w:gridCol w:w="795"/>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705" w:hRule="atLeast"/>
          <w:jc w:val="center"/>
        </w:trPr>
        <w:tc>
          <w:tcPr>
            <w:tcW w:w="1067" w:type="dxa"/>
            <w:vMerge w:val="restart"/>
            <w:vAlign w:val="center"/>
          </w:tcPr>
          <w:p>
            <w:pPr>
              <w:pStyle w:val="72"/>
              <w:rPr>
                <w:lang w:eastAsia="en-US"/>
              </w:rPr>
            </w:pPr>
            <w:r>
              <w:rPr>
                <w:lang w:eastAsia="en-US"/>
              </w:rPr>
              <w:t>项目</w:t>
            </w:r>
          </w:p>
        </w:tc>
        <w:tc>
          <w:tcPr>
            <w:tcW w:w="2158" w:type="dxa"/>
            <w:gridSpan w:val="4"/>
            <w:vAlign w:val="center"/>
          </w:tcPr>
          <w:p>
            <w:pPr>
              <w:pStyle w:val="72"/>
              <w:rPr>
                <w:lang w:eastAsia="en-US"/>
              </w:rPr>
            </w:pPr>
            <w:r>
              <w:rPr>
                <w:lang w:eastAsia="en-US"/>
              </w:rPr>
              <w:t>工业用水</w:t>
            </w:r>
          </w:p>
        </w:tc>
        <w:tc>
          <w:tcPr>
            <w:tcW w:w="1078" w:type="dxa"/>
            <w:gridSpan w:val="2"/>
            <w:vAlign w:val="center"/>
          </w:tcPr>
          <w:p>
            <w:pPr>
              <w:pStyle w:val="72"/>
              <w:rPr>
                <w:lang w:eastAsia="en-US"/>
              </w:rPr>
            </w:pPr>
            <w:r>
              <w:rPr>
                <w:lang w:eastAsia="en-US"/>
              </w:rPr>
              <w:t>城市杂用</w:t>
            </w:r>
          </w:p>
        </w:tc>
        <w:tc>
          <w:tcPr>
            <w:tcW w:w="1338" w:type="dxa"/>
            <w:vAlign w:val="center"/>
          </w:tcPr>
          <w:p>
            <w:pPr>
              <w:pStyle w:val="72"/>
              <w:rPr>
                <w:lang w:eastAsia="en-US"/>
              </w:rPr>
            </w:pPr>
            <w:r>
              <w:rPr>
                <w:lang w:eastAsia="en-US"/>
              </w:rPr>
              <w:t>景观环境水</w:t>
            </w:r>
          </w:p>
        </w:tc>
        <w:tc>
          <w:tcPr>
            <w:tcW w:w="2016" w:type="dxa"/>
            <w:gridSpan w:val="3"/>
            <w:vAlign w:val="center"/>
          </w:tcPr>
          <w:p>
            <w:pPr>
              <w:pStyle w:val="72"/>
              <w:rPr>
                <w:lang w:eastAsia="en-US"/>
              </w:rPr>
            </w:pPr>
            <w:r>
              <w:rPr>
                <w:lang w:eastAsia="en-US"/>
              </w:rPr>
              <w:t>农田灌溉</w:t>
            </w:r>
          </w:p>
        </w:tc>
        <w:tc>
          <w:tcPr>
            <w:tcW w:w="805" w:type="dxa"/>
            <w:vMerge w:val="restart"/>
            <w:vAlign w:val="center"/>
          </w:tcPr>
          <w:p>
            <w:pPr>
              <w:pStyle w:val="72"/>
              <w:rPr>
                <w:rFonts w:eastAsia="Times New Roman"/>
                <w:lang w:eastAsia="en-US"/>
              </w:rPr>
            </w:pPr>
            <w:r>
              <w:rPr>
                <w:spacing w:val="-18"/>
                <w:lang w:eastAsia="en-US"/>
              </w:rPr>
              <w:t>一级</w:t>
            </w:r>
            <w:r>
              <w:rPr>
                <w:rFonts w:eastAsia="Times New Roman"/>
                <w:lang w:eastAsia="en-US"/>
              </w:rPr>
              <w:t>A</w:t>
            </w:r>
          </w:p>
          <w:p>
            <w:pPr>
              <w:pStyle w:val="72"/>
              <w:rPr>
                <w:lang w:eastAsia="en-US"/>
              </w:rPr>
            </w:pPr>
            <w:r>
              <w:rPr>
                <w:lang w:eastAsia="en-US"/>
              </w:rPr>
              <w:t>标准</w:t>
            </w:r>
          </w:p>
        </w:tc>
        <w:tc>
          <w:tcPr>
            <w:tcW w:w="1598" w:type="dxa"/>
            <w:gridSpan w:val="2"/>
            <w:vAlign w:val="center"/>
          </w:tcPr>
          <w:p>
            <w:pPr>
              <w:pStyle w:val="72"/>
              <w:rPr>
                <w:lang w:eastAsia="en-US"/>
              </w:rPr>
            </w:pPr>
            <w:r>
              <w:rPr>
                <w:lang w:eastAsia="en-US"/>
              </w:rPr>
              <w:t>本次规划确定</w:t>
            </w:r>
          </w:p>
          <w:p>
            <w:pPr>
              <w:pStyle w:val="72"/>
              <w:rPr>
                <w:lang w:eastAsia="en-US"/>
              </w:rPr>
            </w:pPr>
            <w:r>
              <w:rPr>
                <w:lang w:eastAsia="en-US"/>
              </w:rPr>
              <w:t>标准</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67" w:type="dxa"/>
            <w:vMerge w:val="continue"/>
            <w:vAlign w:val="center"/>
          </w:tcPr>
          <w:p>
            <w:pPr>
              <w:pStyle w:val="72"/>
              <w:rPr>
                <w:sz w:val="2"/>
                <w:szCs w:val="2"/>
                <w:lang w:eastAsia="en-US"/>
              </w:rPr>
            </w:pPr>
          </w:p>
        </w:tc>
        <w:tc>
          <w:tcPr>
            <w:tcW w:w="1078" w:type="dxa"/>
            <w:gridSpan w:val="2"/>
            <w:vAlign w:val="center"/>
          </w:tcPr>
          <w:p>
            <w:pPr>
              <w:pStyle w:val="72"/>
              <w:rPr>
                <w:lang w:eastAsia="en-US"/>
              </w:rPr>
            </w:pPr>
            <w:r>
              <w:rPr>
                <w:lang w:eastAsia="en-US"/>
              </w:rPr>
              <w:t>冷却水</w:t>
            </w:r>
          </w:p>
        </w:tc>
        <w:tc>
          <w:tcPr>
            <w:tcW w:w="539" w:type="dxa"/>
            <w:vMerge w:val="restart"/>
            <w:vAlign w:val="center"/>
          </w:tcPr>
          <w:p>
            <w:pPr>
              <w:pStyle w:val="72"/>
              <w:rPr>
                <w:sz w:val="14"/>
                <w:lang w:eastAsia="en-US"/>
              </w:rPr>
            </w:pPr>
          </w:p>
          <w:p>
            <w:pPr>
              <w:pStyle w:val="72"/>
              <w:rPr>
                <w:lang w:eastAsia="en-US"/>
              </w:rPr>
            </w:pPr>
            <w:r>
              <w:rPr>
                <w:lang w:eastAsia="en-US"/>
              </w:rPr>
              <w:t>洗涤</w:t>
            </w:r>
          </w:p>
        </w:tc>
        <w:tc>
          <w:tcPr>
            <w:tcW w:w="541" w:type="dxa"/>
            <w:vMerge w:val="restart"/>
            <w:vAlign w:val="center"/>
          </w:tcPr>
          <w:p>
            <w:pPr>
              <w:pStyle w:val="72"/>
              <w:rPr>
                <w:lang w:eastAsia="en-US"/>
              </w:rPr>
            </w:pPr>
            <w:r>
              <w:rPr>
                <w:lang w:eastAsia="en-US"/>
              </w:rPr>
              <w:t>锅炉</w:t>
            </w:r>
          </w:p>
          <w:p>
            <w:pPr>
              <w:pStyle w:val="72"/>
              <w:rPr>
                <w:lang w:eastAsia="en-US"/>
              </w:rPr>
            </w:pPr>
            <w:r>
              <w:rPr>
                <w:lang w:eastAsia="en-US"/>
              </w:rPr>
              <w:t>补充</w:t>
            </w:r>
          </w:p>
        </w:tc>
        <w:tc>
          <w:tcPr>
            <w:tcW w:w="539" w:type="dxa"/>
            <w:vMerge w:val="restart"/>
            <w:vAlign w:val="center"/>
          </w:tcPr>
          <w:p>
            <w:pPr>
              <w:pStyle w:val="72"/>
              <w:rPr>
                <w:lang w:eastAsia="en-US"/>
              </w:rPr>
            </w:pPr>
            <w:r>
              <w:rPr>
                <w:lang w:eastAsia="en-US"/>
              </w:rPr>
              <w:t>城市</w:t>
            </w:r>
          </w:p>
          <w:p>
            <w:pPr>
              <w:pStyle w:val="72"/>
              <w:rPr>
                <w:lang w:eastAsia="en-US"/>
              </w:rPr>
            </w:pPr>
            <w:r>
              <w:rPr>
                <w:lang w:eastAsia="en-US"/>
              </w:rPr>
              <w:t>绿化</w:t>
            </w:r>
          </w:p>
        </w:tc>
        <w:tc>
          <w:tcPr>
            <w:tcW w:w="539" w:type="dxa"/>
            <w:vMerge w:val="restart"/>
            <w:vAlign w:val="center"/>
          </w:tcPr>
          <w:p>
            <w:pPr>
              <w:pStyle w:val="72"/>
              <w:rPr>
                <w:lang w:eastAsia="en-US"/>
              </w:rPr>
            </w:pPr>
            <w:r>
              <w:rPr>
                <w:lang w:eastAsia="en-US"/>
              </w:rPr>
              <w:t>道路</w:t>
            </w:r>
          </w:p>
          <w:p>
            <w:pPr>
              <w:pStyle w:val="72"/>
              <w:rPr>
                <w:lang w:eastAsia="en-US"/>
              </w:rPr>
            </w:pPr>
            <w:r>
              <w:rPr>
                <w:lang w:eastAsia="en-US"/>
              </w:rPr>
              <w:t>冲洗</w:t>
            </w:r>
          </w:p>
        </w:tc>
        <w:tc>
          <w:tcPr>
            <w:tcW w:w="1338" w:type="dxa"/>
            <w:vMerge w:val="restart"/>
            <w:vAlign w:val="center"/>
          </w:tcPr>
          <w:p>
            <w:pPr>
              <w:pStyle w:val="72"/>
              <w:rPr>
                <w:lang w:eastAsia="en-US"/>
              </w:rPr>
            </w:pPr>
            <w:r>
              <w:rPr>
                <w:lang w:eastAsia="en-US"/>
              </w:rPr>
              <w:t>河道补</w:t>
            </w:r>
          </w:p>
          <w:p>
            <w:pPr>
              <w:pStyle w:val="72"/>
              <w:rPr>
                <w:lang w:eastAsia="en-US"/>
              </w:rPr>
            </w:pPr>
            <w:r>
              <w:rPr>
                <w:lang w:eastAsia="en-US"/>
              </w:rPr>
              <w:t>充水</w:t>
            </w:r>
          </w:p>
        </w:tc>
        <w:tc>
          <w:tcPr>
            <w:tcW w:w="672" w:type="dxa"/>
            <w:vMerge w:val="restart"/>
            <w:vAlign w:val="center"/>
          </w:tcPr>
          <w:p>
            <w:pPr>
              <w:pStyle w:val="72"/>
              <w:rPr>
                <w:lang w:eastAsia="en-US"/>
              </w:rPr>
            </w:pPr>
            <w:r>
              <w:rPr>
                <w:lang w:eastAsia="en-US"/>
              </w:rPr>
              <w:t>纤维</w:t>
            </w:r>
          </w:p>
          <w:p>
            <w:pPr>
              <w:pStyle w:val="72"/>
              <w:rPr>
                <w:lang w:eastAsia="en-US"/>
              </w:rPr>
            </w:pPr>
            <w:r>
              <w:rPr>
                <w:lang w:eastAsia="en-US"/>
              </w:rPr>
              <w:t>作物</w:t>
            </w:r>
          </w:p>
        </w:tc>
        <w:tc>
          <w:tcPr>
            <w:tcW w:w="672" w:type="dxa"/>
            <w:vMerge w:val="restart"/>
            <w:vAlign w:val="center"/>
          </w:tcPr>
          <w:p>
            <w:pPr>
              <w:pStyle w:val="72"/>
              <w:rPr>
                <w:lang w:eastAsia="en-US"/>
              </w:rPr>
            </w:pPr>
            <w:r>
              <w:rPr>
                <w:lang w:eastAsia="en-US"/>
              </w:rPr>
              <w:t>旱地</w:t>
            </w:r>
          </w:p>
          <w:p>
            <w:pPr>
              <w:pStyle w:val="72"/>
              <w:rPr>
                <w:lang w:eastAsia="en-US"/>
              </w:rPr>
            </w:pPr>
            <w:r>
              <w:rPr>
                <w:lang w:eastAsia="en-US"/>
              </w:rPr>
              <w:t>谷物</w:t>
            </w:r>
          </w:p>
        </w:tc>
        <w:tc>
          <w:tcPr>
            <w:tcW w:w="672" w:type="dxa"/>
            <w:vMerge w:val="restart"/>
            <w:vAlign w:val="center"/>
          </w:tcPr>
          <w:p>
            <w:pPr>
              <w:pStyle w:val="72"/>
              <w:rPr>
                <w:lang w:eastAsia="en-US"/>
              </w:rPr>
            </w:pPr>
            <w:r>
              <w:rPr>
                <w:lang w:eastAsia="en-US"/>
              </w:rPr>
              <w:t>水田</w:t>
            </w:r>
          </w:p>
          <w:p>
            <w:pPr>
              <w:pStyle w:val="72"/>
              <w:rPr>
                <w:lang w:eastAsia="en-US"/>
              </w:rPr>
            </w:pPr>
            <w:r>
              <w:rPr>
                <w:lang w:eastAsia="en-US"/>
              </w:rPr>
              <w:t>谷物</w:t>
            </w:r>
          </w:p>
        </w:tc>
        <w:tc>
          <w:tcPr>
            <w:tcW w:w="805" w:type="dxa"/>
            <w:vMerge w:val="continue"/>
            <w:vAlign w:val="center"/>
          </w:tcPr>
          <w:p>
            <w:pPr>
              <w:pStyle w:val="72"/>
              <w:rPr>
                <w:sz w:val="2"/>
                <w:szCs w:val="2"/>
                <w:lang w:eastAsia="en-US"/>
              </w:rPr>
            </w:pPr>
          </w:p>
        </w:tc>
        <w:tc>
          <w:tcPr>
            <w:tcW w:w="803" w:type="dxa"/>
            <w:vMerge w:val="restart"/>
            <w:vAlign w:val="center"/>
          </w:tcPr>
          <w:p>
            <w:pPr>
              <w:pStyle w:val="72"/>
              <w:rPr>
                <w:lang w:eastAsia="en-US"/>
              </w:rPr>
            </w:pPr>
            <w:r>
              <w:rPr>
                <w:lang w:eastAsia="en-US"/>
              </w:rPr>
              <w:t>城市</w:t>
            </w:r>
          </w:p>
          <w:p>
            <w:pPr>
              <w:pStyle w:val="72"/>
              <w:rPr>
                <w:lang w:eastAsia="en-US"/>
              </w:rPr>
            </w:pPr>
            <w:r>
              <w:rPr>
                <w:lang w:eastAsia="en-US"/>
              </w:rPr>
              <w:t>杂用</w:t>
            </w:r>
          </w:p>
        </w:tc>
        <w:tc>
          <w:tcPr>
            <w:tcW w:w="795" w:type="dxa"/>
            <w:vMerge w:val="restart"/>
            <w:vAlign w:val="center"/>
          </w:tcPr>
          <w:p>
            <w:pPr>
              <w:pStyle w:val="72"/>
              <w:rPr>
                <w:sz w:val="14"/>
                <w:lang w:eastAsia="en-US"/>
              </w:rPr>
            </w:pPr>
          </w:p>
          <w:p>
            <w:pPr>
              <w:pStyle w:val="72"/>
              <w:rPr>
                <w:lang w:eastAsia="en-US"/>
              </w:rPr>
            </w:pPr>
            <w:r>
              <w:rPr>
                <w:lang w:eastAsia="en-US"/>
              </w:rPr>
              <w:t>其他</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67" w:type="dxa"/>
            <w:vMerge w:val="continue"/>
            <w:vAlign w:val="center"/>
          </w:tcPr>
          <w:p>
            <w:pPr>
              <w:pStyle w:val="72"/>
              <w:rPr>
                <w:sz w:val="2"/>
                <w:szCs w:val="2"/>
                <w:lang w:eastAsia="en-US"/>
              </w:rPr>
            </w:pPr>
          </w:p>
        </w:tc>
        <w:tc>
          <w:tcPr>
            <w:tcW w:w="539" w:type="dxa"/>
            <w:vAlign w:val="center"/>
          </w:tcPr>
          <w:p>
            <w:pPr>
              <w:pStyle w:val="72"/>
              <w:rPr>
                <w:lang w:eastAsia="en-US"/>
              </w:rPr>
            </w:pPr>
            <w:r>
              <w:rPr>
                <w:lang w:eastAsia="en-US"/>
              </w:rPr>
              <w:t>直流</w:t>
            </w:r>
          </w:p>
        </w:tc>
        <w:tc>
          <w:tcPr>
            <w:tcW w:w="539" w:type="dxa"/>
            <w:vAlign w:val="center"/>
          </w:tcPr>
          <w:p>
            <w:pPr>
              <w:pStyle w:val="72"/>
              <w:rPr>
                <w:lang w:eastAsia="en-US"/>
              </w:rPr>
            </w:pPr>
            <w:r>
              <w:rPr>
                <w:lang w:eastAsia="en-US"/>
              </w:rPr>
              <w:t>循环</w:t>
            </w:r>
          </w:p>
        </w:tc>
        <w:tc>
          <w:tcPr>
            <w:tcW w:w="539" w:type="dxa"/>
            <w:vMerge w:val="continue"/>
            <w:vAlign w:val="center"/>
          </w:tcPr>
          <w:p>
            <w:pPr>
              <w:pStyle w:val="72"/>
              <w:rPr>
                <w:sz w:val="2"/>
                <w:szCs w:val="2"/>
                <w:lang w:eastAsia="en-US"/>
              </w:rPr>
            </w:pPr>
          </w:p>
        </w:tc>
        <w:tc>
          <w:tcPr>
            <w:tcW w:w="541" w:type="dxa"/>
            <w:vMerge w:val="continue"/>
            <w:vAlign w:val="center"/>
          </w:tcPr>
          <w:p>
            <w:pPr>
              <w:pStyle w:val="72"/>
              <w:rPr>
                <w:sz w:val="2"/>
                <w:szCs w:val="2"/>
                <w:lang w:eastAsia="en-US"/>
              </w:rPr>
            </w:pPr>
          </w:p>
        </w:tc>
        <w:tc>
          <w:tcPr>
            <w:tcW w:w="539" w:type="dxa"/>
            <w:vMerge w:val="continue"/>
            <w:vAlign w:val="center"/>
          </w:tcPr>
          <w:p>
            <w:pPr>
              <w:pStyle w:val="72"/>
              <w:rPr>
                <w:sz w:val="2"/>
                <w:szCs w:val="2"/>
                <w:lang w:eastAsia="en-US"/>
              </w:rPr>
            </w:pPr>
          </w:p>
        </w:tc>
        <w:tc>
          <w:tcPr>
            <w:tcW w:w="539" w:type="dxa"/>
            <w:vMerge w:val="continue"/>
            <w:vAlign w:val="center"/>
          </w:tcPr>
          <w:p>
            <w:pPr>
              <w:pStyle w:val="72"/>
              <w:rPr>
                <w:sz w:val="2"/>
                <w:szCs w:val="2"/>
                <w:lang w:eastAsia="en-US"/>
              </w:rPr>
            </w:pPr>
          </w:p>
        </w:tc>
        <w:tc>
          <w:tcPr>
            <w:tcW w:w="1338" w:type="dxa"/>
            <w:vMerge w:val="continue"/>
            <w:vAlign w:val="center"/>
          </w:tcPr>
          <w:p>
            <w:pPr>
              <w:pStyle w:val="72"/>
              <w:rPr>
                <w:sz w:val="2"/>
                <w:szCs w:val="2"/>
                <w:lang w:eastAsia="en-US"/>
              </w:rPr>
            </w:pPr>
          </w:p>
        </w:tc>
        <w:tc>
          <w:tcPr>
            <w:tcW w:w="672" w:type="dxa"/>
            <w:vMerge w:val="continue"/>
            <w:vAlign w:val="center"/>
          </w:tcPr>
          <w:p>
            <w:pPr>
              <w:pStyle w:val="72"/>
              <w:rPr>
                <w:sz w:val="2"/>
                <w:szCs w:val="2"/>
                <w:lang w:eastAsia="en-US"/>
              </w:rPr>
            </w:pPr>
          </w:p>
        </w:tc>
        <w:tc>
          <w:tcPr>
            <w:tcW w:w="672" w:type="dxa"/>
            <w:vMerge w:val="continue"/>
            <w:vAlign w:val="center"/>
          </w:tcPr>
          <w:p>
            <w:pPr>
              <w:pStyle w:val="72"/>
              <w:rPr>
                <w:sz w:val="2"/>
                <w:szCs w:val="2"/>
                <w:lang w:eastAsia="en-US"/>
              </w:rPr>
            </w:pPr>
          </w:p>
        </w:tc>
        <w:tc>
          <w:tcPr>
            <w:tcW w:w="672" w:type="dxa"/>
            <w:vMerge w:val="continue"/>
            <w:vAlign w:val="center"/>
          </w:tcPr>
          <w:p>
            <w:pPr>
              <w:pStyle w:val="72"/>
              <w:rPr>
                <w:sz w:val="2"/>
                <w:szCs w:val="2"/>
                <w:lang w:eastAsia="en-US"/>
              </w:rPr>
            </w:pPr>
          </w:p>
        </w:tc>
        <w:tc>
          <w:tcPr>
            <w:tcW w:w="805" w:type="dxa"/>
            <w:vMerge w:val="continue"/>
            <w:vAlign w:val="center"/>
          </w:tcPr>
          <w:p>
            <w:pPr>
              <w:pStyle w:val="72"/>
              <w:rPr>
                <w:sz w:val="2"/>
                <w:szCs w:val="2"/>
                <w:lang w:eastAsia="en-US"/>
              </w:rPr>
            </w:pPr>
          </w:p>
        </w:tc>
        <w:tc>
          <w:tcPr>
            <w:tcW w:w="803" w:type="dxa"/>
            <w:vMerge w:val="continue"/>
            <w:vAlign w:val="center"/>
          </w:tcPr>
          <w:p>
            <w:pPr>
              <w:pStyle w:val="72"/>
              <w:rPr>
                <w:sz w:val="2"/>
                <w:szCs w:val="2"/>
                <w:lang w:eastAsia="en-US"/>
              </w:rPr>
            </w:pPr>
          </w:p>
        </w:tc>
        <w:tc>
          <w:tcPr>
            <w:tcW w:w="795" w:type="dxa"/>
            <w:vMerge w:val="continue"/>
            <w:vAlign w:val="center"/>
          </w:tcPr>
          <w:p>
            <w:pPr>
              <w:pStyle w:val="72"/>
              <w:rPr>
                <w:sz w:val="2"/>
                <w:szCs w:val="2"/>
                <w:lang w:eastAsia="en-US"/>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67" w:type="dxa"/>
            <w:vAlign w:val="center"/>
          </w:tcPr>
          <w:p>
            <w:pPr>
              <w:pStyle w:val="72"/>
              <w:rPr>
                <w:lang w:eastAsia="en-US"/>
              </w:rPr>
            </w:pPr>
            <w:r>
              <w:rPr>
                <w:lang w:eastAsia="en-US"/>
              </w:rPr>
              <w:t>色度</w:t>
            </w:r>
          </w:p>
        </w:tc>
        <w:tc>
          <w:tcPr>
            <w:tcW w:w="539" w:type="dxa"/>
            <w:vAlign w:val="center"/>
          </w:tcPr>
          <w:p>
            <w:pPr>
              <w:pStyle w:val="72"/>
              <w:rPr>
                <w:lang w:eastAsia="en-US"/>
              </w:rPr>
            </w:pPr>
            <w:r>
              <w:rPr>
                <w:lang w:eastAsia="en-US"/>
              </w:rPr>
              <w:t>30</w:t>
            </w:r>
          </w:p>
        </w:tc>
        <w:tc>
          <w:tcPr>
            <w:tcW w:w="539" w:type="dxa"/>
            <w:vAlign w:val="center"/>
          </w:tcPr>
          <w:p>
            <w:pPr>
              <w:pStyle w:val="72"/>
              <w:rPr>
                <w:lang w:eastAsia="en-US"/>
              </w:rPr>
            </w:pPr>
            <w:r>
              <w:rPr>
                <w:lang w:eastAsia="en-US"/>
              </w:rPr>
              <w:t>30</w:t>
            </w:r>
          </w:p>
        </w:tc>
        <w:tc>
          <w:tcPr>
            <w:tcW w:w="539" w:type="dxa"/>
            <w:vAlign w:val="center"/>
          </w:tcPr>
          <w:p>
            <w:pPr>
              <w:pStyle w:val="72"/>
              <w:rPr>
                <w:lang w:eastAsia="en-US"/>
              </w:rPr>
            </w:pPr>
            <w:r>
              <w:rPr>
                <w:lang w:eastAsia="en-US"/>
              </w:rPr>
              <w:t>30</w:t>
            </w:r>
          </w:p>
        </w:tc>
        <w:tc>
          <w:tcPr>
            <w:tcW w:w="541" w:type="dxa"/>
            <w:vAlign w:val="center"/>
          </w:tcPr>
          <w:p>
            <w:pPr>
              <w:pStyle w:val="72"/>
              <w:rPr>
                <w:lang w:eastAsia="en-US"/>
              </w:rPr>
            </w:pPr>
            <w:r>
              <w:rPr>
                <w:lang w:eastAsia="en-US"/>
              </w:rPr>
              <w:t>30</w:t>
            </w:r>
          </w:p>
        </w:tc>
        <w:tc>
          <w:tcPr>
            <w:tcW w:w="539" w:type="dxa"/>
            <w:vAlign w:val="center"/>
          </w:tcPr>
          <w:p>
            <w:pPr>
              <w:pStyle w:val="72"/>
              <w:rPr>
                <w:lang w:eastAsia="en-US"/>
              </w:rPr>
            </w:pPr>
            <w:r>
              <w:rPr>
                <w:lang w:eastAsia="en-US"/>
              </w:rPr>
              <w:t>30</w:t>
            </w:r>
          </w:p>
        </w:tc>
        <w:tc>
          <w:tcPr>
            <w:tcW w:w="539" w:type="dxa"/>
            <w:vAlign w:val="center"/>
          </w:tcPr>
          <w:p>
            <w:pPr>
              <w:pStyle w:val="72"/>
              <w:rPr>
                <w:lang w:eastAsia="en-US"/>
              </w:rPr>
            </w:pPr>
            <w:r>
              <w:rPr>
                <w:lang w:eastAsia="en-US"/>
              </w:rPr>
              <w:t>30</w:t>
            </w:r>
          </w:p>
        </w:tc>
        <w:tc>
          <w:tcPr>
            <w:tcW w:w="1338" w:type="dxa"/>
            <w:vAlign w:val="center"/>
          </w:tcPr>
          <w:p>
            <w:pPr>
              <w:pStyle w:val="72"/>
              <w:rPr>
                <w:lang w:eastAsia="en-US"/>
              </w:rPr>
            </w:pPr>
            <w:r>
              <w:rPr>
                <w:lang w:eastAsia="en-US"/>
              </w:rPr>
              <w:t>30</w:t>
            </w:r>
          </w:p>
        </w:tc>
        <w:tc>
          <w:tcPr>
            <w:tcW w:w="672" w:type="dxa"/>
            <w:vAlign w:val="center"/>
          </w:tcPr>
          <w:p>
            <w:pPr>
              <w:pStyle w:val="72"/>
              <w:rPr>
                <w:lang w:eastAsia="en-US"/>
              </w:rPr>
            </w:pPr>
            <w:r>
              <w:rPr>
                <w:lang w:eastAsia="en-US"/>
              </w:rPr>
              <w:t>--</w:t>
            </w:r>
          </w:p>
        </w:tc>
        <w:tc>
          <w:tcPr>
            <w:tcW w:w="672" w:type="dxa"/>
            <w:vAlign w:val="center"/>
          </w:tcPr>
          <w:p>
            <w:pPr>
              <w:pStyle w:val="72"/>
              <w:rPr>
                <w:lang w:eastAsia="en-US"/>
              </w:rPr>
            </w:pPr>
            <w:r>
              <w:rPr>
                <w:lang w:eastAsia="en-US"/>
              </w:rPr>
              <w:t>--</w:t>
            </w:r>
          </w:p>
        </w:tc>
        <w:tc>
          <w:tcPr>
            <w:tcW w:w="672" w:type="dxa"/>
            <w:vAlign w:val="center"/>
          </w:tcPr>
          <w:p>
            <w:pPr>
              <w:pStyle w:val="72"/>
              <w:rPr>
                <w:lang w:eastAsia="en-US"/>
              </w:rPr>
            </w:pPr>
            <w:r>
              <w:rPr>
                <w:lang w:eastAsia="en-US"/>
              </w:rPr>
              <w:t>--</w:t>
            </w:r>
          </w:p>
        </w:tc>
        <w:tc>
          <w:tcPr>
            <w:tcW w:w="805" w:type="dxa"/>
            <w:vAlign w:val="center"/>
          </w:tcPr>
          <w:p>
            <w:pPr>
              <w:pStyle w:val="72"/>
              <w:rPr>
                <w:lang w:eastAsia="en-US"/>
              </w:rPr>
            </w:pPr>
            <w:r>
              <w:rPr>
                <w:lang w:eastAsia="en-US"/>
              </w:rPr>
              <w:t>30</w:t>
            </w:r>
          </w:p>
        </w:tc>
        <w:tc>
          <w:tcPr>
            <w:tcW w:w="1598" w:type="dxa"/>
            <w:gridSpan w:val="2"/>
            <w:vAlign w:val="center"/>
          </w:tcPr>
          <w:p>
            <w:pPr>
              <w:pStyle w:val="72"/>
              <w:rPr>
                <w:lang w:eastAsia="en-US"/>
              </w:rPr>
            </w:pPr>
            <w:r>
              <w:rPr>
                <w:lang w:eastAsia="en-US"/>
              </w:rPr>
              <w:t>30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67" w:type="dxa"/>
            <w:vAlign w:val="center"/>
          </w:tcPr>
          <w:p>
            <w:pPr>
              <w:pStyle w:val="72"/>
              <w:rPr>
                <w:lang w:eastAsia="en-US"/>
              </w:rPr>
            </w:pPr>
            <w:r>
              <w:rPr>
                <w:lang w:eastAsia="en-US"/>
              </w:rPr>
              <w:t>COD</w:t>
            </w:r>
          </w:p>
        </w:tc>
        <w:tc>
          <w:tcPr>
            <w:tcW w:w="539"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60</w:t>
            </w:r>
          </w:p>
        </w:tc>
        <w:tc>
          <w:tcPr>
            <w:tcW w:w="539" w:type="dxa"/>
            <w:vAlign w:val="center"/>
          </w:tcPr>
          <w:p>
            <w:pPr>
              <w:pStyle w:val="72"/>
              <w:rPr>
                <w:lang w:eastAsia="en-US"/>
              </w:rPr>
            </w:pPr>
            <w:r>
              <w:rPr>
                <w:lang w:eastAsia="en-US"/>
              </w:rPr>
              <w:t>--</w:t>
            </w:r>
          </w:p>
        </w:tc>
        <w:tc>
          <w:tcPr>
            <w:tcW w:w="541" w:type="dxa"/>
            <w:vAlign w:val="center"/>
          </w:tcPr>
          <w:p>
            <w:pPr>
              <w:pStyle w:val="72"/>
              <w:rPr>
                <w:lang w:eastAsia="en-US"/>
              </w:rPr>
            </w:pPr>
            <w:r>
              <w:rPr>
                <w:lang w:eastAsia="en-US"/>
              </w:rPr>
              <w:t>60</w:t>
            </w:r>
          </w:p>
        </w:tc>
        <w:tc>
          <w:tcPr>
            <w:tcW w:w="539"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w:t>
            </w:r>
          </w:p>
        </w:tc>
        <w:tc>
          <w:tcPr>
            <w:tcW w:w="1338" w:type="dxa"/>
            <w:vAlign w:val="center"/>
          </w:tcPr>
          <w:p>
            <w:pPr>
              <w:pStyle w:val="72"/>
              <w:rPr>
                <w:lang w:eastAsia="en-US"/>
              </w:rPr>
            </w:pPr>
            <w:r>
              <w:rPr>
                <w:lang w:eastAsia="en-US"/>
              </w:rPr>
              <w:t>--</w:t>
            </w:r>
          </w:p>
        </w:tc>
        <w:tc>
          <w:tcPr>
            <w:tcW w:w="672" w:type="dxa"/>
            <w:vAlign w:val="center"/>
          </w:tcPr>
          <w:p>
            <w:pPr>
              <w:pStyle w:val="72"/>
              <w:rPr>
                <w:lang w:eastAsia="en-US"/>
              </w:rPr>
            </w:pPr>
            <w:r>
              <w:rPr>
                <w:lang w:eastAsia="en-US"/>
              </w:rPr>
              <w:t>200</w:t>
            </w:r>
          </w:p>
        </w:tc>
        <w:tc>
          <w:tcPr>
            <w:tcW w:w="672" w:type="dxa"/>
            <w:vAlign w:val="center"/>
          </w:tcPr>
          <w:p>
            <w:pPr>
              <w:pStyle w:val="72"/>
              <w:rPr>
                <w:lang w:eastAsia="en-US"/>
              </w:rPr>
            </w:pPr>
            <w:r>
              <w:rPr>
                <w:lang w:eastAsia="en-US"/>
              </w:rPr>
              <w:t>180</w:t>
            </w:r>
          </w:p>
        </w:tc>
        <w:tc>
          <w:tcPr>
            <w:tcW w:w="672" w:type="dxa"/>
            <w:vAlign w:val="center"/>
          </w:tcPr>
          <w:p>
            <w:pPr>
              <w:pStyle w:val="72"/>
              <w:rPr>
                <w:lang w:eastAsia="en-US"/>
              </w:rPr>
            </w:pPr>
            <w:r>
              <w:rPr>
                <w:lang w:eastAsia="en-US"/>
              </w:rPr>
              <w:t>150</w:t>
            </w:r>
          </w:p>
        </w:tc>
        <w:tc>
          <w:tcPr>
            <w:tcW w:w="805" w:type="dxa"/>
            <w:vAlign w:val="center"/>
          </w:tcPr>
          <w:p>
            <w:pPr>
              <w:pStyle w:val="72"/>
              <w:rPr>
                <w:lang w:eastAsia="en-US"/>
              </w:rPr>
            </w:pPr>
            <w:r>
              <w:rPr>
                <w:lang w:eastAsia="en-US"/>
              </w:rPr>
              <w:t>50</w:t>
            </w:r>
          </w:p>
        </w:tc>
        <w:tc>
          <w:tcPr>
            <w:tcW w:w="1598" w:type="dxa"/>
            <w:gridSpan w:val="2"/>
            <w:vAlign w:val="center"/>
          </w:tcPr>
          <w:p>
            <w:pPr>
              <w:pStyle w:val="72"/>
              <w:rPr>
                <w:lang w:eastAsia="en-US"/>
              </w:rPr>
            </w:pPr>
            <w:r>
              <w:rPr>
                <w:lang w:eastAsia="en-US"/>
              </w:rPr>
              <w:t>50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67" w:type="dxa"/>
            <w:vAlign w:val="center"/>
          </w:tcPr>
          <w:p>
            <w:pPr>
              <w:pStyle w:val="72"/>
              <w:rPr>
                <w:lang w:eastAsia="en-US"/>
              </w:rPr>
            </w:pPr>
            <w:r>
              <w:rPr>
                <w:lang w:eastAsia="en-US"/>
              </w:rPr>
              <w:t>BOD5</w:t>
            </w:r>
          </w:p>
        </w:tc>
        <w:tc>
          <w:tcPr>
            <w:tcW w:w="539" w:type="dxa"/>
            <w:vAlign w:val="center"/>
          </w:tcPr>
          <w:p>
            <w:pPr>
              <w:pStyle w:val="72"/>
              <w:rPr>
                <w:lang w:eastAsia="en-US"/>
              </w:rPr>
            </w:pPr>
            <w:r>
              <w:rPr>
                <w:lang w:eastAsia="en-US"/>
              </w:rPr>
              <w:t>30</w:t>
            </w:r>
          </w:p>
        </w:tc>
        <w:tc>
          <w:tcPr>
            <w:tcW w:w="539" w:type="dxa"/>
            <w:vAlign w:val="center"/>
          </w:tcPr>
          <w:p>
            <w:pPr>
              <w:pStyle w:val="72"/>
              <w:rPr>
                <w:lang w:eastAsia="en-US"/>
              </w:rPr>
            </w:pPr>
            <w:r>
              <w:rPr>
                <w:lang w:eastAsia="en-US"/>
              </w:rPr>
              <w:t>10</w:t>
            </w:r>
          </w:p>
        </w:tc>
        <w:tc>
          <w:tcPr>
            <w:tcW w:w="539" w:type="dxa"/>
            <w:vAlign w:val="center"/>
          </w:tcPr>
          <w:p>
            <w:pPr>
              <w:pStyle w:val="72"/>
              <w:rPr>
                <w:lang w:eastAsia="en-US"/>
              </w:rPr>
            </w:pPr>
            <w:r>
              <w:rPr>
                <w:lang w:eastAsia="en-US"/>
              </w:rPr>
              <w:t>30</w:t>
            </w:r>
          </w:p>
        </w:tc>
        <w:tc>
          <w:tcPr>
            <w:tcW w:w="541" w:type="dxa"/>
            <w:vAlign w:val="center"/>
          </w:tcPr>
          <w:p>
            <w:pPr>
              <w:pStyle w:val="72"/>
              <w:rPr>
                <w:lang w:eastAsia="en-US"/>
              </w:rPr>
            </w:pPr>
            <w:r>
              <w:rPr>
                <w:lang w:eastAsia="en-US"/>
              </w:rPr>
              <w:t>10</w:t>
            </w:r>
          </w:p>
        </w:tc>
        <w:tc>
          <w:tcPr>
            <w:tcW w:w="539" w:type="dxa"/>
            <w:vAlign w:val="center"/>
          </w:tcPr>
          <w:p>
            <w:pPr>
              <w:pStyle w:val="72"/>
              <w:rPr>
                <w:lang w:eastAsia="en-US"/>
              </w:rPr>
            </w:pPr>
            <w:r>
              <w:rPr>
                <w:lang w:eastAsia="en-US"/>
              </w:rPr>
              <w:t>20</w:t>
            </w:r>
          </w:p>
        </w:tc>
        <w:tc>
          <w:tcPr>
            <w:tcW w:w="539" w:type="dxa"/>
            <w:vAlign w:val="center"/>
          </w:tcPr>
          <w:p>
            <w:pPr>
              <w:pStyle w:val="72"/>
              <w:rPr>
                <w:lang w:eastAsia="en-US"/>
              </w:rPr>
            </w:pPr>
            <w:r>
              <w:rPr>
                <w:lang w:eastAsia="en-US"/>
              </w:rPr>
              <w:t>15</w:t>
            </w:r>
          </w:p>
        </w:tc>
        <w:tc>
          <w:tcPr>
            <w:tcW w:w="1338" w:type="dxa"/>
            <w:vAlign w:val="center"/>
          </w:tcPr>
          <w:p>
            <w:pPr>
              <w:pStyle w:val="72"/>
              <w:rPr>
                <w:lang w:eastAsia="en-US"/>
              </w:rPr>
            </w:pPr>
            <w:r>
              <w:rPr>
                <w:lang w:eastAsia="en-US"/>
              </w:rPr>
              <w:t>10</w:t>
            </w:r>
          </w:p>
        </w:tc>
        <w:tc>
          <w:tcPr>
            <w:tcW w:w="672" w:type="dxa"/>
            <w:vAlign w:val="center"/>
          </w:tcPr>
          <w:p>
            <w:pPr>
              <w:pStyle w:val="72"/>
              <w:rPr>
                <w:lang w:eastAsia="en-US"/>
              </w:rPr>
            </w:pPr>
            <w:r>
              <w:rPr>
                <w:lang w:eastAsia="en-US"/>
              </w:rPr>
              <w:t>100</w:t>
            </w:r>
          </w:p>
        </w:tc>
        <w:tc>
          <w:tcPr>
            <w:tcW w:w="672" w:type="dxa"/>
            <w:vAlign w:val="center"/>
          </w:tcPr>
          <w:p>
            <w:pPr>
              <w:pStyle w:val="72"/>
              <w:rPr>
                <w:lang w:eastAsia="en-US"/>
              </w:rPr>
            </w:pPr>
            <w:r>
              <w:rPr>
                <w:lang w:eastAsia="en-US"/>
              </w:rPr>
              <w:t>80</w:t>
            </w:r>
          </w:p>
        </w:tc>
        <w:tc>
          <w:tcPr>
            <w:tcW w:w="672" w:type="dxa"/>
            <w:vAlign w:val="center"/>
          </w:tcPr>
          <w:p>
            <w:pPr>
              <w:pStyle w:val="72"/>
              <w:rPr>
                <w:lang w:eastAsia="en-US"/>
              </w:rPr>
            </w:pPr>
            <w:r>
              <w:rPr>
                <w:lang w:eastAsia="en-US"/>
              </w:rPr>
              <w:t>60</w:t>
            </w:r>
          </w:p>
        </w:tc>
        <w:tc>
          <w:tcPr>
            <w:tcW w:w="805" w:type="dxa"/>
            <w:vAlign w:val="center"/>
          </w:tcPr>
          <w:p>
            <w:pPr>
              <w:pStyle w:val="72"/>
              <w:rPr>
                <w:lang w:eastAsia="en-US"/>
              </w:rPr>
            </w:pPr>
            <w:r>
              <w:rPr>
                <w:lang w:eastAsia="en-US"/>
              </w:rPr>
              <w:t>10</w:t>
            </w:r>
          </w:p>
        </w:tc>
        <w:tc>
          <w:tcPr>
            <w:tcW w:w="1598" w:type="dxa"/>
            <w:gridSpan w:val="2"/>
            <w:vAlign w:val="center"/>
          </w:tcPr>
          <w:p>
            <w:pPr>
              <w:pStyle w:val="72"/>
              <w:rPr>
                <w:lang w:eastAsia="en-US"/>
              </w:rPr>
            </w:pPr>
            <w:r>
              <w:rPr>
                <w:lang w:eastAsia="en-US"/>
              </w:rPr>
              <w:t>10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67" w:type="dxa"/>
            <w:vAlign w:val="center"/>
          </w:tcPr>
          <w:p>
            <w:pPr>
              <w:pStyle w:val="72"/>
              <w:rPr>
                <w:lang w:eastAsia="en-US"/>
              </w:rPr>
            </w:pPr>
            <w:r>
              <w:rPr>
                <w:lang w:eastAsia="en-US"/>
              </w:rPr>
              <w:t>SS</w:t>
            </w:r>
          </w:p>
        </w:tc>
        <w:tc>
          <w:tcPr>
            <w:tcW w:w="539" w:type="dxa"/>
            <w:vAlign w:val="center"/>
          </w:tcPr>
          <w:p>
            <w:pPr>
              <w:pStyle w:val="72"/>
              <w:rPr>
                <w:lang w:eastAsia="en-US"/>
              </w:rPr>
            </w:pPr>
            <w:r>
              <w:rPr>
                <w:lang w:eastAsia="en-US"/>
              </w:rPr>
              <w:t>30</w:t>
            </w:r>
          </w:p>
        </w:tc>
        <w:tc>
          <w:tcPr>
            <w:tcW w:w="539"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30</w:t>
            </w:r>
          </w:p>
        </w:tc>
        <w:tc>
          <w:tcPr>
            <w:tcW w:w="541"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w:t>
            </w:r>
          </w:p>
        </w:tc>
        <w:tc>
          <w:tcPr>
            <w:tcW w:w="1338" w:type="dxa"/>
            <w:vAlign w:val="center"/>
          </w:tcPr>
          <w:p>
            <w:pPr>
              <w:pStyle w:val="72"/>
              <w:rPr>
                <w:lang w:eastAsia="en-US"/>
              </w:rPr>
            </w:pPr>
            <w:r>
              <w:rPr>
                <w:lang w:eastAsia="en-US"/>
              </w:rPr>
              <w:t>20</w:t>
            </w:r>
          </w:p>
        </w:tc>
        <w:tc>
          <w:tcPr>
            <w:tcW w:w="672" w:type="dxa"/>
            <w:vAlign w:val="center"/>
          </w:tcPr>
          <w:p>
            <w:pPr>
              <w:pStyle w:val="72"/>
              <w:rPr>
                <w:lang w:eastAsia="en-US"/>
              </w:rPr>
            </w:pPr>
            <w:r>
              <w:rPr>
                <w:lang w:eastAsia="en-US"/>
              </w:rPr>
              <w:t>100</w:t>
            </w:r>
          </w:p>
        </w:tc>
        <w:tc>
          <w:tcPr>
            <w:tcW w:w="672" w:type="dxa"/>
            <w:vAlign w:val="center"/>
          </w:tcPr>
          <w:p>
            <w:pPr>
              <w:pStyle w:val="72"/>
              <w:rPr>
                <w:lang w:eastAsia="en-US"/>
              </w:rPr>
            </w:pPr>
            <w:r>
              <w:rPr>
                <w:lang w:eastAsia="en-US"/>
              </w:rPr>
              <w:t>90</w:t>
            </w:r>
          </w:p>
        </w:tc>
        <w:tc>
          <w:tcPr>
            <w:tcW w:w="672" w:type="dxa"/>
            <w:vAlign w:val="center"/>
          </w:tcPr>
          <w:p>
            <w:pPr>
              <w:pStyle w:val="72"/>
              <w:rPr>
                <w:lang w:eastAsia="en-US"/>
              </w:rPr>
            </w:pPr>
            <w:r>
              <w:rPr>
                <w:lang w:eastAsia="en-US"/>
              </w:rPr>
              <w:t>80</w:t>
            </w:r>
          </w:p>
        </w:tc>
        <w:tc>
          <w:tcPr>
            <w:tcW w:w="805" w:type="dxa"/>
            <w:vAlign w:val="center"/>
          </w:tcPr>
          <w:p>
            <w:pPr>
              <w:pStyle w:val="72"/>
              <w:rPr>
                <w:lang w:eastAsia="en-US"/>
              </w:rPr>
            </w:pPr>
            <w:r>
              <w:rPr>
                <w:lang w:eastAsia="en-US"/>
              </w:rPr>
              <w:t>10</w:t>
            </w:r>
          </w:p>
        </w:tc>
        <w:tc>
          <w:tcPr>
            <w:tcW w:w="1598" w:type="dxa"/>
            <w:gridSpan w:val="2"/>
            <w:vAlign w:val="center"/>
          </w:tcPr>
          <w:p>
            <w:pPr>
              <w:pStyle w:val="72"/>
              <w:rPr>
                <w:lang w:eastAsia="en-US"/>
              </w:rPr>
            </w:pPr>
            <w:r>
              <w:rPr>
                <w:lang w:eastAsia="en-US"/>
              </w:rPr>
              <w:t>10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67" w:type="dxa"/>
            <w:vAlign w:val="center"/>
          </w:tcPr>
          <w:p>
            <w:pPr>
              <w:pStyle w:val="72"/>
              <w:rPr>
                <w:lang w:eastAsia="en-US"/>
              </w:rPr>
            </w:pPr>
            <w:r>
              <w:rPr>
                <w:lang w:eastAsia="en-US"/>
              </w:rPr>
              <w:t>TN</w:t>
            </w:r>
          </w:p>
        </w:tc>
        <w:tc>
          <w:tcPr>
            <w:tcW w:w="539"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w:t>
            </w:r>
          </w:p>
        </w:tc>
        <w:tc>
          <w:tcPr>
            <w:tcW w:w="541"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w:t>
            </w:r>
          </w:p>
        </w:tc>
        <w:tc>
          <w:tcPr>
            <w:tcW w:w="1338" w:type="dxa"/>
            <w:vAlign w:val="center"/>
          </w:tcPr>
          <w:p>
            <w:pPr>
              <w:pStyle w:val="72"/>
              <w:rPr>
                <w:lang w:eastAsia="en-US"/>
              </w:rPr>
            </w:pPr>
            <w:r>
              <w:rPr>
                <w:lang w:eastAsia="en-US"/>
              </w:rPr>
              <w:t>15</w:t>
            </w:r>
          </w:p>
        </w:tc>
        <w:tc>
          <w:tcPr>
            <w:tcW w:w="672" w:type="dxa"/>
            <w:vAlign w:val="center"/>
          </w:tcPr>
          <w:p>
            <w:pPr>
              <w:pStyle w:val="72"/>
              <w:rPr>
                <w:lang w:eastAsia="en-US"/>
              </w:rPr>
            </w:pPr>
            <w:r>
              <w:rPr>
                <w:lang w:eastAsia="en-US"/>
              </w:rPr>
              <w:t>--</w:t>
            </w:r>
          </w:p>
        </w:tc>
        <w:tc>
          <w:tcPr>
            <w:tcW w:w="672" w:type="dxa"/>
            <w:vAlign w:val="center"/>
          </w:tcPr>
          <w:p>
            <w:pPr>
              <w:pStyle w:val="72"/>
              <w:rPr>
                <w:lang w:eastAsia="en-US"/>
              </w:rPr>
            </w:pPr>
            <w:r>
              <w:rPr>
                <w:lang w:eastAsia="en-US"/>
              </w:rPr>
              <w:t>--</w:t>
            </w:r>
          </w:p>
        </w:tc>
        <w:tc>
          <w:tcPr>
            <w:tcW w:w="672" w:type="dxa"/>
            <w:vAlign w:val="center"/>
          </w:tcPr>
          <w:p>
            <w:pPr>
              <w:pStyle w:val="72"/>
              <w:rPr>
                <w:lang w:eastAsia="en-US"/>
              </w:rPr>
            </w:pPr>
            <w:r>
              <w:rPr>
                <w:lang w:eastAsia="en-US"/>
              </w:rPr>
              <w:t>--</w:t>
            </w:r>
          </w:p>
        </w:tc>
        <w:tc>
          <w:tcPr>
            <w:tcW w:w="805" w:type="dxa"/>
            <w:vAlign w:val="center"/>
          </w:tcPr>
          <w:p>
            <w:pPr>
              <w:pStyle w:val="72"/>
              <w:rPr>
                <w:lang w:eastAsia="en-US"/>
              </w:rPr>
            </w:pPr>
            <w:r>
              <w:rPr>
                <w:lang w:eastAsia="en-US"/>
              </w:rPr>
              <w:t>15</w:t>
            </w:r>
          </w:p>
        </w:tc>
        <w:tc>
          <w:tcPr>
            <w:tcW w:w="1598" w:type="dxa"/>
            <w:gridSpan w:val="2"/>
            <w:vAlign w:val="center"/>
          </w:tcPr>
          <w:p>
            <w:pPr>
              <w:pStyle w:val="72"/>
              <w:rPr>
                <w:lang w:eastAsia="en-US"/>
              </w:rPr>
            </w:pPr>
            <w:r>
              <w:rPr>
                <w:lang w:eastAsia="en-US"/>
              </w:rPr>
              <w:t>15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67" w:type="dxa"/>
            <w:vAlign w:val="center"/>
          </w:tcPr>
          <w:p>
            <w:pPr>
              <w:pStyle w:val="72"/>
              <w:rPr>
                <w:lang w:eastAsia="en-US"/>
              </w:rPr>
            </w:pPr>
            <w:r>
              <w:rPr>
                <w:lang w:eastAsia="en-US"/>
              </w:rPr>
              <w:t>NH</w:t>
            </w:r>
            <w:r>
              <w:rPr>
                <w:position w:val="-2"/>
                <w:sz w:val="14"/>
                <w:lang w:eastAsia="en-US"/>
              </w:rPr>
              <w:t>3</w:t>
            </w:r>
            <w:r>
              <w:rPr>
                <w:lang w:eastAsia="en-US"/>
              </w:rPr>
              <w:t>-H</w:t>
            </w:r>
          </w:p>
        </w:tc>
        <w:tc>
          <w:tcPr>
            <w:tcW w:w="539"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10</w:t>
            </w:r>
          </w:p>
        </w:tc>
        <w:tc>
          <w:tcPr>
            <w:tcW w:w="539" w:type="dxa"/>
            <w:vAlign w:val="center"/>
          </w:tcPr>
          <w:p>
            <w:pPr>
              <w:pStyle w:val="72"/>
              <w:rPr>
                <w:lang w:eastAsia="en-US"/>
              </w:rPr>
            </w:pPr>
            <w:r>
              <w:rPr>
                <w:lang w:eastAsia="en-US"/>
              </w:rPr>
              <w:t>--</w:t>
            </w:r>
          </w:p>
        </w:tc>
        <w:tc>
          <w:tcPr>
            <w:tcW w:w="541" w:type="dxa"/>
            <w:vAlign w:val="center"/>
          </w:tcPr>
          <w:p>
            <w:pPr>
              <w:pStyle w:val="72"/>
              <w:rPr>
                <w:lang w:eastAsia="en-US"/>
              </w:rPr>
            </w:pPr>
            <w:r>
              <w:rPr>
                <w:lang w:eastAsia="en-US"/>
              </w:rPr>
              <w:t>10</w:t>
            </w:r>
          </w:p>
        </w:tc>
        <w:tc>
          <w:tcPr>
            <w:tcW w:w="539" w:type="dxa"/>
            <w:vAlign w:val="center"/>
          </w:tcPr>
          <w:p>
            <w:pPr>
              <w:pStyle w:val="72"/>
              <w:rPr>
                <w:lang w:eastAsia="en-US"/>
              </w:rPr>
            </w:pPr>
            <w:r>
              <w:rPr>
                <w:lang w:eastAsia="en-US"/>
              </w:rPr>
              <w:t>10</w:t>
            </w:r>
          </w:p>
        </w:tc>
        <w:tc>
          <w:tcPr>
            <w:tcW w:w="539" w:type="dxa"/>
            <w:vAlign w:val="center"/>
          </w:tcPr>
          <w:p>
            <w:pPr>
              <w:pStyle w:val="72"/>
              <w:rPr>
                <w:lang w:eastAsia="en-US"/>
              </w:rPr>
            </w:pPr>
            <w:r>
              <w:rPr>
                <w:lang w:eastAsia="en-US"/>
              </w:rPr>
              <w:t>20</w:t>
            </w:r>
          </w:p>
        </w:tc>
        <w:tc>
          <w:tcPr>
            <w:tcW w:w="1338" w:type="dxa"/>
            <w:vAlign w:val="center"/>
          </w:tcPr>
          <w:p>
            <w:pPr>
              <w:pStyle w:val="72"/>
              <w:rPr>
                <w:lang w:eastAsia="en-US"/>
              </w:rPr>
            </w:pPr>
            <w:r>
              <w:rPr>
                <w:lang w:eastAsia="en-US"/>
              </w:rPr>
              <w:t>5</w:t>
            </w:r>
          </w:p>
        </w:tc>
        <w:tc>
          <w:tcPr>
            <w:tcW w:w="672" w:type="dxa"/>
            <w:vAlign w:val="center"/>
          </w:tcPr>
          <w:p>
            <w:pPr>
              <w:pStyle w:val="72"/>
              <w:rPr>
                <w:lang w:eastAsia="en-US"/>
              </w:rPr>
            </w:pPr>
            <w:r>
              <w:rPr>
                <w:lang w:eastAsia="en-US"/>
              </w:rPr>
              <w:t>--</w:t>
            </w:r>
          </w:p>
        </w:tc>
        <w:tc>
          <w:tcPr>
            <w:tcW w:w="672" w:type="dxa"/>
            <w:vAlign w:val="center"/>
          </w:tcPr>
          <w:p>
            <w:pPr>
              <w:pStyle w:val="72"/>
              <w:rPr>
                <w:lang w:eastAsia="en-US"/>
              </w:rPr>
            </w:pPr>
            <w:r>
              <w:rPr>
                <w:lang w:eastAsia="en-US"/>
              </w:rPr>
              <w:t>--</w:t>
            </w:r>
          </w:p>
        </w:tc>
        <w:tc>
          <w:tcPr>
            <w:tcW w:w="672" w:type="dxa"/>
            <w:vAlign w:val="center"/>
          </w:tcPr>
          <w:p>
            <w:pPr>
              <w:pStyle w:val="72"/>
              <w:rPr>
                <w:lang w:eastAsia="en-US"/>
              </w:rPr>
            </w:pPr>
            <w:r>
              <w:rPr>
                <w:lang w:eastAsia="en-US"/>
              </w:rPr>
              <w:t>--</w:t>
            </w:r>
          </w:p>
        </w:tc>
        <w:tc>
          <w:tcPr>
            <w:tcW w:w="805" w:type="dxa"/>
            <w:vAlign w:val="center"/>
          </w:tcPr>
          <w:p>
            <w:pPr>
              <w:pStyle w:val="72"/>
              <w:rPr>
                <w:lang w:eastAsia="en-US"/>
              </w:rPr>
            </w:pPr>
            <w:r>
              <w:rPr>
                <w:rFonts w:eastAsia="Times New Roman"/>
                <w:lang w:eastAsia="en-US"/>
              </w:rPr>
              <w:t>5</w:t>
            </w:r>
            <w:r>
              <w:rPr>
                <w:lang w:eastAsia="en-US"/>
              </w:rPr>
              <w:t>（</w:t>
            </w:r>
            <w:r>
              <w:rPr>
                <w:rFonts w:eastAsia="Times New Roman"/>
                <w:lang w:eastAsia="en-US"/>
              </w:rPr>
              <w:t>8</w:t>
            </w:r>
            <w:r>
              <w:rPr>
                <w:lang w:eastAsia="en-US"/>
              </w:rPr>
              <w:t>）</w:t>
            </w:r>
          </w:p>
        </w:tc>
        <w:tc>
          <w:tcPr>
            <w:tcW w:w="1598" w:type="dxa"/>
            <w:gridSpan w:val="2"/>
            <w:vAlign w:val="center"/>
          </w:tcPr>
          <w:p>
            <w:pPr>
              <w:pStyle w:val="72"/>
              <w:rPr>
                <w:lang w:eastAsia="en-US"/>
              </w:rPr>
            </w:pPr>
            <w:r>
              <w:rPr>
                <w:rFonts w:eastAsia="Times New Roman"/>
                <w:lang w:eastAsia="en-US"/>
              </w:rPr>
              <w:t>5</w:t>
            </w:r>
            <w:r>
              <w:rPr>
                <w:lang w:eastAsia="en-US"/>
              </w:rPr>
              <w:t>（</w:t>
            </w:r>
            <w:r>
              <w:rPr>
                <w:rFonts w:eastAsia="Times New Roman"/>
                <w:lang w:eastAsia="en-US"/>
              </w:rPr>
              <w:t>8</w:t>
            </w:r>
            <w:r>
              <w:rPr>
                <w:lang w:eastAsia="en-US"/>
              </w:rPr>
              <w:t>）</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67" w:type="dxa"/>
            <w:vAlign w:val="center"/>
          </w:tcPr>
          <w:p>
            <w:pPr>
              <w:pStyle w:val="72"/>
              <w:rPr>
                <w:lang w:eastAsia="en-US"/>
              </w:rPr>
            </w:pPr>
            <w:r>
              <w:rPr>
                <w:lang w:eastAsia="en-US"/>
              </w:rPr>
              <w:t>TP</w:t>
            </w:r>
          </w:p>
        </w:tc>
        <w:tc>
          <w:tcPr>
            <w:tcW w:w="539"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1</w:t>
            </w:r>
          </w:p>
        </w:tc>
        <w:tc>
          <w:tcPr>
            <w:tcW w:w="539" w:type="dxa"/>
            <w:vAlign w:val="center"/>
          </w:tcPr>
          <w:p>
            <w:pPr>
              <w:pStyle w:val="72"/>
              <w:rPr>
                <w:lang w:eastAsia="en-US"/>
              </w:rPr>
            </w:pPr>
            <w:r>
              <w:rPr>
                <w:lang w:eastAsia="en-US"/>
              </w:rPr>
              <w:t>--</w:t>
            </w:r>
          </w:p>
        </w:tc>
        <w:tc>
          <w:tcPr>
            <w:tcW w:w="541" w:type="dxa"/>
            <w:vAlign w:val="center"/>
          </w:tcPr>
          <w:p>
            <w:pPr>
              <w:pStyle w:val="72"/>
              <w:rPr>
                <w:lang w:eastAsia="en-US"/>
              </w:rPr>
            </w:pPr>
            <w:r>
              <w:rPr>
                <w:lang w:eastAsia="en-US"/>
              </w:rPr>
              <w:t>1</w:t>
            </w:r>
          </w:p>
        </w:tc>
        <w:tc>
          <w:tcPr>
            <w:tcW w:w="539"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w:t>
            </w:r>
          </w:p>
        </w:tc>
        <w:tc>
          <w:tcPr>
            <w:tcW w:w="1338" w:type="dxa"/>
            <w:vAlign w:val="center"/>
          </w:tcPr>
          <w:p>
            <w:pPr>
              <w:pStyle w:val="72"/>
              <w:rPr>
                <w:lang w:eastAsia="en-US"/>
              </w:rPr>
            </w:pPr>
            <w:r>
              <w:rPr>
                <w:lang w:eastAsia="en-US"/>
              </w:rPr>
              <w:t>1.0</w:t>
            </w:r>
          </w:p>
        </w:tc>
        <w:tc>
          <w:tcPr>
            <w:tcW w:w="672" w:type="dxa"/>
            <w:vAlign w:val="center"/>
          </w:tcPr>
          <w:p>
            <w:pPr>
              <w:pStyle w:val="72"/>
              <w:rPr>
                <w:lang w:eastAsia="en-US"/>
              </w:rPr>
            </w:pPr>
            <w:r>
              <w:rPr>
                <w:lang w:eastAsia="en-US"/>
              </w:rPr>
              <w:t>--</w:t>
            </w:r>
          </w:p>
        </w:tc>
        <w:tc>
          <w:tcPr>
            <w:tcW w:w="672" w:type="dxa"/>
            <w:vAlign w:val="center"/>
          </w:tcPr>
          <w:p>
            <w:pPr>
              <w:pStyle w:val="72"/>
              <w:rPr>
                <w:lang w:eastAsia="en-US"/>
              </w:rPr>
            </w:pPr>
            <w:r>
              <w:rPr>
                <w:lang w:eastAsia="en-US"/>
              </w:rPr>
              <w:t>--</w:t>
            </w:r>
          </w:p>
        </w:tc>
        <w:tc>
          <w:tcPr>
            <w:tcW w:w="672" w:type="dxa"/>
            <w:vAlign w:val="center"/>
          </w:tcPr>
          <w:p>
            <w:pPr>
              <w:pStyle w:val="72"/>
              <w:rPr>
                <w:lang w:eastAsia="en-US"/>
              </w:rPr>
            </w:pPr>
            <w:r>
              <w:rPr>
                <w:lang w:eastAsia="en-US"/>
              </w:rPr>
              <w:t>--</w:t>
            </w:r>
          </w:p>
        </w:tc>
        <w:tc>
          <w:tcPr>
            <w:tcW w:w="805" w:type="dxa"/>
            <w:vAlign w:val="center"/>
          </w:tcPr>
          <w:p>
            <w:pPr>
              <w:pStyle w:val="72"/>
              <w:rPr>
                <w:lang w:eastAsia="en-US"/>
              </w:rPr>
            </w:pPr>
            <w:r>
              <w:rPr>
                <w:lang w:eastAsia="en-US"/>
              </w:rPr>
              <w:t>0.5</w:t>
            </w:r>
          </w:p>
        </w:tc>
        <w:tc>
          <w:tcPr>
            <w:tcW w:w="1598" w:type="dxa"/>
            <w:gridSpan w:val="2"/>
            <w:vAlign w:val="center"/>
          </w:tcPr>
          <w:p>
            <w:pPr>
              <w:pStyle w:val="72"/>
              <w:rPr>
                <w:lang w:eastAsia="en-US"/>
              </w:rPr>
            </w:pPr>
            <w:r>
              <w:rPr>
                <w:lang w:eastAsia="en-US"/>
              </w:rPr>
              <w:t>0.5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67" w:type="dxa"/>
            <w:vAlign w:val="center"/>
          </w:tcPr>
          <w:p>
            <w:pPr>
              <w:pStyle w:val="72"/>
              <w:rPr>
                <w:lang w:eastAsia="en-US"/>
              </w:rPr>
            </w:pPr>
            <w:r>
              <w:rPr>
                <w:lang w:eastAsia="en-US"/>
              </w:rPr>
              <w:t>石油类</w:t>
            </w:r>
          </w:p>
        </w:tc>
        <w:tc>
          <w:tcPr>
            <w:tcW w:w="539"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1</w:t>
            </w:r>
          </w:p>
        </w:tc>
        <w:tc>
          <w:tcPr>
            <w:tcW w:w="539" w:type="dxa"/>
            <w:vAlign w:val="center"/>
          </w:tcPr>
          <w:p>
            <w:pPr>
              <w:pStyle w:val="72"/>
              <w:rPr>
                <w:lang w:eastAsia="en-US"/>
              </w:rPr>
            </w:pPr>
            <w:r>
              <w:rPr>
                <w:lang w:eastAsia="en-US"/>
              </w:rPr>
              <w:t>--</w:t>
            </w:r>
          </w:p>
        </w:tc>
        <w:tc>
          <w:tcPr>
            <w:tcW w:w="541" w:type="dxa"/>
            <w:vAlign w:val="center"/>
          </w:tcPr>
          <w:p>
            <w:pPr>
              <w:pStyle w:val="72"/>
              <w:rPr>
                <w:lang w:eastAsia="en-US"/>
              </w:rPr>
            </w:pPr>
            <w:r>
              <w:rPr>
                <w:lang w:eastAsia="en-US"/>
              </w:rPr>
              <w:t>1</w:t>
            </w:r>
          </w:p>
        </w:tc>
        <w:tc>
          <w:tcPr>
            <w:tcW w:w="539"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w:t>
            </w:r>
          </w:p>
        </w:tc>
        <w:tc>
          <w:tcPr>
            <w:tcW w:w="1338" w:type="dxa"/>
            <w:vAlign w:val="center"/>
          </w:tcPr>
          <w:p>
            <w:pPr>
              <w:pStyle w:val="72"/>
              <w:rPr>
                <w:lang w:eastAsia="en-US"/>
              </w:rPr>
            </w:pPr>
            <w:r>
              <w:rPr>
                <w:lang w:eastAsia="en-US"/>
              </w:rPr>
              <w:t>1</w:t>
            </w:r>
          </w:p>
        </w:tc>
        <w:tc>
          <w:tcPr>
            <w:tcW w:w="672" w:type="dxa"/>
            <w:vAlign w:val="center"/>
          </w:tcPr>
          <w:p>
            <w:pPr>
              <w:pStyle w:val="72"/>
              <w:rPr>
                <w:lang w:eastAsia="en-US"/>
              </w:rPr>
            </w:pPr>
            <w:r>
              <w:rPr>
                <w:lang w:eastAsia="en-US"/>
              </w:rPr>
              <w:t>10</w:t>
            </w:r>
          </w:p>
        </w:tc>
        <w:tc>
          <w:tcPr>
            <w:tcW w:w="672" w:type="dxa"/>
            <w:vAlign w:val="center"/>
          </w:tcPr>
          <w:p>
            <w:pPr>
              <w:pStyle w:val="72"/>
              <w:rPr>
                <w:lang w:eastAsia="en-US"/>
              </w:rPr>
            </w:pPr>
            <w:r>
              <w:rPr>
                <w:lang w:eastAsia="en-US"/>
              </w:rPr>
              <w:t>10</w:t>
            </w:r>
          </w:p>
        </w:tc>
        <w:tc>
          <w:tcPr>
            <w:tcW w:w="672" w:type="dxa"/>
            <w:vAlign w:val="center"/>
          </w:tcPr>
          <w:p>
            <w:pPr>
              <w:pStyle w:val="72"/>
              <w:rPr>
                <w:lang w:eastAsia="en-US"/>
              </w:rPr>
            </w:pPr>
            <w:r>
              <w:rPr>
                <w:lang w:eastAsia="en-US"/>
              </w:rPr>
              <w:t>5</w:t>
            </w:r>
          </w:p>
        </w:tc>
        <w:tc>
          <w:tcPr>
            <w:tcW w:w="805" w:type="dxa"/>
            <w:vAlign w:val="center"/>
          </w:tcPr>
          <w:p>
            <w:pPr>
              <w:pStyle w:val="72"/>
              <w:rPr>
                <w:lang w:eastAsia="en-US"/>
              </w:rPr>
            </w:pPr>
            <w:r>
              <w:rPr>
                <w:lang w:eastAsia="en-US"/>
              </w:rPr>
              <w:t>1</w:t>
            </w:r>
          </w:p>
        </w:tc>
        <w:tc>
          <w:tcPr>
            <w:tcW w:w="1598" w:type="dxa"/>
            <w:gridSpan w:val="2"/>
            <w:vAlign w:val="center"/>
          </w:tcPr>
          <w:p>
            <w:pPr>
              <w:pStyle w:val="72"/>
              <w:rPr>
                <w:lang w:eastAsia="en-US"/>
              </w:rPr>
            </w:pPr>
            <w:r>
              <w:rPr>
                <w:lang w:eastAsia="en-US"/>
              </w:rPr>
              <w:t>1</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700" w:hRule="atLeast"/>
          <w:jc w:val="center"/>
        </w:trPr>
        <w:tc>
          <w:tcPr>
            <w:tcW w:w="1067" w:type="dxa"/>
            <w:vAlign w:val="center"/>
          </w:tcPr>
          <w:p>
            <w:pPr>
              <w:pStyle w:val="72"/>
              <w:rPr>
                <w:lang w:eastAsia="en-US"/>
              </w:rPr>
            </w:pPr>
            <w:r>
              <w:rPr>
                <w:lang w:eastAsia="en-US"/>
              </w:rPr>
              <w:t>阴离子表</w:t>
            </w:r>
          </w:p>
          <w:p>
            <w:pPr>
              <w:pStyle w:val="72"/>
              <w:rPr>
                <w:lang w:eastAsia="en-US"/>
              </w:rPr>
            </w:pPr>
            <w:r>
              <w:rPr>
                <w:lang w:eastAsia="en-US"/>
              </w:rPr>
              <w:t>面活性剂</w:t>
            </w:r>
          </w:p>
        </w:tc>
        <w:tc>
          <w:tcPr>
            <w:tcW w:w="539" w:type="dxa"/>
            <w:vAlign w:val="center"/>
          </w:tcPr>
          <w:p>
            <w:pPr>
              <w:pStyle w:val="72"/>
              <w:rPr>
                <w:sz w:val="18"/>
                <w:lang w:eastAsia="en-US"/>
              </w:rPr>
            </w:pPr>
          </w:p>
          <w:p>
            <w:pPr>
              <w:pStyle w:val="72"/>
              <w:rPr>
                <w:lang w:eastAsia="en-US"/>
              </w:rPr>
            </w:pPr>
            <w:r>
              <w:rPr>
                <w:lang w:eastAsia="en-US"/>
              </w:rPr>
              <w:t>--</w:t>
            </w:r>
          </w:p>
        </w:tc>
        <w:tc>
          <w:tcPr>
            <w:tcW w:w="539" w:type="dxa"/>
            <w:vAlign w:val="center"/>
          </w:tcPr>
          <w:p>
            <w:pPr>
              <w:pStyle w:val="72"/>
              <w:rPr>
                <w:sz w:val="18"/>
                <w:lang w:eastAsia="en-US"/>
              </w:rPr>
            </w:pPr>
          </w:p>
          <w:p>
            <w:pPr>
              <w:pStyle w:val="72"/>
              <w:rPr>
                <w:lang w:eastAsia="en-US"/>
              </w:rPr>
            </w:pPr>
            <w:r>
              <w:rPr>
                <w:lang w:eastAsia="en-US"/>
              </w:rPr>
              <w:t>0.5</w:t>
            </w:r>
          </w:p>
        </w:tc>
        <w:tc>
          <w:tcPr>
            <w:tcW w:w="539" w:type="dxa"/>
            <w:vAlign w:val="center"/>
          </w:tcPr>
          <w:p>
            <w:pPr>
              <w:pStyle w:val="72"/>
              <w:rPr>
                <w:sz w:val="18"/>
                <w:lang w:eastAsia="en-US"/>
              </w:rPr>
            </w:pPr>
          </w:p>
          <w:p>
            <w:pPr>
              <w:pStyle w:val="72"/>
              <w:rPr>
                <w:lang w:eastAsia="en-US"/>
              </w:rPr>
            </w:pPr>
            <w:r>
              <w:rPr>
                <w:lang w:eastAsia="en-US"/>
              </w:rPr>
              <w:t>--</w:t>
            </w:r>
          </w:p>
        </w:tc>
        <w:tc>
          <w:tcPr>
            <w:tcW w:w="541" w:type="dxa"/>
            <w:vAlign w:val="center"/>
          </w:tcPr>
          <w:p>
            <w:pPr>
              <w:pStyle w:val="72"/>
              <w:rPr>
                <w:sz w:val="18"/>
                <w:lang w:eastAsia="en-US"/>
              </w:rPr>
            </w:pPr>
          </w:p>
          <w:p>
            <w:pPr>
              <w:pStyle w:val="72"/>
              <w:rPr>
                <w:lang w:eastAsia="en-US"/>
              </w:rPr>
            </w:pPr>
            <w:r>
              <w:rPr>
                <w:lang w:eastAsia="en-US"/>
              </w:rPr>
              <w:t>0.5</w:t>
            </w:r>
          </w:p>
        </w:tc>
        <w:tc>
          <w:tcPr>
            <w:tcW w:w="539" w:type="dxa"/>
            <w:vAlign w:val="center"/>
          </w:tcPr>
          <w:p>
            <w:pPr>
              <w:pStyle w:val="72"/>
              <w:rPr>
                <w:sz w:val="18"/>
                <w:lang w:eastAsia="en-US"/>
              </w:rPr>
            </w:pPr>
          </w:p>
          <w:p>
            <w:pPr>
              <w:pStyle w:val="72"/>
              <w:rPr>
                <w:lang w:eastAsia="en-US"/>
              </w:rPr>
            </w:pPr>
            <w:r>
              <w:rPr>
                <w:lang w:eastAsia="en-US"/>
              </w:rPr>
              <w:t>1</w:t>
            </w:r>
          </w:p>
        </w:tc>
        <w:tc>
          <w:tcPr>
            <w:tcW w:w="539" w:type="dxa"/>
            <w:vAlign w:val="center"/>
          </w:tcPr>
          <w:p>
            <w:pPr>
              <w:pStyle w:val="72"/>
              <w:rPr>
                <w:sz w:val="18"/>
                <w:lang w:eastAsia="en-US"/>
              </w:rPr>
            </w:pPr>
          </w:p>
          <w:p>
            <w:pPr>
              <w:pStyle w:val="72"/>
              <w:rPr>
                <w:lang w:eastAsia="en-US"/>
              </w:rPr>
            </w:pPr>
            <w:r>
              <w:rPr>
                <w:lang w:eastAsia="en-US"/>
              </w:rPr>
              <w:t>1</w:t>
            </w:r>
          </w:p>
        </w:tc>
        <w:tc>
          <w:tcPr>
            <w:tcW w:w="1338" w:type="dxa"/>
            <w:vAlign w:val="center"/>
          </w:tcPr>
          <w:p>
            <w:pPr>
              <w:pStyle w:val="72"/>
              <w:rPr>
                <w:sz w:val="18"/>
                <w:lang w:eastAsia="en-US"/>
              </w:rPr>
            </w:pPr>
          </w:p>
          <w:p>
            <w:pPr>
              <w:pStyle w:val="72"/>
              <w:rPr>
                <w:lang w:eastAsia="en-US"/>
              </w:rPr>
            </w:pPr>
            <w:r>
              <w:rPr>
                <w:lang w:eastAsia="en-US"/>
              </w:rPr>
              <w:t>0.5</w:t>
            </w:r>
          </w:p>
        </w:tc>
        <w:tc>
          <w:tcPr>
            <w:tcW w:w="672" w:type="dxa"/>
            <w:vAlign w:val="center"/>
          </w:tcPr>
          <w:p>
            <w:pPr>
              <w:pStyle w:val="72"/>
              <w:rPr>
                <w:sz w:val="18"/>
                <w:lang w:eastAsia="en-US"/>
              </w:rPr>
            </w:pPr>
          </w:p>
          <w:p>
            <w:pPr>
              <w:pStyle w:val="72"/>
              <w:rPr>
                <w:lang w:eastAsia="en-US"/>
              </w:rPr>
            </w:pPr>
            <w:r>
              <w:rPr>
                <w:lang w:eastAsia="en-US"/>
              </w:rPr>
              <w:t>8</w:t>
            </w:r>
          </w:p>
        </w:tc>
        <w:tc>
          <w:tcPr>
            <w:tcW w:w="672" w:type="dxa"/>
            <w:vAlign w:val="center"/>
          </w:tcPr>
          <w:p>
            <w:pPr>
              <w:pStyle w:val="72"/>
              <w:rPr>
                <w:sz w:val="18"/>
                <w:lang w:eastAsia="en-US"/>
              </w:rPr>
            </w:pPr>
          </w:p>
          <w:p>
            <w:pPr>
              <w:pStyle w:val="72"/>
              <w:rPr>
                <w:lang w:eastAsia="en-US"/>
              </w:rPr>
            </w:pPr>
            <w:r>
              <w:rPr>
                <w:lang w:eastAsia="en-US"/>
              </w:rPr>
              <w:t>8</w:t>
            </w:r>
          </w:p>
        </w:tc>
        <w:tc>
          <w:tcPr>
            <w:tcW w:w="672" w:type="dxa"/>
            <w:vAlign w:val="center"/>
          </w:tcPr>
          <w:p>
            <w:pPr>
              <w:pStyle w:val="72"/>
              <w:rPr>
                <w:sz w:val="18"/>
                <w:lang w:eastAsia="en-US"/>
              </w:rPr>
            </w:pPr>
          </w:p>
          <w:p>
            <w:pPr>
              <w:pStyle w:val="72"/>
              <w:rPr>
                <w:lang w:eastAsia="en-US"/>
              </w:rPr>
            </w:pPr>
            <w:r>
              <w:rPr>
                <w:lang w:eastAsia="en-US"/>
              </w:rPr>
              <w:t>5</w:t>
            </w:r>
          </w:p>
        </w:tc>
        <w:tc>
          <w:tcPr>
            <w:tcW w:w="805" w:type="dxa"/>
            <w:vAlign w:val="center"/>
          </w:tcPr>
          <w:p>
            <w:pPr>
              <w:pStyle w:val="72"/>
              <w:rPr>
                <w:sz w:val="18"/>
                <w:lang w:eastAsia="en-US"/>
              </w:rPr>
            </w:pPr>
          </w:p>
          <w:p>
            <w:pPr>
              <w:pStyle w:val="72"/>
              <w:rPr>
                <w:lang w:eastAsia="en-US"/>
              </w:rPr>
            </w:pPr>
            <w:r>
              <w:rPr>
                <w:lang w:eastAsia="en-US"/>
              </w:rPr>
              <w:t>0.5</w:t>
            </w:r>
          </w:p>
        </w:tc>
        <w:tc>
          <w:tcPr>
            <w:tcW w:w="1598" w:type="dxa"/>
            <w:gridSpan w:val="2"/>
            <w:vAlign w:val="center"/>
          </w:tcPr>
          <w:p>
            <w:pPr>
              <w:pStyle w:val="72"/>
              <w:rPr>
                <w:sz w:val="18"/>
                <w:lang w:eastAsia="en-US"/>
              </w:rPr>
            </w:pPr>
          </w:p>
          <w:p>
            <w:pPr>
              <w:pStyle w:val="72"/>
              <w:rPr>
                <w:lang w:eastAsia="en-US"/>
              </w:rPr>
            </w:pPr>
            <w:r>
              <w:rPr>
                <w:lang w:eastAsia="en-US"/>
              </w:rPr>
              <w:t>0.5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700" w:hRule="atLeast"/>
          <w:jc w:val="center"/>
        </w:trPr>
        <w:tc>
          <w:tcPr>
            <w:tcW w:w="1067" w:type="dxa"/>
            <w:vAlign w:val="center"/>
          </w:tcPr>
          <w:p>
            <w:pPr>
              <w:pStyle w:val="72"/>
              <w:rPr>
                <w:lang w:eastAsia="en-US"/>
              </w:rPr>
            </w:pPr>
            <w:r>
              <w:rPr>
                <w:lang w:eastAsia="en-US"/>
              </w:rPr>
              <w:t>粪大肠杆</w:t>
            </w:r>
          </w:p>
          <w:p>
            <w:pPr>
              <w:pStyle w:val="72"/>
              <w:rPr>
                <w:lang w:eastAsia="en-US"/>
              </w:rPr>
            </w:pPr>
            <w:r>
              <w:rPr>
                <w:lang w:eastAsia="en-US"/>
              </w:rPr>
              <w:t>菌</w:t>
            </w:r>
          </w:p>
        </w:tc>
        <w:tc>
          <w:tcPr>
            <w:tcW w:w="539" w:type="dxa"/>
            <w:vAlign w:val="center"/>
          </w:tcPr>
          <w:p>
            <w:pPr>
              <w:pStyle w:val="72"/>
              <w:rPr>
                <w:sz w:val="18"/>
                <w:lang w:eastAsia="en-US"/>
              </w:rPr>
            </w:pPr>
          </w:p>
          <w:p>
            <w:pPr>
              <w:pStyle w:val="72"/>
              <w:rPr>
                <w:lang w:eastAsia="en-US"/>
              </w:rPr>
            </w:pPr>
            <w:r>
              <w:rPr>
                <w:lang w:eastAsia="en-US"/>
              </w:rPr>
              <w:t>2000</w:t>
            </w:r>
          </w:p>
        </w:tc>
        <w:tc>
          <w:tcPr>
            <w:tcW w:w="539" w:type="dxa"/>
            <w:vAlign w:val="center"/>
          </w:tcPr>
          <w:p>
            <w:pPr>
              <w:pStyle w:val="72"/>
              <w:rPr>
                <w:sz w:val="18"/>
                <w:lang w:eastAsia="en-US"/>
              </w:rPr>
            </w:pPr>
          </w:p>
          <w:p>
            <w:pPr>
              <w:pStyle w:val="72"/>
              <w:rPr>
                <w:lang w:eastAsia="en-US"/>
              </w:rPr>
            </w:pPr>
            <w:r>
              <w:rPr>
                <w:lang w:eastAsia="en-US"/>
              </w:rPr>
              <w:t>2000</w:t>
            </w:r>
          </w:p>
        </w:tc>
        <w:tc>
          <w:tcPr>
            <w:tcW w:w="539" w:type="dxa"/>
            <w:vAlign w:val="center"/>
          </w:tcPr>
          <w:p>
            <w:pPr>
              <w:pStyle w:val="72"/>
              <w:rPr>
                <w:sz w:val="18"/>
                <w:lang w:eastAsia="en-US"/>
              </w:rPr>
            </w:pPr>
          </w:p>
          <w:p>
            <w:pPr>
              <w:pStyle w:val="72"/>
              <w:rPr>
                <w:lang w:eastAsia="en-US"/>
              </w:rPr>
            </w:pPr>
            <w:r>
              <w:rPr>
                <w:lang w:eastAsia="en-US"/>
              </w:rPr>
              <w:t>2000</w:t>
            </w:r>
          </w:p>
        </w:tc>
        <w:tc>
          <w:tcPr>
            <w:tcW w:w="541" w:type="dxa"/>
            <w:vAlign w:val="center"/>
          </w:tcPr>
          <w:p>
            <w:pPr>
              <w:pStyle w:val="72"/>
              <w:rPr>
                <w:sz w:val="18"/>
                <w:lang w:eastAsia="en-US"/>
              </w:rPr>
            </w:pPr>
          </w:p>
          <w:p>
            <w:pPr>
              <w:pStyle w:val="72"/>
              <w:rPr>
                <w:lang w:eastAsia="en-US"/>
              </w:rPr>
            </w:pPr>
            <w:r>
              <w:rPr>
                <w:lang w:eastAsia="en-US"/>
              </w:rPr>
              <w:t>2000</w:t>
            </w:r>
          </w:p>
        </w:tc>
        <w:tc>
          <w:tcPr>
            <w:tcW w:w="539" w:type="dxa"/>
            <w:vAlign w:val="center"/>
          </w:tcPr>
          <w:p>
            <w:pPr>
              <w:pStyle w:val="72"/>
              <w:rPr>
                <w:sz w:val="18"/>
                <w:lang w:eastAsia="en-US"/>
              </w:rPr>
            </w:pPr>
          </w:p>
          <w:p>
            <w:pPr>
              <w:pStyle w:val="72"/>
              <w:rPr>
                <w:lang w:eastAsia="en-US"/>
              </w:rPr>
            </w:pPr>
            <w:r>
              <w:rPr>
                <w:lang w:eastAsia="en-US"/>
              </w:rPr>
              <w:t>3</w:t>
            </w:r>
          </w:p>
        </w:tc>
        <w:tc>
          <w:tcPr>
            <w:tcW w:w="539" w:type="dxa"/>
            <w:vAlign w:val="center"/>
          </w:tcPr>
          <w:p>
            <w:pPr>
              <w:pStyle w:val="72"/>
              <w:rPr>
                <w:sz w:val="18"/>
                <w:lang w:eastAsia="en-US"/>
              </w:rPr>
            </w:pPr>
          </w:p>
          <w:p>
            <w:pPr>
              <w:pStyle w:val="72"/>
              <w:rPr>
                <w:lang w:eastAsia="en-US"/>
              </w:rPr>
            </w:pPr>
            <w:r>
              <w:rPr>
                <w:lang w:eastAsia="en-US"/>
              </w:rPr>
              <w:t>3</w:t>
            </w:r>
          </w:p>
        </w:tc>
        <w:tc>
          <w:tcPr>
            <w:tcW w:w="1338" w:type="dxa"/>
            <w:vAlign w:val="center"/>
          </w:tcPr>
          <w:p>
            <w:pPr>
              <w:pStyle w:val="72"/>
              <w:rPr>
                <w:sz w:val="18"/>
                <w:lang w:eastAsia="en-US"/>
              </w:rPr>
            </w:pPr>
          </w:p>
          <w:p>
            <w:pPr>
              <w:pStyle w:val="72"/>
              <w:rPr>
                <w:lang w:eastAsia="en-US"/>
              </w:rPr>
            </w:pPr>
            <w:r>
              <w:rPr>
                <w:lang w:eastAsia="en-US"/>
              </w:rPr>
              <w:t>10000</w:t>
            </w:r>
          </w:p>
        </w:tc>
        <w:tc>
          <w:tcPr>
            <w:tcW w:w="672" w:type="dxa"/>
            <w:vAlign w:val="center"/>
          </w:tcPr>
          <w:p>
            <w:pPr>
              <w:pStyle w:val="72"/>
              <w:rPr>
                <w:sz w:val="18"/>
                <w:lang w:eastAsia="en-US"/>
              </w:rPr>
            </w:pPr>
          </w:p>
          <w:p>
            <w:pPr>
              <w:pStyle w:val="72"/>
              <w:rPr>
                <w:lang w:eastAsia="en-US"/>
              </w:rPr>
            </w:pPr>
            <w:r>
              <w:rPr>
                <w:lang w:eastAsia="en-US"/>
              </w:rPr>
              <w:t>40000</w:t>
            </w:r>
          </w:p>
        </w:tc>
        <w:tc>
          <w:tcPr>
            <w:tcW w:w="672" w:type="dxa"/>
            <w:vAlign w:val="center"/>
          </w:tcPr>
          <w:p>
            <w:pPr>
              <w:pStyle w:val="72"/>
              <w:rPr>
                <w:sz w:val="18"/>
                <w:lang w:eastAsia="en-US"/>
              </w:rPr>
            </w:pPr>
          </w:p>
          <w:p>
            <w:pPr>
              <w:pStyle w:val="72"/>
              <w:rPr>
                <w:lang w:eastAsia="en-US"/>
              </w:rPr>
            </w:pPr>
            <w:r>
              <w:rPr>
                <w:lang w:eastAsia="en-US"/>
              </w:rPr>
              <w:t>40000</w:t>
            </w:r>
          </w:p>
        </w:tc>
        <w:tc>
          <w:tcPr>
            <w:tcW w:w="672" w:type="dxa"/>
            <w:vAlign w:val="center"/>
          </w:tcPr>
          <w:p>
            <w:pPr>
              <w:pStyle w:val="72"/>
              <w:rPr>
                <w:sz w:val="18"/>
                <w:lang w:eastAsia="en-US"/>
              </w:rPr>
            </w:pPr>
          </w:p>
          <w:p>
            <w:pPr>
              <w:pStyle w:val="72"/>
              <w:rPr>
                <w:lang w:eastAsia="en-US"/>
              </w:rPr>
            </w:pPr>
            <w:r>
              <w:rPr>
                <w:lang w:eastAsia="en-US"/>
              </w:rPr>
              <w:t>40000</w:t>
            </w:r>
          </w:p>
        </w:tc>
        <w:tc>
          <w:tcPr>
            <w:tcW w:w="805" w:type="dxa"/>
            <w:vAlign w:val="center"/>
          </w:tcPr>
          <w:p>
            <w:pPr>
              <w:pStyle w:val="72"/>
              <w:rPr>
                <w:sz w:val="18"/>
                <w:lang w:eastAsia="en-US"/>
              </w:rPr>
            </w:pPr>
          </w:p>
          <w:p>
            <w:pPr>
              <w:pStyle w:val="72"/>
              <w:rPr>
                <w:lang w:eastAsia="en-US"/>
              </w:rPr>
            </w:pPr>
            <w:r>
              <w:rPr>
                <w:lang w:eastAsia="en-US"/>
              </w:rPr>
              <w:t>1000</w:t>
            </w:r>
          </w:p>
        </w:tc>
        <w:tc>
          <w:tcPr>
            <w:tcW w:w="803" w:type="dxa"/>
            <w:vAlign w:val="center"/>
          </w:tcPr>
          <w:p>
            <w:pPr>
              <w:pStyle w:val="72"/>
              <w:rPr>
                <w:sz w:val="18"/>
                <w:lang w:eastAsia="en-US"/>
              </w:rPr>
            </w:pPr>
          </w:p>
          <w:p>
            <w:pPr>
              <w:pStyle w:val="72"/>
              <w:rPr>
                <w:lang w:eastAsia="en-US"/>
              </w:rPr>
            </w:pPr>
            <w:r>
              <w:rPr>
                <w:lang w:eastAsia="en-US"/>
              </w:rPr>
              <w:t>3</w:t>
            </w:r>
          </w:p>
        </w:tc>
        <w:tc>
          <w:tcPr>
            <w:tcW w:w="795" w:type="dxa"/>
            <w:vAlign w:val="center"/>
          </w:tcPr>
          <w:p>
            <w:pPr>
              <w:pStyle w:val="72"/>
              <w:rPr>
                <w:sz w:val="18"/>
                <w:lang w:eastAsia="en-US"/>
              </w:rPr>
            </w:pPr>
          </w:p>
          <w:p>
            <w:pPr>
              <w:pStyle w:val="72"/>
              <w:rPr>
                <w:lang w:eastAsia="en-US"/>
              </w:rPr>
            </w:pPr>
            <w:r>
              <w:rPr>
                <w:lang w:eastAsia="en-US"/>
              </w:rPr>
              <w:t>1000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067" w:type="dxa"/>
            <w:vAlign w:val="center"/>
          </w:tcPr>
          <w:p>
            <w:pPr>
              <w:pStyle w:val="72"/>
              <w:rPr>
                <w:lang w:eastAsia="en-US"/>
              </w:rPr>
            </w:pPr>
            <w:r>
              <w:rPr>
                <w:lang w:eastAsia="en-US"/>
              </w:rPr>
              <w:t>总汞</w:t>
            </w:r>
          </w:p>
        </w:tc>
        <w:tc>
          <w:tcPr>
            <w:tcW w:w="539"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w:t>
            </w:r>
          </w:p>
        </w:tc>
        <w:tc>
          <w:tcPr>
            <w:tcW w:w="541"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w:t>
            </w:r>
          </w:p>
        </w:tc>
        <w:tc>
          <w:tcPr>
            <w:tcW w:w="539" w:type="dxa"/>
            <w:vAlign w:val="center"/>
          </w:tcPr>
          <w:p>
            <w:pPr>
              <w:pStyle w:val="72"/>
              <w:rPr>
                <w:lang w:eastAsia="en-US"/>
              </w:rPr>
            </w:pPr>
            <w:r>
              <w:rPr>
                <w:lang w:eastAsia="en-US"/>
              </w:rPr>
              <w:t>--</w:t>
            </w:r>
          </w:p>
        </w:tc>
        <w:tc>
          <w:tcPr>
            <w:tcW w:w="1338" w:type="dxa"/>
            <w:vAlign w:val="center"/>
          </w:tcPr>
          <w:p>
            <w:pPr>
              <w:pStyle w:val="72"/>
              <w:rPr>
                <w:lang w:eastAsia="en-US"/>
              </w:rPr>
            </w:pPr>
            <w:r>
              <w:rPr>
                <w:lang w:eastAsia="en-US"/>
              </w:rPr>
              <w:t>0.01</w:t>
            </w:r>
          </w:p>
        </w:tc>
        <w:tc>
          <w:tcPr>
            <w:tcW w:w="672" w:type="dxa"/>
            <w:vAlign w:val="center"/>
          </w:tcPr>
          <w:p>
            <w:pPr>
              <w:pStyle w:val="72"/>
              <w:rPr>
                <w:lang w:eastAsia="en-US"/>
              </w:rPr>
            </w:pPr>
            <w:r>
              <w:rPr>
                <w:lang w:eastAsia="en-US"/>
              </w:rPr>
              <w:t>0.01</w:t>
            </w:r>
          </w:p>
        </w:tc>
        <w:tc>
          <w:tcPr>
            <w:tcW w:w="672" w:type="dxa"/>
            <w:vAlign w:val="center"/>
          </w:tcPr>
          <w:p>
            <w:pPr>
              <w:pStyle w:val="72"/>
              <w:rPr>
                <w:lang w:eastAsia="en-US"/>
              </w:rPr>
            </w:pPr>
            <w:r>
              <w:rPr>
                <w:lang w:eastAsia="en-US"/>
              </w:rPr>
              <w:t>0.001</w:t>
            </w:r>
          </w:p>
        </w:tc>
        <w:tc>
          <w:tcPr>
            <w:tcW w:w="672" w:type="dxa"/>
            <w:vAlign w:val="center"/>
          </w:tcPr>
          <w:p>
            <w:pPr>
              <w:pStyle w:val="72"/>
              <w:rPr>
                <w:lang w:eastAsia="en-US"/>
              </w:rPr>
            </w:pPr>
            <w:r>
              <w:rPr>
                <w:lang w:eastAsia="en-US"/>
              </w:rPr>
              <w:t>0.001</w:t>
            </w:r>
          </w:p>
        </w:tc>
        <w:tc>
          <w:tcPr>
            <w:tcW w:w="805" w:type="dxa"/>
            <w:vAlign w:val="center"/>
          </w:tcPr>
          <w:p>
            <w:pPr>
              <w:pStyle w:val="72"/>
              <w:rPr>
                <w:lang w:eastAsia="en-US"/>
              </w:rPr>
            </w:pPr>
            <w:r>
              <w:rPr>
                <w:lang w:eastAsia="en-US"/>
              </w:rPr>
              <w:t>0.001</w:t>
            </w:r>
          </w:p>
        </w:tc>
        <w:tc>
          <w:tcPr>
            <w:tcW w:w="1598" w:type="dxa"/>
            <w:gridSpan w:val="2"/>
            <w:vAlign w:val="center"/>
          </w:tcPr>
          <w:p>
            <w:pPr>
              <w:pStyle w:val="72"/>
              <w:rPr>
                <w:lang w:eastAsia="en-US"/>
              </w:rPr>
            </w:pPr>
            <w:r>
              <w:rPr>
                <w:lang w:eastAsia="en-US"/>
              </w:rPr>
              <w:t>0.001</w:t>
            </w:r>
          </w:p>
        </w:tc>
      </w:tr>
    </w:tbl>
    <w:p>
      <w:pPr>
        <w:ind w:firstLine="560"/>
      </w:pPr>
      <w:r>
        <w:t>（1）再生水水源来自中心</w:t>
      </w:r>
      <w:r>
        <w:rPr>
          <w:rFonts w:hint="eastAsia"/>
        </w:rPr>
        <w:t>区</w:t>
      </w:r>
      <w:r>
        <w:t>污水处理厂的尾水</w:t>
      </w:r>
      <w:r>
        <w:rPr>
          <w:rFonts w:hint="eastAsia"/>
        </w:rPr>
        <w:t>，</w:t>
      </w:r>
      <w:r>
        <w:t>排入城市污水收集与再生处理系统的工业废水应严格按照国家及行业规定的排放标准，制定和实施相应的预处理、水质控制和保障计划。</w:t>
      </w:r>
    </w:p>
    <w:p>
      <w:pPr>
        <w:ind w:firstLine="560"/>
      </w:pPr>
      <w:r>
        <w:t>（2）再生水水源水质应具备可靠性、稳定性和安全性要求；</w:t>
      </w:r>
    </w:p>
    <w:p>
      <w:pPr>
        <w:ind w:firstLine="560"/>
      </w:pPr>
      <w:r>
        <w:t>再生水水源工程为收集、输送再生水水源水的管道系统及其辅助设施，再生水水源工程的设计应保证水源的水质水量满足再生水生产与供给的可靠性、稳定性和安全性要求。</w:t>
      </w:r>
    </w:p>
    <w:p>
      <w:pPr>
        <w:pStyle w:val="4"/>
      </w:pPr>
      <w:bookmarkStart w:id="396" w:name="_Toc8032644"/>
      <w:bookmarkStart w:id="397" w:name="_Toc531180141"/>
      <w:r>
        <w:rPr>
          <w:rFonts w:hint="eastAsia"/>
        </w:rPr>
        <w:t>6.5</w:t>
      </w:r>
      <w:r>
        <w:t>.2</w:t>
      </w:r>
      <w:r>
        <w:rPr>
          <w:rFonts w:hint="eastAsia"/>
        </w:rPr>
        <w:t>雨水利用</w:t>
      </w:r>
      <w:bookmarkEnd w:id="396"/>
      <w:bookmarkEnd w:id="397"/>
    </w:p>
    <w:p>
      <w:pPr>
        <w:ind w:firstLine="560"/>
      </w:pPr>
      <w:r>
        <w:rPr>
          <w:rFonts w:hint="eastAsia"/>
        </w:rPr>
        <w:t>雨水是一种优质的自然资源，收集和使用方便，污染少，处理简单，不消耗或很少消耗能源，可缓解城市供水不足的矛盾。与污水的再生利用相比，雨水利用的水质更好，成本更低，容易被人们所接受。雨水利用是一项典型的生态保护和节水用水技术，对于水资源的优化配置，促进社会经济的可持续发展具有十分积极的意义。</w:t>
      </w:r>
    </w:p>
    <w:p>
      <w:pPr>
        <w:ind w:firstLine="560"/>
      </w:pPr>
      <w:r>
        <w:rPr>
          <w:rFonts w:hint="eastAsia"/>
        </w:rPr>
        <w:t>根据《淮北市海绵城市建设规划》的要求，雨水利用应在确保城市排水防洪安全的前提下，最大限度实现雨水在城市区域的积存、渗透和净化，增加雨水资源的利用途径，提高雨水资源利用率。将雨水利用与天然洼地、公园的河湖等湿地保护和湿地恢复相结合；开展住区、校园雨水利用示范，新建住宅小区按照绿色住宅小区的要求配套建设雨水收集利用系统；新建建筑物应当配套建设雨水收集利用系统，用于景观、绿化等用水；控制淮北城区广场道路中不透水面积的比例，防止城市地面过度硬化，在公园、绿地的规划、设计、建造时充分考虑雨水自然下渗对生态环境的积极作用。</w:t>
      </w:r>
    </w:p>
    <w:p>
      <w:pPr>
        <w:ind w:firstLine="560"/>
      </w:pPr>
      <w:r>
        <w:t>雨水资源利用有以下优点：</w:t>
      </w:r>
    </w:p>
    <w:p>
      <w:pPr>
        <w:ind w:firstLine="560"/>
      </w:pPr>
      <w:r>
        <w:t>（1）雨水来自于大自然的水循环，可免费、快捷的收集使用</w:t>
      </w:r>
      <w:r>
        <w:rPr>
          <w:rFonts w:hint="eastAsia"/>
        </w:rPr>
        <w:t>；</w:t>
      </w:r>
    </w:p>
    <w:p>
      <w:pPr>
        <w:ind w:firstLine="560"/>
      </w:pPr>
      <w:r>
        <w:t>（2）雨水资源的利用满足绿色环保的概念，是生态用水的理想水源。天然雨水具有硬度低，污染物少等优点，经收集和一定处理后，除用于浇灌农作物、补充地下水，还可用于景观环境、绿化、洗车场用水、道路冲洗、冷却水补充、冲厕及一些其它非生活用水用途</w:t>
      </w:r>
      <w:r>
        <w:rPr>
          <w:rFonts w:hint="eastAsia"/>
        </w:rPr>
        <w:t>；</w:t>
      </w:r>
    </w:p>
    <w:p>
      <w:pPr>
        <w:ind w:firstLine="560"/>
      </w:pPr>
      <w:r>
        <w:t>（3）雨水的下渗对地下水的补充具有积极影响，可有效控制城市地面下沉以及沿海城市海水入侵。</w:t>
      </w:r>
    </w:p>
    <w:p>
      <w:pPr>
        <w:ind w:firstLine="560"/>
      </w:pPr>
      <w:r>
        <w:t>雨水利用是海绵城市建设的重要组成部分。根据国家相关要求并结合</w:t>
      </w:r>
      <w:r>
        <w:rPr>
          <w:rFonts w:hint="eastAsia"/>
        </w:rPr>
        <w:t>淮北市</w:t>
      </w:r>
      <w:r>
        <w:t>海绵城市建设的需要，2020年完成建成区20%的面积建设任务，2035年完成建成区80%面积的建设任务。</w:t>
      </w:r>
    </w:p>
    <w:p>
      <w:pPr>
        <w:ind w:firstLine="562"/>
        <w:rPr>
          <w:b/>
        </w:rPr>
      </w:pPr>
      <w:r>
        <w:rPr>
          <w:rFonts w:hint="eastAsia"/>
          <w:b/>
        </w:rPr>
        <w:t>1）淮北</w:t>
      </w:r>
      <w:r>
        <w:rPr>
          <w:b/>
        </w:rPr>
        <w:t>市雨水特点</w:t>
      </w:r>
    </w:p>
    <w:p>
      <w:pPr>
        <w:ind w:firstLine="560"/>
      </w:pPr>
      <w:r>
        <w:t>1、降雨年内分布不均、年际变化大</w:t>
      </w:r>
    </w:p>
    <w:p>
      <w:pPr>
        <w:ind w:firstLine="560"/>
      </w:pPr>
      <w:r>
        <w:t>淮北市降水随季节变化较大，根据 1956～2005 年系列多年平均降雨量年内分 配极不均匀，汛期（6～9 月）的雨量占年雨量的 65.6%，年内最大月雨量占年雨 量的 27.6%、最小月雨量仅占年雨量的 1.8%，在仅占全年 25%时段的 6～8 月内降 雨量却占全年的 52.8%。淮北市多年平均面雨量月分配比例见图6-4。</w:t>
      </w:r>
    </w:p>
    <w:p>
      <w:pPr>
        <w:spacing w:before="10"/>
        <w:ind w:firstLine="100"/>
        <w:rPr>
          <w:rFonts w:ascii="宋体" w:hAnsi="宋体" w:cs="宋体"/>
          <w:sz w:val="5"/>
          <w:szCs w:val="5"/>
        </w:rPr>
      </w:pPr>
    </w:p>
    <w:p>
      <w:pPr>
        <w:spacing w:line="240" w:lineRule="auto"/>
        <w:ind w:left="522" w:firstLine="400"/>
        <w:rPr>
          <w:rFonts w:ascii="宋体" w:hAnsi="宋体" w:cs="宋体"/>
          <w:sz w:val="20"/>
          <w:szCs w:val="20"/>
        </w:rPr>
      </w:pPr>
      <w:r>
        <w:rPr>
          <w:rFonts w:ascii="宋体" w:hAnsi="宋体" w:cs="宋体"/>
          <w:position w:val="-80"/>
          <w:sz w:val="20"/>
          <w:szCs w:val="20"/>
        </w:rPr>
        <w:drawing>
          <wp:inline distT="0" distB="0" distL="0" distR="0">
            <wp:extent cx="5770245" cy="2556510"/>
            <wp:effectExtent l="0" t="0" r="0" b="0"/>
            <wp:docPr id="207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image15.jpeg"/>
                    <pic:cNvPicPr>
                      <a:picLocks noChangeAspect="1"/>
                    </pic:cNvPicPr>
                  </pic:nvPicPr>
                  <pic:blipFill>
                    <a:blip r:embed="rId87" cstate="print"/>
                    <a:stretch>
                      <a:fillRect/>
                    </a:stretch>
                  </pic:blipFill>
                  <pic:spPr>
                    <a:xfrm>
                      <a:off x="0" y="0"/>
                      <a:ext cx="5770784" cy="2556986"/>
                    </a:xfrm>
                    <a:prstGeom prst="rect">
                      <a:avLst/>
                    </a:prstGeom>
                  </pic:spPr>
                </pic:pic>
              </a:graphicData>
            </a:graphic>
          </wp:inline>
        </w:drawing>
      </w:r>
    </w:p>
    <w:p>
      <w:pPr>
        <w:pStyle w:val="16"/>
        <w:tabs>
          <w:tab w:val="left" w:pos="3980"/>
        </w:tabs>
        <w:spacing w:before="107" w:line="338" w:lineRule="auto"/>
        <w:ind w:left="659" w:right="3" w:firstLine="482"/>
        <w:jc w:val="center"/>
        <w:rPr>
          <w:rFonts w:cs="Times New Roman"/>
          <w:b/>
          <w:sz w:val="24"/>
        </w:rPr>
      </w:pPr>
      <w:r>
        <w:rPr>
          <w:rFonts w:cs="Times New Roman"/>
          <w:b/>
          <w:sz w:val="24"/>
        </w:rPr>
        <w:t>图6-4</w:t>
      </w:r>
      <w:r>
        <w:rPr>
          <w:rFonts w:hint="eastAsia" w:cs="Times New Roman"/>
          <w:b/>
          <w:sz w:val="24"/>
        </w:rPr>
        <w:t xml:space="preserve">   </w:t>
      </w:r>
      <w:r>
        <w:rPr>
          <w:rFonts w:cs="Times New Roman"/>
          <w:b/>
          <w:sz w:val="24"/>
        </w:rPr>
        <w:t>淮北市面雨量月分配比例图</w:t>
      </w:r>
    </w:p>
    <w:p>
      <w:pPr>
        <w:ind w:firstLine="560"/>
      </w:pPr>
      <w:r>
        <w:t>淮北市降水年际变化较大，1956～2005 年降雨系列中，最大年雨量为 1963 年</w:t>
      </w:r>
    </w:p>
    <w:p>
      <w:pPr>
        <w:ind w:firstLine="0" w:firstLineChars="0"/>
      </w:pPr>
      <w:r>
        <w:t>的 1380.2mm、最小年雨量为 1966 年的 548.0mm，最大年雨量近最小年雨量的 2.5 倍。代表站濉溪县、徐楼闸、马桥、临涣集、白沙集、南坪闸最大年雨量分别是 最小年雨量的 2.68 倍、3.00 倍、3.08 倍、2.76 倍、2.63 倍、3.03 倍。</w:t>
      </w:r>
    </w:p>
    <w:p>
      <w:pPr>
        <w:ind w:firstLine="560"/>
      </w:pPr>
      <w:r>
        <w:t>2、降雨空间分布较为均匀</w:t>
      </w:r>
    </w:p>
    <w:p>
      <w:pPr>
        <w:ind w:firstLine="560"/>
      </w:pPr>
      <w:r>
        <w:t xml:space="preserve"> 依据淮北市多年降雨数据统计，由于淮北市区域不是很大，雨量地区分布差异不是太明显，各规划分区多年平均面雨量与淮北市多年平均面雨量的差异在± 2.5%之内，但区域内降雨量的分布还是存在着区内的沱河与浍河之间地区雨量较小，该区向东北、向东南方向雨量逐步增加的趋势，且向东北雨量增加的量比向 东南雨量增加的量要大。</w:t>
      </w:r>
    </w:p>
    <w:p>
      <w:pPr>
        <w:ind w:firstLine="560"/>
      </w:pPr>
      <w:r>
        <w:t>3、短历时设计降雨雨型</w:t>
      </w:r>
    </w:p>
    <w:p>
      <w:pPr>
        <w:ind w:firstLine="560"/>
      </w:pPr>
      <w:r>
        <w:t xml:space="preserve"> 短历时设计降雨雨型主要用于计算机模型中管网及调蓄系统的模拟评估。 依据</w:t>
      </w:r>
    </w:p>
    <w:p>
      <w:pPr>
        <w:ind w:firstLine="0" w:firstLineChars="0"/>
      </w:pPr>
      <w:r>
        <w:rPr>
          <w:rFonts w:hint="eastAsia"/>
        </w:rPr>
        <w:t>Pilgrim&amp;Cordery 法的原理，将峰值放置在级序最大的位置上，采用淮北气象站 30 年（1983-2012 年）连续分钟降雨数据，选取小时雨量最大的 20 场事件， 则可分析得到 180 分钟的雨型分配比例相对应的雨峰发生位置 r 为 0.36，分配结果 如下表6-6 所示，雨型分布示意图如图6-5所示，单位时段为 5 分钟。</w:t>
      </w:r>
    </w:p>
    <w:p>
      <w:pPr>
        <w:spacing w:line="240" w:lineRule="auto"/>
        <w:ind w:firstLine="0" w:firstLineChars="0"/>
        <w:jc w:val="center"/>
      </w:pPr>
      <w:r>
        <w:drawing>
          <wp:inline distT="0" distB="0" distL="0" distR="0">
            <wp:extent cx="4716145" cy="3241675"/>
            <wp:effectExtent l="19050" t="0" r="7677" b="0"/>
            <wp:docPr id="26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49"/>
                    <pic:cNvPicPr>
                      <a:picLocks noChangeAspect="1" noChangeArrowheads="1"/>
                    </pic:cNvPicPr>
                  </pic:nvPicPr>
                  <pic:blipFill>
                    <a:blip r:embed="rId88"/>
                    <a:srcRect/>
                    <a:stretch>
                      <a:fillRect/>
                    </a:stretch>
                  </pic:blipFill>
                  <pic:spPr>
                    <a:xfrm>
                      <a:off x="0" y="0"/>
                      <a:ext cx="4722730" cy="3246147"/>
                    </a:xfrm>
                    <a:prstGeom prst="rect">
                      <a:avLst/>
                    </a:prstGeom>
                    <a:noFill/>
                    <a:ln w="9525">
                      <a:noFill/>
                      <a:miter lim="800000"/>
                      <a:headEnd/>
                      <a:tailEnd/>
                    </a:ln>
                  </pic:spPr>
                </pic:pic>
              </a:graphicData>
            </a:graphic>
          </wp:inline>
        </w:drawing>
      </w:r>
    </w:p>
    <w:p>
      <w:pPr>
        <w:pStyle w:val="16"/>
        <w:tabs>
          <w:tab w:val="left" w:pos="3980"/>
        </w:tabs>
        <w:spacing w:before="107" w:line="338" w:lineRule="auto"/>
        <w:ind w:right="3" w:firstLine="0" w:firstLineChars="0"/>
        <w:jc w:val="center"/>
        <w:rPr>
          <w:rFonts w:cs="Times New Roman"/>
          <w:b/>
          <w:sz w:val="24"/>
        </w:rPr>
      </w:pPr>
      <w:r>
        <w:rPr>
          <w:rFonts w:hint="eastAsia"/>
        </w:rPr>
        <w:drawing>
          <wp:inline distT="0" distB="0" distL="0" distR="0">
            <wp:extent cx="4812030" cy="2617470"/>
            <wp:effectExtent l="19050" t="0" r="7392" b="0"/>
            <wp:docPr id="26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36"/>
                    <pic:cNvPicPr>
                      <a:picLocks noChangeAspect="1" noChangeArrowheads="1"/>
                    </pic:cNvPicPr>
                  </pic:nvPicPr>
                  <pic:blipFill>
                    <a:blip r:embed="rId89"/>
                    <a:srcRect/>
                    <a:stretch>
                      <a:fillRect/>
                    </a:stretch>
                  </pic:blipFill>
                  <pic:spPr>
                    <a:xfrm>
                      <a:off x="0" y="0"/>
                      <a:ext cx="4823369" cy="2623898"/>
                    </a:xfrm>
                    <a:prstGeom prst="rect">
                      <a:avLst/>
                    </a:prstGeom>
                    <a:noFill/>
                    <a:ln w="9525">
                      <a:noFill/>
                      <a:miter lim="800000"/>
                      <a:headEnd/>
                      <a:tailEnd/>
                    </a:ln>
                  </pic:spPr>
                </pic:pic>
              </a:graphicData>
            </a:graphic>
          </wp:inline>
        </w:drawing>
      </w:r>
    </w:p>
    <w:p>
      <w:pPr>
        <w:pStyle w:val="16"/>
        <w:tabs>
          <w:tab w:val="left" w:pos="3980"/>
        </w:tabs>
        <w:spacing w:before="107" w:line="338" w:lineRule="auto"/>
        <w:ind w:right="3" w:firstLine="1928" w:firstLineChars="800"/>
        <w:rPr>
          <w:rFonts w:cs="Times New Roman"/>
          <w:b/>
          <w:sz w:val="24"/>
        </w:rPr>
      </w:pPr>
      <w:r>
        <w:rPr>
          <w:rFonts w:hint="eastAsia" w:cs="Times New Roman"/>
          <w:b/>
          <w:sz w:val="24"/>
        </w:rPr>
        <w:t xml:space="preserve">图6-5   </w:t>
      </w:r>
      <w:r>
        <w:rPr>
          <w:rFonts w:cs="Times New Roman"/>
          <w:b/>
          <w:sz w:val="24"/>
        </w:rPr>
        <w:t>历时 180 分钟的设计降雨</w:t>
      </w:r>
      <w:r>
        <w:rPr>
          <w:rFonts w:hint="eastAsia" w:cs="Times New Roman"/>
          <w:b/>
          <w:sz w:val="24"/>
        </w:rPr>
        <w:t>雨型分布示意图</w:t>
      </w:r>
    </w:p>
    <w:p>
      <w:pPr>
        <w:ind w:firstLine="560"/>
      </w:pPr>
      <w:r>
        <w:t>4、长历时设计降雨雨型 设计雨型采用多次暴雨综合雨型，其代表性要优于单次典型雨型。为保证设计雨型成果稳定，分析应基于大量的暴雨资料，统计暴雨样本的数量应根据设计 雨型的分段数合理确定。</w:t>
      </w:r>
    </w:p>
    <w:p>
      <w:pPr>
        <w:ind w:firstLine="560"/>
      </w:pPr>
      <w:r>
        <w:t>统计法确定各时段雨量 Ht 在出现时间上的先后序位以及各时段雨量的比例。 基本原则是按暴雨次数出现最多（众值）的情况确定时间序位，按多次暴雨的平 均情况（均值）确定以雨量大小排列的各时段雨量的比例。</w:t>
      </w:r>
    </w:p>
    <w:p>
      <w:pPr>
        <w:ind w:firstLine="560"/>
      </w:pPr>
      <w:r>
        <w:rPr>
          <w:rFonts w:hint="eastAsia"/>
        </w:rPr>
        <w:t>（1）本次长历时的设计雨型确定方法同短历时，仍采用 Pilgrim&amp;Cordery 法，通过对实测降雨资料的分析可得淮北市长历时设计雨型，如下图所示：</w:t>
      </w:r>
    </w:p>
    <w:p>
      <w:pPr>
        <w:spacing w:line="240" w:lineRule="auto"/>
        <w:ind w:firstLine="560"/>
      </w:pPr>
      <w:r>
        <w:drawing>
          <wp:inline distT="0" distB="0" distL="0" distR="0">
            <wp:extent cx="5767070" cy="1565275"/>
            <wp:effectExtent l="19050" t="0" r="4549"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90"/>
                    <a:srcRect/>
                    <a:stretch>
                      <a:fillRect/>
                    </a:stretch>
                  </pic:blipFill>
                  <pic:spPr>
                    <a:xfrm>
                      <a:off x="0" y="0"/>
                      <a:ext cx="5758118" cy="1563183"/>
                    </a:xfrm>
                    <a:prstGeom prst="rect">
                      <a:avLst/>
                    </a:prstGeom>
                    <a:noFill/>
                    <a:ln w="9525">
                      <a:noFill/>
                      <a:miter lim="800000"/>
                      <a:headEnd/>
                      <a:tailEnd/>
                    </a:ln>
                  </pic:spPr>
                </pic:pic>
              </a:graphicData>
            </a:graphic>
          </wp:inline>
        </w:drawing>
      </w:r>
    </w:p>
    <w:p>
      <w:pPr>
        <w:pStyle w:val="16"/>
        <w:tabs>
          <w:tab w:val="left" w:pos="3980"/>
        </w:tabs>
        <w:spacing w:before="107" w:line="338" w:lineRule="auto"/>
        <w:ind w:right="3" w:firstLine="3855" w:firstLineChars="1600"/>
        <w:rPr>
          <w:rFonts w:cs="Times New Roman"/>
          <w:b/>
          <w:sz w:val="24"/>
        </w:rPr>
      </w:pPr>
      <w:r>
        <w:rPr>
          <w:rFonts w:hint="eastAsia" w:cs="Times New Roman"/>
          <w:b/>
          <w:sz w:val="24"/>
        </w:rPr>
        <w:t>图6-6  长历时设计雨型</w:t>
      </w:r>
    </w:p>
    <w:p>
      <w:pPr>
        <w:ind w:firstLine="560"/>
      </w:pPr>
      <w:r>
        <w:rPr>
          <w:rFonts w:hint="eastAsia"/>
        </w:rPr>
        <w:t xml:space="preserve">（2）设计暴雨量     从偏于安全角度，不同重现期长历时设计暴雨量采用防洪规划中计算出的设 计暴雨量，30 年一遇 24h 总雨量取 229mm。 </w:t>
      </w:r>
    </w:p>
    <w:p>
      <w:pPr>
        <w:ind w:firstLine="560"/>
      </w:pPr>
      <w:r>
        <w:rPr>
          <w:rFonts w:hint="eastAsia"/>
        </w:rPr>
        <w:t>（3）长历时设计降雨    由 Pilgrim&amp;Cordery 法求得的长历时设计雨型以及水利办法求得的 30 年一遇 设 计 暴 雨 量 （ 229mm ） 可 得 相 应 的 设 计 降 雨 过 程 线 ， 如 下 图 所 示 。</w:t>
      </w:r>
    </w:p>
    <w:p>
      <w:pPr>
        <w:spacing w:line="240" w:lineRule="auto"/>
        <w:ind w:firstLine="560"/>
        <w:jc w:val="center"/>
      </w:pPr>
      <w:r>
        <w:drawing>
          <wp:inline distT="0" distB="0" distL="0" distR="0">
            <wp:extent cx="5621020" cy="2251710"/>
            <wp:effectExtent l="19050" t="0" r="0" b="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noChangeArrowheads="1"/>
                    </pic:cNvPicPr>
                  </pic:nvPicPr>
                  <pic:blipFill>
                    <a:blip r:embed="rId91"/>
                    <a:srcRect/>
                    <a:stretch>
                      <a:fillRect/>
                    </a:stretch>
                  </pic:blipFill>
                  <pic:spPr>
                    <a:xfrm>
                      <a:off x="0" y="0"/>
                      <a:ext cx="5645564" cy="2261527"/>
                    </a:xfrm>
                    <a:prstGeom prst="rect">
                      <a:avLst/>
                    </a:prstGeom>
                    <a:noFill/>
                    <a:ln w="9525">
                      <a:noFill/>
                      <a:miter lim="800000"/>
                      <a:headEnd/>
                      <a:tailEnd/>
                    </a:ln>
                  </pic:spPr>
                </pic:pic>
              </a:graphicData>
            </a:graphic>
          </wp:inline>
        </w:drawing>
      </w:r>
    </w:p>
    <w:p>
      <w:pPr>
        <w:pStyle w:val="16"/>
        <w:tabs>
          <w:tab w:val="left" w:pos="3980"/>
        </w:tabs>
        <w:spacing w:before="107" w:line="338" w:lineRule="auto"/>
        <w:ind w:right="3" w:firstLine="4337" w:firstLineChars="1800"/>
        <w:rPr>
          <w:rFonts w:cs="Times New Roman"/>
          <w:b/>
          <w:sz w:val="24"/>
        </w:rPr>
      </w:pPr>
      <w:r>
        <w:rPr>
          <w:rFonts w:hint="eastAsia" w:cs="Times New Roman"/>
          <w:b/>
          <w:sz w:val="24"/>
        </w:rPr>
        <w:drawing>
          <wp:anchor distT="0" distB="0" distL="114300" distR="114300" simplePos="0" relativeHeight="251663360" behindDoc="0" locked="0" layoutInCell="1" allowOverlap="1">
            <wp:simplePos x="0" y="0"/>
            <wp:positionH relativeFrom="column">
              <wp:posOffset>7566660</wp:posOffset>
            </wp:positionH>
            <wp:positionV relativeFrom="paragraph">
              <wp:posOffset>-2860040</wp:posOffset>
            </wp:positionV>
            <wp:extent cx="4471035" cy="3452495"/>
            <wp:effectExtent l="19050" t="0" r="5715" b="0"/>
            <wp:wrapTopAndBottom/>
            <wp:docPr id="26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41"/>
                    <pic:cNvPicPr>
                      <a:picLocks noChangeAspect="1" noChangeArrowheads="1"/>
                    </pic:cNvPicPr>
                  </pic:nvPicPr>
                  <pic:blipFill>
                    <a:blip r:embed="rId92"/>
                    <a:srcRect/>
                    <a:stretch>
                      <a:fillRect/>
                    </a:stretch>
                  </pic:blipFill>
                  <pic:spPr>
                    <a:xfrm>
                      <a:off x="0" y="0"/>
                      <a:ext cx="4471035" cy="3452495"/>
                    </a:xfrm>
                    <a:prstGeom prst="rect">
                      <a:avLst/>
                    </a:prstGeom>
                    <a:noFill/>
                    <a:ln w="9525">
                      <a:noFill/>
                      <a:miter lim="800000"/>
                      <a:headEnd/>
                      <a:tailEnd/>
                    </a:ln>
                  </pic:spPr>
                </pic:pic>
              </a:graphicData>
            </a:graphic>
          </wp:anchor>
        </w:drawing>
      </w:r>
      <w:r>
        <w:rPr>
          <w:rFonts w:hint="eastAsia" w:cs="Times New Roman"/>
          <w:b/>
          <w:sz w:val="24"/>
        </w:rPr>
        <w:t xml:space="preserve">图6-7   </w:t>
      </w:r>
      <w:r>
        <w:rPr>
          <w:rFonts w:cs="Times New Roman"/>
          <w:b/>
          <w:sz w:val="24"/>
        </w:rPr>
        <w:t>30</w:t>
      </w:r>
      <w:r>
        <w:rPr>
          <w:rFonts w:hint="eastAsia" w:cs="Times New Roman"/>
          <w:b/>
          <w:sz w:val="24"/>
        </w:rPr>
        <w:t>年一遇设计暴雨</w:t>
      </w:r>
    </w:p>
    <w:p>
      <w:pPr>
        <w:spacing w:line="240" w:lineRule="auto"/>
        <w:ind w:firstLine="560"/>
        <w:sectPr>
          <w:type w:val="continuous"/>
          <w:pgSz w:w="23820" w:h="16840" w:orient="landscape"/>
          <w:pgMar w:top="1600" w:right="1180" w:bottom="1160" w:left="1340" w:header="720" w:footer="720" w:gutter="0"/>
          <w:cols w:equalWidth="0" w:num="2">
            <w:col w:w="10014" w:space="1014"/>
            <w:col w:w="10272"/>
          </w:cols>
        </w:sectPr>
      </w:pPr>
    </w:p>
    <w:p>
      <w:pPr>
        <w:ind w:firstLine="562"/>
        <w:rPr>
          <w:b/>
        </w:rPr>
      </w:pPr>
      <w:r>
        <w:rPr>
          <w:rFonts w:hint="eastAsia"/>
          <w:b/>
        </w:rPr>
        <w:t>2）</w:t>
      </w:r>
      <w:r>
        <w:rPr>
          <w:b/>
        </w:rPr>
        <w:t>雨水利用方向</w:t>
      </w:r>
    </w:p>
    <w:p>
      <w:pPr>
        <w:ind w:firstLine="560"/>
      </w:pPr>
      <w:r>
        <w:t>结合</w:t>
      </w:r>
      <w:r>
        <w:rPr>
          <w:rFonts w:hint="eastAsia"/>
        </w:rPr>
        <w:t>淮北市</w:t>
      </w:r>
      <w:r>
        <w:t>自然环境及降雨特点，雨水利用可从以下方面入手：推广下沉式绿地、提高渗透铺装率、增加雨水集蓄。</w:t>
      </w:r>
    </w:p>
    <w:p>
      <w:pPr>
        <w:ind w:firstLine="560"/>
      </w:pPr>
      <w:r>
        <w:t>（1）推广下沉式绿地</w:t>
      </w:r>
    </w:p>
    <w:p>
      <w:pPr>
        <w:ind w:firstLine="560"/>
      </w:pPr>
      <w:r>
        <w:t>此处的下沉式绿地具有广义的意义，泛指具有一定的调蓄容积且可用于调蓄和净化径流雨水的绿地，包括下凹式绿地、生物滞留设施、植草沟、雨水花园、渗透塘、湿塘、雨水湿地、调节塘等。</w:t>
      </w:r>
    </w:p>
    <w:p>
      <w:pPr>
        <w:ind w:firstLine="560"/>
      </w:pPr>
      <w:r>
        <w:t>改变绿化带的形式，让绿化带具备一定的收水功能。推广下沉式绿地，下沉式绿地是在绿地建设时，使绿地高程低于周围地面,以利于周边的雨水径流的汇入。对于已建绿地，将绿地高度适当降低,把周围的地表水尽可能引入绿地，减少水资源的浪费。地面径流通过下沉式绿地转变为土壤水和地下水,增加了土壤水资源量和地下水资源量，因而绿地的浇灌用水量也相应减少。为了提高对雨水中污染物的去除能力，需要选择根系发达、净化能力强的植物。城市中绝大多数的草坪草、一些常见花草和木本植物，以及近年来引入城市绿化、抗性较强的观赏草都可以种植在雨水花园中，可根据不同分区、不同景观要求进行选择与配植。</w:t>
      </w:r>
    </w:p>
    <w:p>
      <w:pPr>
        <w:pStyle w:val="16"/>
        <w:tabs>
          <w:tab w:val="left" w:pos="3980"/>
        </w:tabs>
        <w:spacing w:before="107" w:line="338" w:lineRule="auto"/>
        <w:ind w:right="3" w:firstLine="3091" w:firstLineChars="1283"/>
        <w:jc w:val="both"/>
        <w:rPr>
          <w:rFonts w:cs="Times New Roman"/>
          <w:b/>
          <w:sz w:val="24"/>
        </w:rPr>
      </w:pPr>
      <w:r>
        <w:rPr>
          <w:rFonts w:cs="Times New Roman"/>
          <w:b/>
          <w:sz w:val="24"/>
        </w:rPr>
        <w:t>图6-</w:t>
      </w:r>
      <w:r>
        <w:rPr>
          <w:rFonts w:hint="eastAsia" w:cs="Times New Roman"/>
          <w:b/>
          <w:sz w:val="24"/>
        </w:rPr>
        <w:t xml:space="preserve">8  </w:t>
      </w:r>
      <w:r>
        <w:rPr>
          <w:rFonts w:cs="Times New Roman"/>
          <w:b/>
          <w:sz w:val="24"/>
        </w:rPr>
        <w:tab/>
      </w:r>
      <w:r>
        <w:rPr>
          <w:rFonts w:cs="Times New Roman"/>
          <w:b/>
          <w:sz w:val="24"/>
        </w:rPr>
        <w:t>各种下沉式绿地实景效果图</w:t>
      </w:r>
    </w:p>
    <w:p>
      <w:pPr>
        <w:ind w:firstLine="560"/>
      </w:pPr>
      <w:r>
        <w:t>绿地面积根据城市总体规划指标确定，但下沉式绿地的面积应根据具体情况确定，不宜小于绿地总面积的50%，下沉式绿地的下沉深度不应低于100mm，绿地和下沉绿地是降低径流系数和削减雨水污染物的首要措施之一，可根据情况适当增加。</w:t>
      </w:r>
    </w:p>
    <w:p>
      <w:pPr>
        <w:ind w:firstLine="560"/>
      </w:pPr>
      <w:r>
        <w:t>下沉式绿地本身具有一定的调蓄功能，但调蓄容积有限，必要时可通过人工水池，如钢筋混凝土雨水池、PPP模块等，或者天然水体，如公园池塘、河湖水库等进行雨水调蓄。雨水经过调蓄池，一方面起到削峰的作用，一方面经过净化之后排放可以削减污染物负荷，同时经过一定处理可以回用。初期弃流雨水进入城市污水处理厂处理，弃流后的雨水经自然沉淀后用于绿化等，其他应用应经合适的工艺处理后应用。</w:t>
      </w:r>
    </w:p>
    <w:p>
      <w:pPr>
        <w:ind w:firstLine="560"/>
      </w:pPr>
      <w:r>
        <w:t>（2）提高渗透铺装率</w:t>
      </w:r>
    </w:p>
    <w:p>
      <w:pPr>
        <w:ind w:firstLine="560"/>
      </w:pPr>
      <w:r>
        <w:t>利用透水路面增大雨水渗透是城市雨水利用的重要途径。透水路面是指各种人工材料铺设的透水地面</w:t>
      </w:r>
      <w:r>
        <w:rPr>
          <w:rFonts w:hint="eastAsia"/>
        </w:rPr>
        <w:t>，</w:t>
      </w:r>
      <w:r>
        <w:t>如多孔的草皮砖、透水砖、透水性混凝土路面、多孔沥青路面等。在人行道、室外停车场、道路等级不高的道路在保证道路运营安全的前提要求下，使用透水路面，使得雨水透过路面结构渗透到路基或者现状土壤中，实现补充地下水，或者经过雨水利用系统对雨水进行储存。雨水在经过透水地面时，能利用表层土壤对雨水的净化能力，过滤水中较大颗粒固态物质</w:t>
      </w:r>
      <w:r>
        <w:rPr>
          <w:rFonts w:hint="eastAsia"/>
        </w:rPr>
        <w:t>，</w:t>
      </w:r>
      <w:r>
        <w:t>从而达到对雨水径流的净化作用。按照</w:t>
      </w:r>
      <w:r>
        <w:rPr>
          <w:rFonts w:hint="eastAsia"/>
        </w:rPr>
        <w:t>“</w:t>
      </w:r>
      <w:r>
        <w:t>水十条</w:t>
      </w:r>
      <w:r>
        <w:rPr>
          <w:rFonts w:hint="eastAsia"/>
        </w:rPr>
        <w:t>”</w:t>
      </w:r>
      <w:r>
        <w:t>的要求，2020年新建城区硬化路面，可渗透面积要达到40%以上。</w:t>
      </w:r>
    </w:p>
    <w:p>
      <w:pPr>
        <w:ind w:firstLine="562"/>
        <w:rPr>
          <w:b/>
        </w:rPr>
      </w:pPr>
      <w:r>
        <w:rPr>
          <w:rFonts w:hint="eastAsia"/>
          <w:b/>
        </w:rPr>
        <w:t>3）</w:t>
      </w:r>
      <w:r>
        <w:rPr>
          <w:b/>
        </w:rPr>
        <w:t>雨水资源化利用的管控要求</w:t>
      </w:r>
    </w:p>
    <w:p>
      <w:pPr>
        <w:ind w:firstLine="560"/>
        <w:rPr>
          <w:b/>
        </w:rPr>
      </w:pPr>
      <w:r>
        <w:t>根据《</w:t>
      </w:r>
      <w:r>
        <w:rPr>
          <w:rFonts w:hint="eastAsia"/>
        </w:rPr>
        <w:t>安徽</w:t>
      </w:r>
      <w:r>
        <w:t>省绿色建筑</w:t>
      </w:r>
      <w:r>
        <w:rPr>
          <w:rFonts w:hint="eastAsia"/>
        </w:rPr>
        <w:t>评价</w:t>
      </w:r>
      <w:r>
        <w:t>标准》规定：规划用地面积大于等于20000m2新建项目应采取雨水回用措施，雨水收集面积不少于项目规划用地面积的</w:t>
      </w:r>
      <w:r>
        <w:rPr>
          <w:rFonts w:hint="eastAsia"/>
        </w:rPr>
        <w:t>三</w:t>
      </w:r>
      <w:r>
        <w:t>分之一，或项目所有绿化、道路浇洒、水景补充水全部采用非传统水源；规划用地面积≥100</w:t>
      </w:r>
      <w:r>
        <w:rPr>
          <w:rFonts w:hint="eastAsia"/>
        </w:rPr>
        <w:t>,</w:t>
      </w:r>
      <w:r>
        <w:t>000m2的新建项目在水资源综合利用方案中应编制绿色雨水基础设施建设和雨水利用专篇。</w:t>
      </w:r>
    </w:p>
    <w:p>
      <w:pPr>
        <w:pStyle w:val="16"/>
        <w:tabs>
          <w:tab w:val="left" w:pos="3980"/>
        </w:tabs>
        <w:spacing w:before="107" w:line="338" w:lineRule="auto"/>
        <w:ind w:right="3" w:firstLine="3091" w:firstLineChars="1283"/>
        <w:jc w:val="both"/>
        <w:rPr>
          <w:rFonts w:cs="Times New Roman"/>
          <w:b/>
          <w:sz w:val="24"/>
        </w:rPr>
      </w:pPr>
      <w:r>
        <w:rPr>
          <w:rFonts w:cs="Times New Roman"/>
          <w:b/>
          <w:sz w:val="24"/>
        </w:rPr>
        <w:t>图6-</w:t>
      </w:r>
      <w:r>
        <w:rPr>
          <w:rFonts w:hint="eastAsia" w:cs="Times New Roman"/>
          <w:b/>
          <w:sz w:val="24"/>
        </w:rPr>
        <w:t xml:space="preserve">9 </w:t>
      </w:r>
      <w:r>
        <w:rPr>
          <w:rFonts w:cs="Times New Roman"/>
          <w:b/>
          <w:sz w:val="24"/>
        </w:rPr>
        <w:t>雨水蓄水设施实景效果图</w:t>
      </w:r>
    </w:p>
    <w:p>
      <w:pPr>
        <w:spacing w:before="120"/>
        <w:ind w:firstLine="560"/>
        <w:rPr>
          <w:iCs/>
        </w:rPr>
      </w:pPr>
      <w:r>
        <w:rPr>
          <w:iCs/>
        </w:rPr>
        <w:t>根据《</w:t>
      </w:r>
      <w:r>
        <w:rPr>
          <w:rFonts w:hint="eastAsia"/>
          <w:iCs/>
        </w:rPr>
        <w:t>淮北</w:t>
      </w:r>
      <w:r>
        <w:rPr>
          <w:iCs/>
        </w:rPr>
        <w:t>市海绵城市建设规划》的要求，雨水利用应在确保城市排水防洪安全的前提下，最大限度实现雨水在城市区域的积存、渗透和净化，增加雨水资源的利用途径，提高雨水资源利用率。将雨水利用与天然洼地、公园的河湖等湿地保护和湿地恢复相结合；开展住区、校园雨水利用示范，新建住宅小区按照绿色住宅小区的要求配套建设雨水收集利用系统；新建建筑物应当配套建设雨水收集利用系统，用于景观、绿化等用水；控制</w:t>
      </w:r>
      <w:r>
        <w:rPr>
          <w:rFonts w:hint="eastAsia"/>
          <w:iCs/>
        </w:rPr>
        <w:t>淮北</w:t>
      </w:r>
      <w:r>
        <w:rPr>
          <w:iCs/>
        </w:rPr>
        <w:t>城区广场道路中不透水面积的比例，防止城市地面过度硬化，在公园、绿地的规划、设计、建造时充分考虑雨水自然下渗对生态环境的积极作用。近期大力推进雨水利用示范项目建设，到2020年，雨水利用替代率不低于2%</w:t>
      </w:r>
      <w:r>
        <w:rPr>
          <w:rFonts w:hint="eastAsia"/>
          <w:iCs/>
        </w:rPr>
        <w:t>。</w:t>
      </w:r>
    </w:p>
    <w:p>
      <w:pPr>
        <w:ind w:firstLine="560"/>
      </w:pPr>
      <w:r>
        <w:rPr>
          <w:rFonts w:hint="eastAsia"/>
        </w:rPr>
        <w:drawing>
          <wp:anchor distT="0" distB="0" distL="114300" distR="114300" simplePos="0" relativeHeight="251661312" behindDoc="0" locked="0" layoutInCell="1" allowOverlap="1">
            <wp:simplePos x="0" y="0"/>
            <wp:positionH relativeFrom="column">
              <wp:posOffset>742315</wp:posOffset>
            </wp:positionH>
            <wp:positionV relativeFrom="paragraph">
              <wp:posOffset>-3528060</wp:posOffset>
            </wp:positionV>
            <wp:extent cx="4919345" cy="3902710"/>
            <wp:effectExtent l="19050" t="0" r="0" b="0"/>
            <wp:wrapTopAndBottom/>
            <wp:docPr id="26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40"/>
                    <pic:cNvPicPr>
                      <a:picLocks noChangeAspect="1" noChangeArrowheads="1"/>
                    </pic:cNvPicPr>
                  </pic:nvPicPr>
                  <pic:blipFill>
                    <a:blip r:embed="rId93"/>
                    <a:srcRect/>
                    <a:stretch>
                      <a:fillRect/>
                    </a:stretch>
                  </pic:blipFill>
                  <pic:spPr>
                    <a:xfrm>
                      <a:off x="0" y="0"/>
                      <a:ext cx="4919345" cy="3902710"/>
                    </a:xfrm>
                    <a:prstGeom prst="rect">
                      <a:avLst/>
                    </a:prstGeom>
                    <a:noFill/>
                    <a:ln w="9525">
                      <a:noFill/>
                      <a:miter lim="800000"/>
                      <a:headEnd/>
                      <a:tailEnd/>
                    </a:ln>
                  </pic:spPr>
                </pic:pic>
              </a:graphicData>
            </a:graphic>
          </wp:anchor>
        </w:drawing>
      </w:r>
      <w:r>
        <w:rPr>
          <w:rFonts w:hint="eastAsia"/>
        </w:rPr>
        <w:t>淮北市具备雨水利用的条件，并有一定的优势。根据国家节水型城市的考核标准，</w:t>
      </w:r>
      <w:r>
        <w:t>新建城区建设推行低冲击开发模式，除干旱地区外，建成区雨污分流排水体制管道覆盖率占60%以上。完成对建成区范围内易涝易淹片区排水及雨水利用设施改造</w:t>
      </w:r>
      <w:r>
        <w:rPr>
          <w:rFonts w:hint="eastAsia"/>
        </w:rPr>
        <w:t>，目前淮北市在此方面大有潜力可挖。</w:t>
      </w:r>
    </w:p>
    <w:p>
      <w:pPr>
        <w:ind w:firstLine="560"/>
      </w:pPr>
      <w:r>
        <w:rPr>
          <w:rFonts w:hint="eastAsia"/>
        </w:rPr>
        <w:t>淮北市</w:t>
      </w:r>
      <w:r>
        <w:t>雨水利用的目的是解决</w:t>
      </w:r>
      <w:r>
        <w:rPr>
          <w:rFonts w:hint="eastAsia"/>
        </w:rPr>
        <w:t>一些市政绿化用水及部分</w:t>
      </w:r>
      <w:r>
        <w:t>农</w:t>
      </w:r>
      <w:r>
        <w:rPr>
          <w:rFonts w:hint="eastAsia"/>
        </w:rPr>
        <w:t>林</w:t>
      </w:r>
      <w:r>
        <w:t>灌溉</w:t>
      </w:r>
      <w:r>
        <w:rPr>
          <w:rFonts w:hint="eastAsia"/>
        </w:rPr>
        <w:t>用水</w:t>
      </w:r>
      <w:r>
        <w:t>，其中最主要的是</w:t>
      </w:r>
      <w:r>
        <w:rPr>
          <w:rFonts w:hint="eastAsia"/>
        </w:rPr>
        <w:t>用于</w:t>
      </w:r>
      <w:r>
        <w:t>农业灌溉。目前</w:t>
      </w:r>
      <w:r>
        <w:rPr>
          <w:rFonts w:hint="eastAsia"/>
        </w:rPr>
        <w:t>淮北市</w:t>
      </w:r>
      <w:r>
        <w:t>只建设有少量雨</w:t>
      </w:r>
      <w:r>
        <w:rPr>
          <w:rFonts w:hint="eastAsia"/>
        </w:rPr>
        <w:t>水收集</w:t>
      </w:r>
      <w:r>
        <w:t>系统，雨水主要用于公共等方面的用水，如浇灌等。建议在积累经验的基础上，逐步推广雨水利用系统。</w:t>
      </w:r>
    </w:p>
    <w:p>
      <w:pPr>
        <w:ind w:firstLine="560"/>
      </w:pPr>
      <w:r>
        <w:rPr>
          <w:rFonts w:hint="eastAsia"/>
        </w:rPr>
        <w:t>（1）</w:t>
      </w:r>
      <w:r>
        <w:t>雨水</w:t>
      </w:r>
      <w:r>
        <w:rPr>
          <w:rFonts w:hint="eastAsia"/>
        </w:rPr>
        <w:t>集蓄存储上，采用屋顶、</w:t>
      </w:r>
      <w:r>
        <w:t>水窖</w:t>
      </w:r>
      <w:r>
        <w:rPr>
          <w:rFonts w:hint="eastAsia"/>
        </w:rPr>
        <w:t>和</w:t>
      </w:r>
      <w:r>
        <w:t>塘坝</w:t>
      </w:r>
      <w:r>
        <w:rPr>
          <w:rFonts w:hint="eastAsia"/>
        </w:rPr>
        <w:t>等，</w:t>
      </w:r>
      <w:r>
        <w:t>利用各种集水面收集雨水资源</w:t>
      </w:r>
      <w:r>
        <w:rPr>
          <w:rFonts w:hint="eastAsia"/>
        </w:rPr>
        <w:t>，</w:t>
      </w:r>
      <w:r>
        <w:t>经济合理地存储雨水</w:t>
      </w:r>
      <w:r>
        <w:rPr>
          <w:rFonts w:hint="eastAsia"/>
        </w:rPr>
        <w:t>。</w:t>
      </w:r>
    </w:p>
    <w:p>
      <w:pPr>
        <w:ind w:firstLine="560"/>
      </w:pPr>
      <w:r>
        <w:rPr>
          <w:rFonts w:hint="eastAsia"/>
        </w:rPr>
        <w:t>（2）</w:t>
      </w:r>
      <w:r>
        <w:t>雨水</w:t>
      </w:r>
      <w:r>
        <w:rPr>
          <w:rFonts w:hint="eastAsia"/>
        </w:rPr>
        <w:t>利用上，结合自然条件，采用自流</w:t>
      </w:r>
      <w:r>
        <w:t>灌溉</w:t>
      </w:r>
      <w:r>
        <w:rPr>
          <w:rFonts w:hint="eastAsia"/>
        </w:rPr>
        <w:t>、</w:t>
      </w:r>
      <w:r>
        <w:t>临时小型</w:t>
      </w:r>
      <w:r>
        <w:rPr>
          <w:rFonts w:hint="eastAsia"/>
        </w:rPr>
        <w:t>水</w:t>
      </w:r>
      <w:r>
        <w:t>泵</w:t>
      </w:r>
      <w:r>
        <w:rPr>
          <w:rFonts w:hint="eastAsia"/>
        </w:rPr>
        <w:t>、管道输送等，</w:t>
      </w:r>
      <w:r>
        <w:t>采用节水灌溉</w:t>
      </w:r>
      <w:r>
        <w:rPr>
          <w:rFonts w:hint="eastAsia"/>
        </w:rPr>
        <w:t>技术</w:t>
      </w:r>
      <w:r>
        <w:t>，如喷灌、滴灌、渗灌、管灌等。</w:t>
      </w:r>
    </w:p>
    <w:p>
      <w:pPr>
        <w:ind w:firstLine="560"/>
      </w:pPr>
      <w:r>
        <w:rPr>
          <w:rFonts w:hint="eastAsia"/>
        </w:rPr>
        <w:t>（3）</w:t>
      </w:r>
      <w:r>
        <w:t>雨水净化</w:t>
      </w:r>
      <w:r>
        <w:rPr>
          <w:rFonts w:hint="eastAsia"/>
        </w:rPr>
        <w:t>上，采用</w:t>
      </w:r>
      <w:r>
        <w:t>渗滤、低洼沼泽渗滤、旱井渗滤以及深沟渗滤</w:t>
      </w:r>
      <w:r>
        <w:rPr>
          <w:rFonts w:hint="eastAsia"/>
        </w:rPr>
        <w:t>等多种形式并结合雨水的物理化学处理设施设备，提高雨水的水质，供部分生活杂用</w:t>
      </w:r>
      <w:r>
        <w:t>。</w:t>
      </w:r>
    </w:p>
    <w:p>
      <w:pPr>
        <w:pStyle w:val="4"/>
      </w:pPr>
      <w:bookmarkStart w:id="398" w:name="_Toc531180142"/>
      <w:bookmarkStart w:id="399" w:name="_Toc8032645"/>
      <w:r>
        <w:rPr>
          <w:rFonts w:hint="eastAsia"/>
        </w:rPr>
        <w:t>6.5</w:t>
      </w:r>
      <w:r>
        <w:t>.3</w:t>
      </w:r>
      <w:r>
        <w:rPr>
          <w:rFonts w:hint="eastAsia"/>
        </w:rPr>
        <w:t>矿井水利用</w:t>
      </w:r>
      <w:bookmarkEnd w:id="398"/>
      <w:bookmarkEnd w:id="399"/>
    </w:p>
    <w:p>
      <w:pPr>
        <w:spacing w:before="120"/>
        <w:ind w:firstLine="560"/>
      </w:pPr>
      <w:r>
        <w:rPr>
          <w:rFonts w:hint="eastAsia"/>
        </w:rPr>
        <w:t>矿井水的利用一是可考虑将矿井坑内用水在坑内回用，满足采矿工艺用水需求，二是</w:t>
      </w:r>
      <w:r>
        <w:t>将</w:t>
      </w:r>
      <w:r>
        <w:rPr>
          <w:rFonts w:hint="eastAsia"/>
        </w:rPr>
        <w:t>淮北</w:t>
      </w:r>
      <w:r>
        <w:t>市矿井井水利用与矿区及周围生活、生产和生态用水有机结合。坚持政府支持和市场机制相结合，通过市场化运作，促进矿井水利用的产业化发展。对矿井水由本企业回收利用的，可在相关税费征收上给予一定的优惠</w:t>
      </w:r>
      <w:r>
        <w:rPr>
          <w:rFonts w:hint="eastAsia"/>
        </w:rPr>
        <w:t>，减少排水费用</w:t>
      </w:r>
      <w:r>
        <w:t>。</w:t>
      </w:r>
    </w:p>
    <w:p>
      <w:pPr>
        <w:widowControl/>
        <w:autoSpaceDE/>
        <w:autoSpaceDN/>
        <w:adjustRightInd/>
        <w:spacing w:line="240" w:lineRule="auto"/>
        <w:ind w:firstLine="0" w:firstLineChars="0"/>
      </w:pPr>
      <w:r>
        <w:br w:type="page"/>
      </w:r>
    </w:p>
    <w:p>
      <w:pPr>
        <w:pStyle w:val="2"/>
        <w:spacing w:before="120"/>
        <w:ind w:firstLine="0" w:firstLineChars="0"/>
      </w:pPr>
      <w:bookmarkStart w:id="400" w:name="_Toc531180143"/>
      <w:bookmarkStart w:id="401" w:name="_Toc8032646"/>
      <w:r>
        <w:rPr>
          <w:rFonts w:hint="eastAsia"/>
        </w:rPr>
        <w:t>第七章  城市节水政策措施建设</w:t>
      </w:r>
      <w:bookmarkEnd w:id="400"/>
      <w:bookmarkEnd w:id="401"/>
    </w:p>
    <w:p>
      <w:pPr>
        <w:ind w:firstLine="560"/>
      </w:pPr>
      <w:bookmarkStart w:id="402" w:name="_Toc471995053"/>
      <w:r>
        <w:rPr>
          <w:rFonts w:hint="eastAsia"/>
        </w:rPr>
        <w:t>对于城市节约用水而言，节水意识是根本，节水政策是导向，节水技术是保障。要以这三个方面位抓手，以工业节水，生活节水，农业节水为突破，全面促进节水型城市和节水型社会建设。其中节水政策作为城市节水工作的导向，具有重要作用。因此，需结合淮北市现状，制定切实可行的政策规划，以引导全社会节水工作。</w:t>
      </w:r>
    </w:p>
    <w:p>
      <w:pPr>
        <w:pStyle w:val="3"/>
        <w:spacing w:before="120" w:after="60"/>
        <w:ind w:firstLine="602"/>
        <w:rPr>
          <w:rFonts w:ascii="Times New Roman" w:hAnsi="Times New Roman"/>
        </w:rPr>
      </w:pPr>
      <w:bookmarkStart w:id="403" w:name="_Toc8032647"/>
      <w:bookmarkStart w:id="404" w:name="_Toc531180144"/>
      <w:r>
        <w:rPr>
          <w:rFonts w:hint="eastAsia" w:ascii="Times New Roman" w:hAnsi="Times New Roman"/>
        </w:rPr>
        <w:t>7.1</w:t>
      </w:r>
      <w:r>
        <w:rPr>
          <w:rFonts w:ascii="Times New Roman" w:hAnsi="Times New Roman"/>
        </w:rPr>
        <w:t>完善</w:t>
      </w:r>
      <w:r>
        <w:rPr>
          <w:rFonts w:hint="eastAsia" w:ascii="Times New Roman" w:hAnsi="Times New Roman"/>
        </w:rPr>
        <w:t>节水</w:t>
      </w:r>
      <w:r>
        <w:rPr>
          <w:rFonts w:ascii="Times New Roman" w:hAnsi="Times New Roman"/>
        </w:rPr>
        <w:t>法规</w:t>
      </w:r>
      <w:bookmarkEnd w:id="403"/>
      <w:bookmarkEnd w:id="404"/>
      <w:r>
        <w:rPr>
          <w:rFonts w:hint="eastAsia" w:ascii="Times New Roman" w:hAnsi="Times New Roman"/>
        </w:rPr>
        <w:t>政策</w:t>
      </w:r>
    </w:p>
    <w:p>
      <w:pPr>
        <w:ind w:firstLine="560"/>
      </w:pPr>
      <w:r>
        <w:t>根据《中华人民共和国水法》、国务院批准施行的建设部《城市节约用水管理规定》（第1号令）等节水法律法规，地方各级政府、住房城乡建设和节水机构等，都要结合当地实际，制定城市节水法规，强化依法节水，依法行政。国务院《水污染防治行动计划》完善法规标准中要求，加快节水及循环利用的法律法规。各地可结合实际，制定地方法规。</w:t>
      </w:r>
    </w:p>
    <w:p>
      <w:pPr>
        <w:ind w:firstLine="560"/>
      </w:pPr>
      <w:r>
        <w:t>结合国家已经制定的相关法律、规范和标准等，</w:t>
      </w:r>
      <w:r>
        <w:rPr>
          <w:rFonts w:hint="eastAsia"/>
        </w:rPr>
        <w:t>淮北</w:t>
      </w:r>
      <w:r>
        <w:t>市</w:t>
      </w:r>
      <w:r>
        <w:rPr>
          <w:rFonts w:hint="eastAsia"/>
        </w:rPr>
        <w:t>应</w:t>
      </w:r>
      <w:r>
        <w:t>建立健全地方法规或政府规范性文件，明确</w:t>
      </w:r>
      <w:r>
        <w:rPr>
          <w:rFonts w:hint="eastAsia"/>
        </w:rPr>
        <w:t>进一步推广利用中水有关办法，完善出台供水、节水、计划用水、排水等相关规范性文件，形成完善的节水制度体系。</w:t>
      </w:r>
    </w:p>
    <w:p>
      <w:pPr>
        <w:ind w:firstLine="560"/>
      </w:pPr>
      <w:r>
        <w:t>研究制定</w:t>
      </w:r>
      <w:r>
        <w:rPr>
          <w:rFonts w:hint="eastAsia"/>
        </w:rPr>
        <w:t>淮北</w:t>
      </w:r>
      <w:r>
        <w:t>市开展节水科技发展的科技政策，促进节水科技发展。</w:t>
      </w:r>
    </w:p>
    <w:p>
      <w:pPr>
        <w:ind w:firstLine="560"/>
      </w:pPr>
      <w:r>
        <w:t>根据</w:t>
      </w:r>
      <w:r>
        <w:rPr>
          <w:rFonts w:hint="eastAsia"/>
        </w:rPr>
        <w:t>淮北</w:t>
      </w:r>
      <w:r>
        <w:t>市工业发展，制定工业生产用水清洁技术措施，研究制订工业废水再生回用和城市再生水用于工业的技术政策和价格政策。</w:t>
      </w:r>
    </w:p>
    <w:p>
      <w:pPr>
        <w:ind w:firstLine="560"/>
      </w:pPr>
      <w:r>
        <w:t>研究制定工业企业、单位和居民小区节水技改、水平衡测试、三级计量、老旧卫生器具更新换代等节水政策，推进节水进入新阶段。</w:t>
      </w:r>
    </w:p>
    <w:p>
      <w:pPr>
        <w:ind w:firstLine="560"/>
      </w:pPr>
      <w:r>
        <w:rPr>
          <w:rFonts w:hint="eastAsia"/>
        </w:rPr>
        <w:t>积极推进城市供水价格的改革，在供水企业保本微利的基础上，从水资源可持续利用角度出发促进和推动城市水资源费和城市污水处理收费标准的提高，使水价在节约用水中切实发挥经济杠杆作用。加大水价改革和污水处理收费的宣传力度，理顺和逐步提高城市供水价格和污水处理收费标准，促进城市节约用水和污水的减量排放。实行民主协商制度，增强水价制度的透明度。供水价格应当按照补偿成本、合理收益、优质优价、公平负担的原则确定。</w:t>
      </w:r>
    </w:p>
    <w:p>
      <w:pPr>
        <w:ind w:firstLine="560"/>
      </w:pPr>
      <w:r>
        <w:t>制定鼓励中水运行使用的合理中水价格政策，确保中水设施能够持续稳定安全的运行。再生水主管部门应对再生水生产企业的运行管理进行监督。再生水用户和供水企业采用合同或协议形式，对再生水的供水水量、水质及水压、计量、收费和安全使用等具体事项做出明确保证，以增强再生水用户的信心和安全感。同时，对景观环境、市政、园林绿化、环保、生活杂用水等公共设施</w:t>
      </w:r>
      <w:r>
        <w:rPr>
          <w:rFonts w:hint="eastAsia"/>
        </w:rPr>
        <w:t>有条件使用再生水的，用经济及行政手段，鼓励使用再生水</w:t>
      </w:r>
      <w:r>
        <w:t>。</w:t>
      </w:r>
    </w:p>
    <w:p>
      <w:pPr>
        <w:pStyle w:val="3"/>
        <w:spacing w:before="120" w:after="60"/>
        <w:ind w:firstLine="602"/>
        <w:rPr>
          <w:rFonts w:ascii="Times New Roman" w:hAnsi="Times New Roman"/>
        </w:rPr>
      </w:pPr>
      <w:bookmarkStart w:id="405" w:name="_TOC_250023"/>
      <w:bookmarkEnd w:id="405"/>
      <w:bookmarkStart w:id="406" w:name="_Toc8032649"/>
      <w:bookmarkStart w:id="407" w:name="_Toc531180146"/>
      <w:r>
        <w:rPr>
          <w:rFonts w:hint="eastAsia" w:ascii="Times New Roman" w:hAnsi="Times New Roman"/>
        </w:rPr>
        <w:t>7.2</w:t>
      </w:r>
      <w:r>
        <w:rPr>
          <w:rFonts w:ascii="Times New Roman" w:hAnsi="Times New Roman"/>
        </w:rPr>
        <w:t>强化城市规划引领制度</w:t>
      </w:r>
      <w:bookmarkEnd w:id="406"/>
      <w:bookmarkEnd w:id="407"/>
    </w:p>
    <w:p>
      <w:pPr>
        <w:ind w:firstLine="560"/>
      </w:pPr>
      <w:r>
        <w:t>城市节水规划是城市节水建设和管理的基本依据，对城市节水具有宏观调控和指导作用。通过城市节水规划可以有效配置水资源，并对城市空间布局、资源配置、产业结构调整等产生影响，引导城市可持续发展。</w:t>
      </w:r>
    </w:p>
    <w:p>
      <w:pPr>
        <w:ind w:firstLine="560"/>
      </w:pPr>
      <w:r>
        <w:t>节水规划通过行政、技术、经济等管理手段加强城市用水节水管理，调整用水结构，改进用水工艺，实行计划用水，杜绝用水浪费，运用先进的科学技术建立科学的用水体系，有效地使用水资源，保护水生态、水环境、水安全、水资源，适应城市经济社会可持续发展的需要。</w:t>
      </w:r>
    </w:p>
    <w:p>
      <w:pPr>
        <w:ind w:firstLine="560"/>
      </w:pPr>
      <w:r>
        <w:t>强化城市节水规划的引领制度，就是要求城市各层级、各相关专业规划以及后续的建设程序中，都应落实节约用水的原则和制度，先规划后建设，体现规划的科学性和权威性，发挥规划的控制和引领作用。</w:t>
      </w:r>
    </w:p>
    <w:p>
      <w:pPr>
        <w:pStyle w:val="3"/>
        <w:spacing w:before="120" w:after="60"/>
        <w:ind w:firstLine="602"/>
        <w:rPr>
          <w:rFonts w:ascii="Times New Roman" w:hAnsi="Times New Roman"/>
        </w:rPr>
      </w:pPr>
      <w:bookmarkStart w:id="408" w:name="_TOC_250022"/>
      <w:bookmarkEnd w:id="408"/>
      <w:bookmarkStart w:id="409" w:name="_Toc531180147"/>
      <w:bookmarkStart w:id="410" w:name="_Toc8032650"/>
      <w:r>
        <w:rPr>
          <w:rFonts w:hint="eastAsia" w:ascii="Times New Roman" w:hAnsi="Times New Roman"/>
        </w:rPr>
        <w:t>7.3</w:t>
      </w:r>
      <w:r>
        <w:rPr>
          <w:rFonts w:ascii="Times New Roman" w:hAnsi="Times New Roman"/>
        </w:rPr>
        <w:t>建立节水奖惩制度</w:t>
      </w:r>
      <w:bookmarkEnd w:id="409"/>
      <w:bookmarkEnd w:id="410"/>
    </w:p>
    <w:p>
      <w:pPr>
        <w:ind w:firstLine="560"/>
        <w:jc w:val="both"/>
      </w:pPr>
      <w:r>
        <w:rPr>
          <w:rFonts w:hint="eastAsia"/>
        </w:rPr>
        <w:t>以计划用水管理和节水载体建设为抓手，完善节水奖惩制度，实行节奖超罚。</w:t>
      </w:r>
    </w:p>
    <w:p>
      <w:pPr>
        <w:ind w:firstLine="560"/>
        <w:jc w:val="both"/>
      </w:pPr>
      <w:r>
        <w:rPr>
          <w:rFonts w:hint="eastAsia"/>
        </w:rPr>
        <w:t>积极鼓励</w:t>
      </w:r>
      <w:r>
        <w:t>企业单位内</w:t>
      </w:r>
      <w:r>
        <w:rPr>
          <w:rFonts w:hint="eastAsia"/>
        </w:rPr>
        <w:t>部</w:t>
      </w:r>
      <w:r>
        <w:t>建立节水奖惩制度，定期对节水先进个人和部门进行奖励，对不达标的进行罚款等惩罚措施，促进节水。</w:t>
      </w:r>
    </w:p>
    <w:p>
      <w:pPr>
        <w:pStyle w:val="3"/>
        <w:spacing w:before="120" w:after="60"/>
        <w:ind w:firstLine="602"/>
        <w:rPr>
          <w:rFonts w:ascii="Times New Roman" w:hAnsi="Times New Roman"/>
        </w:rPr>
      </w:pPr>
      <w:bookmarkStart w:id="411" w:name="_TOC_250019"/>
      <w:bookmarkEnd w:id="411"/>
      <w:bookmarkStart w:id="412" w:name="_TOC_250021"/>
      <w:bookmarkEnd w:id="412"/>
      <w:bookmarkStart w:id="413" w:name="_Toc531180148"/>
      <w:bookmarkStart w:id="414" w:name="_Toc8032651"/>
      <w:r>
        <w:rPr>
          <w:rFonts w:hint="eastAsia" w:ascii="Times New Roman" w:hAnsi="Times New Roman"/>
        </w:rPr>
        <w:t>7.4</w:t>
      </w:r>
      <w:r>
        <w:rPr>
          <w:rFonts w:ascii="Times New Roman" w:hAnsi="Times New Roman"/>
        </w:rPr>
        <w:t>严格实施计划用水和定额管理制度</w:t>
      </w:r>
      <w:bookmarkEnd w:id="413"/>
      <w:bookmarkEnd w:id="414"/>
    </w:p>
    <w:p>
      <w:pPr>
        <w:ind w:firstLine="560"/>
      </w:pPr>
      <w:r>
        <w:t>计划用水包括计划的制定、下达、考核三个环节。由于用水计划涉及到每一个非居民用户，亦可能出现多次调整用水计划的情况发生，工作量大，要求高，加之社会的法制意识在不断提高，因此，要求在实际工作中必须高度重视用水计划的工作，准确严格，杜绝随意性，避免出现纷争。制定计划用水管理办法，明确用水计划制定的依据、方法、程序和考核办法，给予广大用户知情权非常重要。为快速准确制定下达用水计划，可借助于节水信息化网络平台。为鼓励水平衡测试、节水载体建设和节水创新等，制定计划时可适当向类似基础工作好的单位倾斜。</w:t>
      </w:r>
    </w:p>
    <w:p>
      <w:pPr>
        <w:ind w:firstLine="560"/>
      </w:pPr>
      <w:r>
        <w:t>进一步制定《</w:t>
      </w:r>
      <w:r>
        <w:rPr>
          <w:rFonts w:hint="eastAsia"/>
        </w:rPr>
        <w:t>淮北</w:t>
      </w:r>
      <w:r>
        <w:t>市</w:t>
      </w:r>
      <w:r>
        <w:rPr>
          <w:rFonts w:hint="eastAsia"/>
        </w:rPr>
        <w:t>行业</w:t>
      </w:r>
      <w:r>
        <w:t>用水定额》，</w:t>
      </w:r>
      <w:r>
        <w:rPr>
          <w:rFonts w:hint="eastAsia"/>
        </w:rPr>
        <w:t>其中生活类用水定额</w:t>
      </w:r>
      <w:r>
        <w:t>可分为两大类：城镇居民生活用水定额和城镇公共生活用水定额。城镇公共生活用水定额可分为机关、宾馆、学校、医院、餐饮、商业、写字楼、文体、洗浴、绿化、洗车、其他等用水类别分别编制。</w:t>
      </w:r>
    </w:p>
    <w:p>
      <w:pPr>
        <w:pStyle w:val="3"/>
        <w:spacing w:before="120" w:after="60"/>
        <w:ind w:firstLine="602"/>
        <w:rPr>
          <w:rFonts w:ascii="Times New Roman" w:hAnsi="Times New Roman"/>
        </w:rPr>
      </w:pPr>
      <w:bookmarkStart w:id="415" w:name="_TOC_250017"/>
      <w:bookmarkEnd w:id="415"/>
      <w:bookmarkStart w:id="416" w:name="_TOC_250018"/>
      <w:bookmarkEnd w:id="416"/>
      <w:bookmarkStart w:id="417" w:name="_Toc531180149"/>
      <w:bookmarkStart w:id="418" w:name="_Toc8032652"/>
      <w:r>
        <w:rPr>
          <w:rFonts w:hint="eastAsia" w:ascii="Times New Roman" w:hAnsi="Times New Roman"/>
        </w:rPr>
        <w:t>7.5积极</w:t>
      </w:r>
      <w:r>
        <w:rPr>
          <w:rFonts w:ascii="Times New Roman" w:hAnsi="Times New Roman"/>
        </w:rPr>
        <w:t>推进“节水三同时”管理制度</w:t>
      </w:r>
      <w:bookmarkEnd w:id="417"/>
      <w:bookmarkEnd w:id="418"/>
    </w:p>
    <w:p>
      <w:pPr>
        <w:ind w:firstLine="560"/>
      </w:pPr>
      <w:r>
        <w:t>《中华人民共和国水法》第53条，新建、扩建、改建建设项目，应当制订节水措施方案，配套建设节水措施。节水设施应当与主体工程同时设计、同时施工、同时投产。</w:t>
      </w:r>
      <w:r>
        <w:rPr>
          <w:rFonts w:hint="eastAsia"/>
        </w:rPr>
        <w:t>由于当前</w:t>
      </w:r>
      <w:r>
        <w:t>节水三同时</w:t>
      </w:r>
      <w:r>
        <w:rPr>
          <w:rFonts w:hint="eastAsia"/>
        </w:rPr>
        <w:t>难以和施工图审查等相关国家规范衔接，淮北市</w:t>
      </w:r>
      <w:r>
        <w:t>应</w:t>
      </w:r>
      <w:r>
        <w:rPr>
          <w:rFonts w:hint="eastAsia"/>
        </w:rPr>
        <w:t>积极探索节水三同时管理落实的方法、路径和机制。</w:t>
      </w:r>
    </w:p>
    <w:p>
      <w:pPr>
        <w:pStyle w:val="3"/>
        <w:spacing w:before="120" w:after="60"/>
        <w:ind w:firstLine="602"/>
        <w:rPr>
          <w:rFonts w:ascii="Times New Roman" w:hAnsi="Times New Roman"/>
        </w:rPr>
      </w:pPr>
      <w:bookmarkStart w:id="419" w:name="_TOC_250016"/>
      <w:bookmarkEnd w:id="419"/>
      <w:bookmarkStart w:id="420" w:name="_Toc8032653"/>
      <w:bookmarkStart w:id="421" w:name="_Toc531180150"/>
      <w:r>
        <w:rPr>
          <w:rFonts w:hint="eastAsia" w:ascii="Times New Roman" w:hAnsi="Times New Roman"/>
        </w:rPr>
        <w:t>7.6</w:t>
      </w:r>
      <w:r>
        <w:rPr>
          <w:rFonts w:ascii="Times New Roman" w:hAnsi="Times New Roman"/>
        </w:rPr>
        <w:t>建立节水产品</w:t>
      </w:r>
      <w:bookmarkEnd w:id="420"/>
      <w:bookmarkEnd w:id="421"/>
      <w:r>
        <w:rPr>
          <w:rFonts w:hint="eastAsia" w:ascii="Times New Roman" w:hAnsi="Times New Roman"/>
        </w:rPr>
        <w:t>推荐使用名录</w:t>
      </w:r>
    </w:p>
    <w:p>
      <w:pPr>
        <w:ind w:firstLine="560"/>
      </w:pPr>
      <w:r>
        <w:t>（1）</w:t>
      </w:r>
      <w:r>
        <w:rPr>
          <w:rFonts w:hint="eastAsia"/>
        </w:rPr>
        <w:t>落实</w:t>
      </w:r>
      <w:r>
        <w:t>用水效率标识制度。</w:t>
      </w:r>
      <w:r>
        <w:rPr>
          <w:rFonts w:hint="eastAsia"/>
        </w:rPr>
        <w:t>落实</w:t>
      </w:r>
      <w:r>
        <w:t>用水效率标识制度</w:t>
      </w:r>
      <w:r>
        <w:rPr>
          <w:rFonts w:hint="eastAsia"/>
        </w:rPr>
        <w:t>，出台淮北市节水器具推荐使用名录，通过报纸、电视、新媒体等合适途径，向市民发布</w:t>
      </w:r>
      <w:r>
        <w:t>。</w:t>
      </w:r>
    </w:p>
    <w:p>
      <w:pPr>
        <w:ind w:firstLine="560"/>
      </w:pPr>
      <w:r>
        <w:t>（2）</w:t>
      </w:r>
      <w:r>
        <w:rPr>
          <w:rFonts w:hint="eastAsia"/>
        </w:rPr>
        <w:t>强化节水产品销售场所市场监督检查</w:t>
      </w:r>
      <w:r>
        <w:t>。</w:t>
      </w:r>
      <w:r>
        <w:rPr>
          <w:rFonts w:hint="eastAsia"/>
        </w:rPr>
        <w:t>对规划区范围内的用水器具销售场所开展专项检查，禁售国家明令淘汰用水器具</w:t>
      </w:r>
      <w:r>
        <w:t>。</w:t>
      </w:r>
    </w:p>
    <w:p>
      <w:pPr>
        <w:ind w:firstLine="560"/>
      </w:pPr>
      <w:r>
        <w:t>（3）实施高效节水产品“以旧换新”。制定和实施坐便器、水嘴等用水产品“以旧换新”政策，结合水效标识管理办法和水效国家强制性标准，</w:t>
      </w:r>
      <w:r>
        <w:rPr>
          <w:rFonts w:hint="eastAsia"/>
        </w:rPr>
        <w:t>积极开展</w:t>
      </w:r>
      <w:r>
        <w:t>“以旧换新”活动</w:t>
      </w:r>
      <w:r>
        <w:rPr>
          <w:rFonts w:hint="eastAsia"/>
        </w:rPr>
        <w:t>，</w:t>
      </w:r>
      <w:r>
        <w:t>推动非节水型产品换装改造。地方政府投入专项资金，激励用水户和</w:t>
      </w:r>
      <w:r>
        <w:rPr>
          <w:rFonts w:hint="eastAsia"/>
        </w:rPr>
        <w:t>供水</w:t>
      </w:r>
      <w:r>
        <w:t>企业广泛参与。</w:t>
      </w:r>
    </w:p>
    <w:p>
      <w:pPr>
        <w:pStyle w:val="3"/>
        <w:spacing w:before="120" w:after="60"/>
        <w:ind w:firstLine="602"/>
        <w:rPr>
          <w:rFonts w:ascii="Times New Roman" w:hAnsi="Times New Roman"/>
        </w:rPr>
      </w:pPr>
      <w:bookmarkStart w:id="422" w:name="_TOC_250015"/>
      <w:bookmarkEnd w:id="422"/>
      <w:bookmarkStart w:id="423" w:name="_Toc531180151"/>
      <w:bookmarkStart w:id="424" w:name="_Toc8032654"/>
      <w:r>
        <w:rPr>
          <w:rFonts w:hint="eastAsia" w:ascii="Times New Roman" w:hAnsi="Times New Roman"/>
        </w:rPr>
        <w:t>7.7鼓励和促进</w:t>
      </w:r>
      <w:r>
        <w:rPr>
          <w:rFonts w:ascii="Times New Roman" w:hAnsi="Times New Roman"/>
        </w:rPr>
        <w:t>合同节水管理制度</w:t>
      </w:r>
      <w:bookmarkEnd w:id="423"/>
      <w:bookmarkEnd w:id="424"/>
    </w:p>
    <w:p>
      <w:pPr>
        <w:ind w:firstLine="560"/>
      </w:pPr>
      <w:r>
        <w:t>2016年7月，国家发改委、水利部和税务总局联合下发了《关于推行合同节水管理促进节水服务产业发展的意见》，根据意见要求，到2020年，合同节水管理成为公共机构、企业等用水户实施节水改造的重要方式之一，培育一批具有专业技术、融资能力强的节水服务企业，一大批先进适用的节水技术、工艺、装备和产品得到推广应用，形成科学有效的合同节水管理政策制度体系，节水服务市场竞争有序，发展环境进一步优化，用水效率和效益逐步提高，节水服务产业快速健康发展。</w:t>
      </w:r>
    </w:p>
    <w:p>
      <w:pPr>
        <w:ind w:firstLine="560"/>
      </w:pPr>
      <w:r>
        <w:rPr>
          <w:rFonts w:hint="eastAsia"/>
        </w:rPr>
        <w:t>建议淮北市在</w:t>
      </w:r>
      <w:r>
        <w:t>公共机构</w:t>
      </w:r>
      <w:r>
        <w:rPr>
          <w:rFonts w:hint="eastAsia"/>
        </w:rPr>
        <w:t>、</w:t>
      </w:r>
      <w:r>
        <w:t>公共建筑</w:t>
      </w:r>
      <w:r>
        <w:rPr>
          <w:rFonts w:hint="eastAsia"/>
        </w:rPr>
        <w:t xml:space="preserve">等领域开展合同节水试点，在试点基础上，总结经验，逐步向全市推广。 </w:t>
      </w:r>
      <w:bookmarkStart w:id="425" w:name="_TOC_250012"/>
      <w:bookmarkEnd w:id="425"/>
      <w:bookmarkStart w:id="426" w:name="_TOC_250013"/>
      <w:bookmarkEnd w:id="426"/>
    </w:p>
    <w:p>
      <w:pPr>
        <w:pStyle w:val="3"/>
        <w:spacing w:before="120" w:after="60"/>
        <w:ind w:firstLine="602"/>
        <w:rPr>
          <w:rFonts w:ascii="Times New Roman" w:hAnsi="Times New Roman"/>
        </w:rPr>
      </w:pPr>
      <w:bookmarkStart w:id="427" w:name="_Toc8032655"/>
      <w:bookmarkStart w:id="428" w:name="_Toc531180152"/>
      <w:r>
        <w:rPr>
          <w:rFonts w:hint="eastAsia" w:ascii="Times New Roman" w:hAnsi="Times New Roman"/>
        </w:rPr>
        <w:t>7.8</w:t>
      </w:r>
      <w:r>
        <w:rPr>
          <w:rFonts w:ascii="Times New Roman" w:hAnsi="Times New Roman"/>
        </w:rPr>
        <w:t>吸引社会资本机制建设</w:t>
      </w:r>
      <w:bookmarkEnd w:id="427"/>
      <w:bookmarkEnd w:id="428"/>
    </w:p>
    <w:p>
      <w:pPr>
        <w:ind w:firstLine="560"/>
      </w:pPr>
      <w:r>
        <w:t>实行统一市场准入，创造平等投资机会；创新投资运营机制，扩大社会资本投资途径；优化政府投资使用方向和方式，发挥引导带动作用；创新融资方式，拓宽融资渠道；完善价格形成机制，发挥价格杠杆作用。</w:t>
      </w:r>
    </w:p>
    <w:p>
      <w:pPr>
        <w:ind w:firstLine="560"/>
      </w:pPr>
      <w:r>
        <w:t>创新城市节水管理投资运营机制，鼓励社会资本积极参与城市节水工作，支持符合条件的经营主体投资城市节水项目；推动城市节水工作的市场化，在</w:t>
      </w:r>
      <w:r>
        <w:rPr>
          <w:rFonts w:hint="eastAsia"/>
        </w:rPr>
        <w:t>淮北</w:t>
      </w:r>
      <w:r>
        <w:t>市的重点工业企业，</w:t>
      </w:r>
      <w:r>
        <w:rPr>
          <w:rFonts w:hint="eastAsia"/>
        </w:rPr>
        <w:t>可积极</w:t>
      </w:r>
      <w:r>
        <w:t>推行城市节水的第三方介入，通过委托服务、托管运营服务等方式，由节水改造单位付费购买专业节水服务公司的改造服务工作，提高节水的专业化、系统化程度。</w:t>
      </w:r>
    </w:p>
    <w:bookmarkEnd w:id="402"/>
    <w:p>
      <w:pPr>
        <w:pStyle w:val="3"/>
        <w:spacing w:before="120" w:after="60"/>
        <w:ind w:firstLine="602"/>
        <w:rPr>
          <w:rFonts w:ascii="Times New Roman" w:hAnsi="Times New Roman"/>
        </w:rPr>
      </w:pPr>
      <w:bookmarkStart w:id="429" w:name="_Toc8032656"/>
      <w:bookmarkStart w:id="430" w:name="_Toc471995055"/>
      <w:bookmarkStart w:id="431" w:name="_Toc531180153"/>
      <w:r>
        <w:rPr>
          <w:rFonts w:hint="eastAsia" w:ascii="Times New Roman" w:hAnsi="Times New Roman"/>
        </w:rPr>
        <w:t>7.9强化节水型企业体制建设</w:t>
      </w:r>
      <w:bookmarkEnd w:id="429"/>
      <w:bookmarkEnd w:id="430"/>
      <w:bookmarkEnd w:id="431"/>
    </w:p>
    <w:p>
      <w:pPr>
        <w:ind w:firstLine="560"/>
      </w:pPr>
      <w:r>
        <w:rPr>
          <w:rFonts w:hint="eastAsia"/>
        </w:rPr>
        <w:t>重点抓好火力发电、纺织、化工及煤化工、食品等高用水行业的节水工作。在合理调整布局，加快产业结构调整、严格市场准入及限制高消耗、高排放、低效率、产能过剩行业盲目发展的同时，通过用水计划管理，加强总量控制、定额管理、系统节水改造及非常规水源利用等措施，降低工业企业单位产品取水量。新建工业企业要按照高标准节水要求建设，严格进行水资源论证。现有的企业要结合技术改造对系统用水进行改造，淘汰落后的用水技术设施。要严格按照国家有关标准配备符合要求的用水计量器具，加强水计量数据的应用与管理，减少排放，提高水资源利用效率。</w:t>
      </w:r>
    </w:p>
    <w:p>
      <w:pPr>
        <w:ind w:firstLine="560"/>
      </w:pPr>
      <w:r>
        <w:rPr>
          <w:rFonts w:hint="eastAsia"/>
        </w:rPr>
        <w:t>（1）按照绿色发展要求调整产业布局</w:t>
      </w:r>
    </w:p>
    <w:p>
      <w:pPr>
        <w:ind w:firstLine="560"/>
      </w:pPr>
      <w:r>
        <w:rPr>
          <w:rFonts w:hint="eastAsia"/>
        </w:rPr>
        <w:t>强化资源环境准入标准，鼓励新型绿色产业建设，调整现有产业布局，在重点工业项目上试行先进性评估制度；以节水减排为核心，结合转型升级要求，针对用水效率低、水污染严重的落后产能，制定并实施分年度的淘汰方案；在工业转型升级中，大力推广节水环保的新技术、新工艺，广泛应用新材料、新设备，不断增加低耗水、低排放高新技术产业、高端制造业和现代服务业的比重；大力发展现代产业，加快产业转型步伐，增创产业发展新优势，提高经济发展质量和效益，将水资源要素向产业园区倾斜。</w:t>
      </w:r>
    </w:p>
    <w:p>
      <w:pPr>
        <w:ind w:firstLine="560"/>
      </w:pPr>
      <w:r>
        <w:rPr>
          <w:rFonts w:hint="eastAsia"/>
        </w:rPr>
        <w:t>（2）加大高耗水行业节水减排改造力度</w:t>
      </w:r>
    </w:p>
    <w:p>
      <w:pPr>
        <w:ind w:firstLine="560"/>
      </w:pPr>
      <w:r>
        <w:rPr>
          <w:rFonts w:hint="eastAsia"/>
        </w:rPr>
        <w:t>实施强制性节水用水措施与标准，严格执行国家工业行业淘汰落后生产工艺装备和产品指导目录、产业结构调整指导目录，省工业和信息产业结构调整限制、淘汰目录和能耗限额；加快对高耗水企业实施节水减排工艺改造，在全市开展高耗水高污染行业节水专项行动；鼓励企业依靠科技进步，积极研发先进适用的节水减排技术；大力推广工业水循环利用、高效冷却、洗涤节水等节水工艺和技术。</w:t>
      </w:r>
    </w:p>
    <w:p>
      <w:pPr>
        <w:ind w:firstLine="560"/>
      </w:pPr>
      <w:r>
        <w:rPr>
          <w:rFonts w:hint="eastAsia"/>
        </w:rPr>
        <w:t>（3）规范企业节水和用水管理</w:t>
      </w:r>
    </w:p>
    <w:p>
      <w:pPr>
        <w:ind w:firstLine="560"/>
      </w:pPr>
      <w:r>
        <w:rPr>
          <w:rFonts w:hint="eastAsia"/>
        </w:rPr>
        <w:t>强化用水定额管理，建立高耗水企业负面清单，倒逼企业淘汰落后工艺及技术，预计规划期内，全市万元工业增加值用水量达到全国先进定额标准。对单位产品用水量超过行业用水定额的工业企业，不批准其新增取水或者增加计划用水量。严格规范取水许可审批，开展取水户年度用水计划管理，对不符合国家产业政策或列入淘汰目录的，或产品不符合行业用水定额标准的取水项目，一律不予批准。到</w:t>
      </w:r>
      <w:r>
        <w:t>2020</w:t>
      </w:r>
      <w:r>
        <w:rPr>
          <w:rFonts w:hint="eastAsia"/>
        </w:rPr>
        <w:t>年，实现取水许可审批和发证率达</w:t>
      </w:r>
      <w:r>
        <w:t>100%</w:t>
      </w:r>
      <w:r>
        <w:rPr>
          <w:rFonts w:hint="eastAsia"/>
        </w:rPr>
        <w:t>。要求用水大户、污染大户按照国家有关标准配备符合要求的用水、排水计量器具，促进数据共享，建立完善重要大户用水台账，强化用水计量和统计。从企业的取水、排水两端实行严格控制，规范企业用水、排水统计报表，加强自身的用水管理，树立节水减排的用水意识。工业企业内部应加强用水管理，建立节约用水管理制度，使用先进节约用水技术、工艺和设备，采取循环用水、综合利用及废水处理回用等措施，实施节水技术改造，降低用水消耗，提高水的重复利用率等。公共供水企业应当采用先进制水技术，加强制水环节的管理，减少制水水量损耗。</w:t>
      </w:r>
    </w:p>
    <w:p>
      <w:pPr>
        <w:ind w:firstLine="560"/>
      </w:pPr>
      <w:r>
        <w:rPr>
          <w:rFonts w:hint="eastAsia"/>
        </w:rPr>
        <w:t>（4）建立绿色低碳循环发展产业体系</w:t>
      </w:r>
    </w:p>
    <w:p>
      <w:pPr>
        <w:ind w:firstLine="560"/>
      </w:pPr>
      <w:r>
        <w:rPr>
          <w:rFonts w:hint="eastAsia"/>
        </w:rPr>
        <w:t>实施工业园区节水改造工程，持续推进全市园区循环化改造，推广区内企业串联用水、再生水利用等节约用水技术，全面提升园区的单位水资源产出率。重点围绕水资源保护、水环境治理、水生态修复，积极引入蒸汽冷凝水回收再利用技术、外排废水回用和“零排放”技术等先进技术，促进水资源循环利用，提高水的重复利用率。鼓励园区开展废水分类收集、分质处理及深度处理回用。</w:t>
      </w:r>
    </w:p>
    <w:p>
      <w:pPr>
        <w:pStyle w:val="3"/>
        <w:spacing w:before="120" w:after="60"/>
        <w:ind w:firstLine="602"/>
        <w:rPr>
          <w:rFonts w:ascii="Times New Roman" w:hAnsi="Times New Roman"/>
        </w:rPr>
      </w:pPr>
      <w:bookmarkStart w:id="432" w:name="_Toc531180154"/>
      <w:bookmarkStart w:id="433" w:name="_Toc8032657"/>
      <w:r>
        <w:rPr>
          <w:rFonts w:hint="eastAsia" w:ascii="Times New Roman" w:hAnsi="Times New Roman"/>
        </w:rPr>
        <w:t>7.10探索非常规水资源利用促进长效机制</w:t>
      </w:r>
      <w:bookmarkEnd w:id="432"/>
      <w:bookmarkEnd w:id="433"/>
    </w:p>
    <w:p>
      <w:pPr>
        <w:ind w:firstLine="560"/>
      </w:pPr>
      <w:r>
        <w:rPr>
          <w:rFonts w:hint="eastAsia"/>
        </w:rPr>
        <w:t>（1）推广建筑雨水收集利用中水回用</w:t>
      </w:r>
    </w:p>
    <w:p>
      <w:pPr>
        <w:ind w:firstLine="560"/>
      </w:pPr>
      <w:r>
        <w:rPr>
          <w:rFonts w:hint="eastAsia"/>
        </w:rPr>
        <w:t>开展绿色建筑行动，积极推进新建建筑物配套建设雨水收集利用系统，要在居民小区、大型公共建筑等建设下凹式绿地、下沉式广场、渗透铺装、植草沟、雨水花园等工程，提高雨水收集利用率，打造绿色建筑示范区，已建项目未配套建设节水设施的，可视情况配套建设。开展绿色保障房建设行动，在保障性住房等政府投资的民用建筑，建设雨水和中水回用设施，回收利用室外雨水和室内中水；鼓励引导居民小区中水利用，城市居住小区建筑雨水主要用于小区绿化、道路冲洗及景观补水等；公共建筑中水主要用于冲厕；开展建筑中水应用示范工程建设，探索建立建筑中水应用管理制度。</w:t>
      </w:r>
    </w:p>
    <w:p>
      <w:pPr>
        <w:ind w:firstLine="560"/>
      </w:pPr>
      <w:r>
        <w:rPr>
          <w:rFonts w:hint="eastAsia"/>
        </w:rPr>
        <w:t>（2）促进再生水利用</w:t>
      </w:r>
    </w:p>
    <w:p>
      <w:pPr>
        <w:ind w:firstLine="560"/>
      </w:pPr>
      <w:r>
        <w:rPr>
          <w:rFonts w:hint="eastAsia"/>
        </w:rPr>
        <w:t>加快城市污水处理回用管网建设，工业生产、城市绿化、道路清扫、车辆冲洗、建筑施工以及生态景观等用水，应优先使用再生水。具备使用再生水条件但未充分利用的火电、化工等项目，不得批准其新增取水许可。废污水再生利用是节水减排的直接体现，各级政府及相关企业单位，要以建设生态文明的要求来看待再生水利用。因此，全市未来</w:t>
      </w:r>
      <w:r>
        <w:t>5</w:t>
      </w:r>
      <w:r>
        <w:rPr>
          <w:rFonts w:hint="eastAsia"/>
        </w:rPr>
        <w:t>年将以污水处理厂尾水深度处理回用为重点，落实再生水价格政策，开展污水处理和再生水回用系统设施建设，推进再生水管网等配套设施建设，进一步加大再生水利用力度，逐步提高再生水利用率。</w:t>
      </w:r>
    </w:p>
    <w:p>
      <w:pPr>
        <w:ind w:firstLine="560"/>
      </w:pPr>
    </w:p>
    <w:p>
      <w:pPr>
        <w:widowControl/>
        <w:autoSpaceDE/>
        <w:autoSpaceDN/>
        <w:adjustRightInd/>
        <w:spacing w:line="240" w:lineRule="auto"/>
        <w:ind w:firstLine="0" w:firstLineChars="0"/>
        <w:rPr>
          <w:b/>
          <w:bCs/>
          <w:kern w:val="44"/>
          <w:sz w:val="44"/>
          <w:szCs w:val="44"/>
        </w:rPr>
      </w:pPr>
      <w:r>
        <w:br w:type="page"/>
      </w:r>
    </w:p>
    <w:p>
      <w:pPr>
        <w:pStyle w:val="2"/>
        <w:spacing w:before="120"/>
        <w:ind w:firstLine="0" w:firstLineChars="0"/>
      </w:pPr>
      <w:bookmarkStart w:id="434" w:name="_Toc30917"/>
      <w:bookmarkStart w:id="435" w:name="_Toc8032658"/>
      <w:bookmarkStart w:id="436" w:name="_Toc478634511"/>
      <w:bookmarkStart w:id="437" w:name="_Toc475998625"/>
      <w:r>
        <w:rPr>
          <w:rFonts w:hint="eastAsia"/>
        </w:rPr>
        <w:t xml:space="preserve">第八章   </w:t>
      </w:r>
      <w:r>
        <w:t>城市节水重点工程量及投资估算</w:t>
      </w:r>
      <w:bookmarkEnd w:id="434"/>
      <w:bookmarkEnd w:id="435"/>
      <w:bookmarkEnd w:id="436"/>
      <w:bookmarkEnd w:id="437"/>
    </w:p>
    <w:p>
      <w:pPr>
        <w:ind w:firstLine="560"/>
      </w:pPr>
      <w:r>
        <w:t>近期2020年淮北市城市节水重点工程主要含非常规水资源利用工程（含雨水利用工程和污水厂再生水回用工程）、供水系统节水工程、雨污分流改造工程等，近期工程总投资</w:t>
      </w:r>
      <w:r>
        <w:rPr>
          <w:rFonts w:hint="eastAsia"/>
        </w:rPr>
        <w:t>11909.15</w:t>
      </w:r>
      <w:r>
        <w:t>万元。</w:t>
      </w:r>
      <w:r>
        <w:rPr>
          <w:rFonts w:hint="eastAsia"/>
        </w:rPr>
        <w:t>（不含供水管网改造工程和内涝点整治、黑臭水体、海绵城市建设工程投资），远期继续完善各项节水措施，远期总投资为14650万元。</w:t>
      </w:r>
    </w:p>
    <w:p>
      <w:pPr>
        <w:pStyle w:val="3"/>
        <w:spacing w:before="120" w:after="60"/>
        <w:ind w:firstLine="602"/>
        <w:rPr>
          <w:rFonts w:ascii="Times New Roman" w:hAnsi="Times New Roman"/>
        </w:rPr>
      </w:pPr>
      <w:bookmarkStart w:id="438" w:name="_Toc504305303"/>
      <w:bookmarkStart w:id="439" w:name="_Toc8032659"/>
      <w:bookmarkStart w:id="440" w:name="_Toc514062626"/>
      <w:bookmarkStart w:id="441" w:name="_Toc531180156"/>
      <w:bookmarkStart w:id="442" w:name="_Toc504305612"/>
      <w:r>
        <w:rPr>
          <w:rFonts w:ascii="Times New Roman" w:hAnsi="Times New Roman"/>
        </w:rPr>
        <w:t>8.1工业节水</w:t>
      </w:r>
      <w:r>
        <w:rPr>
          <w:rFonts w:hint="eastAsia" w:ascii="Times New Roman" w:hAnsi="Times New Roman"/>
        </w:rPr>
        <w:t>重点</w:t>
      </w:r>
      <w:r>
        <w:rPr>
          <w:rFonts w:ascii="Times New Roman" w:hAnsi="Times New Roman"/>
        </w:rPr>
        <w:t>工程</w:t>
      </w:r>
      <w:bookmarkEnd w:id="438"/>
      <w:bookmarkEnd w:id="439"/>
      <w:bookmarkEnd w:id="440"/>
      <w:bookmarkEnd w:id="441"/>
      <w:bookmarkEnd w:id="442"/>
    </w:p>
    <w:p>
      <w:pPr>
        <w:snapToGrid w:val="0"/>
        <w:spacing w:line="360" w:lineRule="auto"/>
        <w:ind w:right="-134" w:rightChars="-48" w:firstLine="560"/>
      </w:pPr>
      <w:r>
        <w:rPr>
          <w:rFonts w:hint="eastAsia"/>
        </w:rPr>
        <w:t>淮北市</w:t>
      </w:r>
      <w:r>
        <w:t>工业</w:t>
      </w:r>
      <w:r>
        <w:rPr>
          <w:rFonts w:hint="eastAsia"/>
        </w:rPr>
        <w:t>产业主要集中于煤电</w:t>
      </w:r>
      <w:r>
        <w:t>、</w:t>
      </w:r>
      <w:r>
        <w:rPr>
          <w:rFonts w:hint="eastAsia"/>
        </w:rPr>
        <w:t>化工</w:t>
      </w:r>
      <w:r>
        <w:t>、</w:t>
      </w:r>
      <w:r>
        <w:rPr>
          <w:rFonts w:hint="eastAsia"/>
        </w:rPr>
        <w:t>机械装备</w:t>
      </w:r>
      <w:r>
        <w:t>制造、建材</w:t>
      </w:r>
      <w:r>
        <w:rPr>
          <w:rFonts w:hint="eastAsia"/>
        </w:rPr>
        <w:t>、</w:t>
      </w:r>
      <w:r>
        <w:t>食品</w:t>
      </w:r>
      <w:r>
        <w:rPr>
          <w:rFonts w:hint="eastAsia"/>
        </w:rPr>
        <w:t>、</w:t>
      </w:r>
      <w:r>
        <w:t>纺织服装</w:t>
      </w:r>
      <w:r>
        <w:rPr>
          <w:rFonts w:hint="eastAsia"/>
        </w:rPr>
        <w:t>等行业。</w:t>
      </w:r>
      <w:r>
        <w:t>影响工业用水的因素很复杂，如产品结构和产量、生产工艺和设备、用水流程和节水器具的使用、管理水平、水资源条件和外部环境等。</w:t>
      </w:r>
      <w:r>
        <w:rPr>
          <w:rFonts w:hint="eastAsia"/>
        </w:rPr>
        <w:t>淮北市</w:t>
      </w:r>
      <w:r>
        <w:t>工业节水发展方向是：与水环境的治理和保护要求相协调，提高工业用水重复利用率、降低万元增加值取水，结合工业自身的产业结构调整、技术水平升级以及产品更新，以节水工业企业试点引导和带动，整体逐步达到国际先进用水水平</w:t>
      </w:r>
      <w:r>
        <w:rPr>
          <w:rFonts w:hint="eastAsia"/>
        </w:rPr>
        <w:t>。</w:t>
      </w:r>
    </w:p>
    <w:p>
      <w:pPr>
        <w:snapToGrid w:val="0"/>
        <w:spacing w:line="360" w:lineRule="auto"/>
        <w:ind w:right="-134" w:rightChars="-48" w:firstLine="560"/>
      </w:pPr>
      <w:bookmarkStart w:id="443" w:name="_Toc504305613"/>
      <w:bookmarkStart w:id="444" w:name="_Toc504305304"/>
      <w:r>
        <w:rPr>
          <w:rFonts w:hint="eastAsia"/>
        </w:rPr>
        <w:t>规划期内要</w:t>
      </w:r>
      <w:r>
        <w:t>以高耗水行业为重点，</w:t>
      </w:r>
      <w:r>
        <w:rPr>
          <w:rFonts w:hint="eastAsia"/>
        </w:rPr>
        <w:t>一是</w:t>
      </w:r>
      <w:r>
        <w:t>深入开展高耗水</w:t>
      </w:r>
      <w:r>
        <w:rPr>
          <w:rFonts w:hint="eastAsia"/>
        </w:rPr>
        <w:t>、高污染</w:t>
      </w:r>
      <w:r>
        <w:t>行业的节水专项行动，</w:t>
      </w:r>
      <w:r>
        <w:rPr>
          <w:rFonts w:hint="eastAsia"/>
        </w:rPr>
        <w:t>关闭和淘汰部分落后传统产业。通过产业结构调整，发展绿色、循环经济，完成工业的优化配置，从源头上保证工业节水目标的实现；二是引导和创建</w:t>
      </w:r>
      <w:r>
        <w:t>节水型企业</w:t>
      </w:r>
      <w:r>
        <w:rPr>
          <w:rFonts w:hint="eastAsia"/>
        </w:rPr>
        <w:t>，</w:t>
      </w:r>
      <w:r>
        <w:t>加大节水投入，</w:t>
      </w:r>
      <w:r>
        <w:rPr>
          <w:rFonts w:hint="eastAsia"/>
        </w:rPr>
        <w:t>开展工业企业节水技改示范项目与节水改水示范项目。以分质供水、串联供水、废污水处理内部回用工程建设为主要途径，积极开展清洁生产和“零排放”示范项目，鼓励企业采用废污水“零排放”技术。减少新鲜水取水量，提高工业用水回用率。三是通过水平衡测试等促进企业注重和落实节水措施，积极节约用水。</w:t>
      </w:r>
      <w:bookmarkEnd w:id="443"/>
      <w:bookmarkEnd w:id="444"/>
      <w:bookmarkStart w:id="445" w:name="_Toc514062628"/>
    </w:p>
    <w:p>
      <w:pPr>
        <w:snapToGrid w:val="0"/>
        <w:spacing w:line="360" w:lineRule="auto"/>
        <w:ind w:right="-134" w:rightChars="-48" w:firstLine="560"/>
      </w:pPr>
      <w:r>
        <w:rPr>
          <w:rFonts w:hint="eastAsia"/>
        </w:rPr>
        <w:t>本次规划工业节水重点工程主要结合淮北市高耗水、高污染的的煤电</w:t>
      </w:r>
      <w:r>
        <w:t>、化工、</w:t>
      </w:r>
      <w:r>
        <w:rPr>
          <w:rFonts w:hint="eastAsia"/>
        </w:rPr>
        <w:t>建材</w:t>
      </w:r>
      <w:r>
        <w:t>、食品</w:t>
      </w:r>
      <w:r>
        <w:rPr>
          <w:rFonts w:hint="eastAsia"/>
        </w:rPr>
        <w:t>等行业，推动各行业节水减排改造项目，提高行业循环用水水平，节约工业用水。规划近期</w:t>
      </w:r>
      <w:r>
        <w:t>对八家</w:t>
      </w:r>
      <w:r>
        <w:rPr>
          <w:rFonts w:hint="eastAsia"/>
        </w:rPr>
        <w:t>主要</w:t>
      </w:r>
      <w:r>
        <w:t>企业进行节水工艺改造，其中，</w:t>
      </w:r>
      <w:r>
        <w:rPr>
          <w:rFonts w:hint="eastAsia"/>
        </w:rPr>
        <w:t>大唐淮北发电厂、淮北国安电力有限公司</w:t>
      </w:r>
      <w:r>
        <w:t>两家火力发电企业主要是对循环水系统、除灰系统进行改造、提高废</w:t>
      </w:r>
      <w:r>
        <w:rPr>
          <w:rFonts w:hint="eastAsia"/>
        </w:rPr>
        <w:t>污</w:t>
      </w:r>
      <w:r>
        <w:t>水回收利用率</w:t>
      </w:r>
      <w:r>
        <w:rPr>
          <w:rFonts w:hint="eastAsia"/>
        </w:rPr>
        <w:t>；淮北众城水泥有限责任公司</w:t>
      </w:r>
      <w:r>
        <w:t>主要是增加雨水及废</w:t>
      </w:r>
      <w:r>
        <w:rPr>
          <w:rFonts w:hint="eastAsia"/>
        </w:rPr>
        <w:t>污</w:t>
      </w:r>
      <w:r>
        <w:t>水的利用措施</w:t>
      </w:r>
      <w:r>
        <w:rPr>
          <w:rFonts w:hint="eastAsia"/>
        </w:rPr>
        <w:t>，</w:t>
      </w:r>
      <w:r>
        <w:t>其他企业具体工业节水重点工程见表</w:t>
      </w:r>
      <w:r>
        <w:rPr>
          <w:rFonts w:hint="eastAsia"/>
        </w:rPr>
        <w:t>8-1</w:t>
      </w:r>
      <w:r>
        <w:t>。</w:t>
      </w:r>
    </w:p>
    <w:p>
      <w:pPr>
        <w:pStyle w:val="16"/>
        <w:tabs>
          <w:tab w:val="left" w:pos="3980"/>
        </w:tabs>
        <w:spacing w:before="107" w:line="338" w:lineRule="auto"/>
        <w:ind w:right="3" w:firstLine="3091" w:firstLineChars="1283"/>
        <w:jc w:val="both"/>
        <w:rPr>
          <w:rFonts w:cs="Times New Roman"/>
          <w:b/>
          <w:sz w:val="24"/>
        </w:rPr>
      </w:pPr>
      <w:r>
        <w:rPr>
          <w:rFonts w:hint="eastAsia" w:cs="Times New Roman"/>
          <w:b/>
          <w:sz w:val="24"/>
        </w:rPr>
        <w:t>表</w:t>
      </w:r>
      <w:r>
        <w:rPr>
          <w:rFonts w:cs="Times New Roman"/>
          <w:b/>
          <w:sz w:val="24"/>
        </w:rPr>
        <w:t>8-1</w:t>
      </w:r>
      <w:r>
        <w:rPr>
          <w:rFonts w:hint="eastAsia" w:cs="Times New Roman"/>
          <w:b/>
          <w:sz w:val="24"/>
        </w:rPr>
        <w:t xml:space="preserve"> 近期工业节水工程建设内容及投资估算</w:t>
      </w:r>
    </w:p>
    <w:tbl>
      <w:tblPr>
        <w:tblStyle w:val="39"/>
        <w:tblW w:w="10156" w:type="dxa"/>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0" w:type="dxa"/>
          <w:bottom w:w="0" w:type="dxa"/>
          <w:right w:w="0" w:type="dxa"/>
        </w:tblCellMar>
      </w:tblPr>
      <w:tblGrid>
        <w:gridCol w:w="353"/>
        <w:gridCol w:w="1861"/>
        <w:gridCol w:w="6165"/>
        <w:gridCol w:w="1777"/>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660" w:hRule="atLeast"/>
        </w:trPr>
        <w:tc>
          <w:tcPr>
            <w:tcW w:w="353" w:type="dxa"/>
            <w:vAlign w:val="center"/>
          </w:tcPr>
          <w:p>
            <w:pPr>
              <w:pStyle w:val="72"/>
            </w:pPr>
            <w:r>
              <w:t>序号</w:t>
            </w:r>
          </w:p>
        </w:tc>
        <w:tc>
          <w:tcPr>
            <w:tcW w:w="1861" w:type="dxa"/>
            <w:vAlign w:val="center"/>
          </w:tcPr>
          <w:p>
            <w:pPr>
              <w:pStyle w:val="72"/>
            </w:pPr>
            <w:r>
              <w:rPr>
                <w:rFonts w:hint="eastAsia"/>
              </w:rPr>
              <w:t>公司</w:t>
            </w:r>
            <w:r>
              <w:t>名称</w:t>
            </w:r>
          </w:p>
        </w:tc>
        <w:tc>
          <w:tcPr>
            <w:tcW w:w="6165" w:type="dxa"/>
            <w:vAlign w:val="center"/>
          </w:tcPr>
          <w:p>
            <w:pPr>
              <w:pStyle w:val="72"/>
            </w:pPr>
            <w:r>
              <w:rPr>
                <w:rFonts w:hint="eastAsia"/>
              </w:rPr>
              <w:t>工程内容</w:t>
            </w:r>
          </w:p>
        </w:tc>
        <w:tc>
          <w:tcPr>
            <w:tcW w:w="1777" w:type="dxa"/>
            <w:vAlign w:val="center"/>
          </w:tcPr>
          <w:p>
            <w:pPr>
              <w:pStyle w:val="72"/>
            </w:pPr>
            <w:r>
              <w:rPr>
                <w:rFonts w:hint="eastAsia"/>
              </w:rPr>
              <w:t>2018-2020投资估算</w:t>
            </w:r>
            <w:r>
              <w:t>(万元)</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00" w:hRule="atLeast"/>
        </w:trPr>
        <w:tc>
          <w:tcPr>
            <w:tcW w:w="353" w:type="dxa"/>
            <w:vAlign w:val="center"/>
          </w:tcPr>
          <w:p>
            <w:pPr>
              <w:pStyle w:val="72"/>
            </w:pPr>
            <w:r>
              <w:rPr>
                <w:rFonts w:hint="eastAsia"/>
              </w:rPr>
              <w:t>1</w:t>
            </w:r>
          </w:p>
        </w:tc>
        <w:tc>
          <w:tcPr>
            <w:tcW w:w="1861" w:type="dxa"/>
            <w:vAlign w:val="center"/>
          </w:tcPr>
          <w:p>
            <w:pPr>
              <w:pStyle w:val="72"/>
            </w:pPr>
            <w:r>
              <w:rPr>
                <w:rFonts w:hint="eastAsia"/>
              </w:rPr>
              <w:t>淮北国安电力有限公司</w:t>
            </w:r>
          </w:p>
        </w:tc>
        <w:tc>
          <w:tcPr>
            <w:tcW w:w="6165" w:type="dxa"/>
            <w:vAlign w:val="center"/>
          </w:tcPr>
          <w:p>
            <w:pPr>
              <w:pStyle w:val="72"/>
            </w:pPr>
            <w:r>
              <w:rPr>
                <w:rFonts w:hint="eastAsia"/>
              </w:rPr>
              <w:t>将电厂</w:t>
            </w:r>
            <w:r>
              <w:t>生产用水置换为“</w:t>
            </w:r>
            <w:r>
              <w:rPr>
                <w:rFonts w:hint="eastAsia"/>
              </w:rPr>
              <w:t>淮水北</w:t>
            </w:r>
            <w:r>
              <w:t>调”</w:t>
            </w:r>
            <w:r>
              <w:rPr>
                <w:rFonts w:hint="eastAsia"/>
              </w:rPr>
              <w:t>地表</w:t>
            </w:r>
            <w:r>
              <w:t>水</w:t>
            </w:r>
            <w:r>
              <w:rPr>
                <w:rFonts w:hint="eastAsia"/>
              </w:rPr>
              <w:t>；</w:t>
            </w:r>
          </w:p>
          <w:p>
            <w:pPr>
              <w:pStyle w:val="72"/>
            </w:pPr>
            <w:r>
              <w:rPr>
                <w:rFonts w:hint="eastAsia"/>
              </w:rPr>
              <w:t>积极利用污水</w:t>
            </w:r>
            <w:r>
              <w:t>处理厂</w:t>
            </w:r>
            <w:r>
              <w:rPr>
                <w:rFonts w:hint="eastAsia"/>
              </w:rPr>
              <w:t>再生水；</w:t>
            </w:r>
          </w:p>
          <w:p>
            <w:pPr>
              <w:pStyle w:val="72"/>
            </w:pPr>
            <w:r>
              <w:t>采用节水工艺</w:t>
            </w:r>
            <w:r>
              <w:rPr>
                <w:rFonts w:hint="eastAsia"/>
              </w:rPr>
              <w:t>，</w:t>
            </w:r>
            <w:r>
              <w:t>提高冷却</w:t>
            </w:r>
            <w:r>
              <w:rPr>
                <w:rFonts w:hint="eastAsia"/>
              </w:rPr>
              <w:t>水</w:t>
            </w:r>
            <w:r>
              <w:t>循环率</w:t>
            </w:r>
            <w:r>
              <w:rPr>
                <w:rFonts w:hint="eastAsia"/>
              </w:rPr>
              <w:t>；</w:t>
            </w:r>
            <w:r>
              <w:t xml:space="preserve"> </w:t>
            </w:r>
          </w:p>
        </w:tc>
        <w:tc>
          <w:tcPr>
            <w:tcW w:w="1777" w:type="dxa"/>
            <w:vAlign w:val="center"/>
          </w:tcPr>
          <w:p>
            <w:pPr>
              <w:pStyle w:val="72"/>
            </w:pPr>
            <w:r>
              <w:t>100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00" w:hRule="atLeast"/>
        </w:trPr>
        <w:tc>
          <w:tcPr>
            <w:tcW w:w="353" w:type="dxa"/>
            <w:vAlign w:val="center"/>
          </w:tcPr>
          <w:p>
            <w:pPr>
              <w:pStyle w:val="72"/>
            </w:pPr>
            <w:r>
              <w:t>2</w:t>
            </w:r>
          </w:p>
        </w:tc>
        <w:tc>
          <w:tcPr>
            <w:tcW w:w="1861" w:type="dxa"/>
            <w:vAlign w:val="center"/>
          </w:tcPr>
          <w:p>
            <w:pPr>
              <w:pStyle w:val="72"/>
            </w:pPr>
            <w:r>
              <w:rPr>
                <w:rFonts w:hint="eastAsia"/>
              </w:rPr>
              <w:t>华润雪花啤酒淮北分公司</w:t>
            </w:r>
          </w:p>
        </w:tc>
        <w:tc>
          <w:tcPr>
            <w:tcW w:w="6165" w:type="dxa"/>
            <w:vAlign w:val="center"/>
          </w:tcPr>
          <w:p>
            <w:pPr>
              <w:pStyle w:val="72"/>
            </w:pPr>
            <w:r>
              <w:rPr>
                <w:rFonts w:hint="eastAsia"/>
              </w:rPr>
              <w:t>对水进行分级使用，酿造部研讨冲灌水回收再利用，在保证质量的前提下减少冲洗频次，冲洗时间；</w:t>
            </w:r>
          </w:p>
          <w:p>
            <w:pPr>
              <w:pStyle w:val="72"/>
            </w:pPr>
            <w:r>
              <w:rPr>
                <w:rFonts w:hint="eastAsia"/>
              </w:rPr>
              <w:t>增加包装碱水过滤回收装置，降低洗瓶机换水频次，同时对包装冷凝水回收系统进行改造，洗瓶机冷凝水通过薄板换热后回收进罐，作为洗瓶出加用水；</w:t>
            </w:r>
          </w:p>
        </w:tc>
        <w:tc>
          <w:tcPr>
            <w:tcW w:w="1777" w:type="dxa"/>
            <w:vAlign w:val="center"/>
          </w:tcPr>
          <w:p>
            <w:pPr>
              <w:pStyle w:val="72"/>
            </w:pPr>
            <w:r>
              <w:t>100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00" w:hRule="atLeast"/>
        </w:trPr>
        <w:tc>
          <w:tcPr>
            <w:tcW w:w="353" w:type="dxa"/>
            <w:vAlign w:val="center"/>
          </w:tcPr>
          <w:p>
            <w:pPr>
              <w:pStyle w:val="72"/>
            </w:pPr>
            <w:r>
              <w:t>3</w:t>
            </w:r>
          </w:p>
        </w:tc>
        <w:tc>
          <w:tcPr>
            <w:tcW w:w="1861" w:type="dxa"/>
            <w:vAlign w:val="center"/>
          </w:tcPr>
          <w:p>
            <w:pPr>
              <w:pStyle w:val="72"/>
            </w:pPr>
            <w:r>
              <w:rPr>
                <w:rFonts w:hint="eastAsia"/>
              </w:rPr>
              <w:t>安徽昊佳食品饮料有限公司</w:t>
            </w:r>
          </w:p>
        </w:tc>
        <w:tc>
          <w:tcPr>
            <w:tcW w:w="6165" w:type="dxa"/>
            <w:vAlign w:val="center"/>
          </w:tcPr>
          <w:p>
            <w:pPr>
              <w:pStyle w:val="72"/>
            </w:pPr>
            <w:r>
              <w:rPr>
                <w:rFonts w:hint="eastAsia"/>
              </w:rPr>
              <w:t>减少</w:t>
            </w:r>
            <w:r>
              <w:t>过程损耗，增加厂区雨水及废污水利用</w:t>
            </w:r>
          </w:p>
        </w:tc>
        <w:tc>
          <w:tcPr>
            <w:tcW w:w="1777" w:type="dxa"/>
            <w:vAlign w:val="center"/>
          </w:tcPr>
          <w:p>
            <w:pPr>
              <w:pStyle w:val="72"/>
            </w:pPr>
            <w:r>
              <w:t>8</w:t>
            </w:r>
            <w:r>
              <w:rPr>
                <w:rFonts w:hint="eastAsia"/>
              </w:rPr>
              <w:t>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00" w:hRule="atLeast"/>
        </w:trPr>
        <w:tc>
          <w:tcPr>
            <w:tcW w:w="353" w:type="dxa"/>
            <w:vAlign w:val="center"/>
          </w:tcPr>
          <w:p>
            <w:pPr>
              <w:pStyle w:val="72"/>
            </w:pPr>
            <w:r>
              <w:rPr>
                <w:rFonts w:hint="eastAsia"/>
              </w:rPr>
              <w:t>4</w:t>
            </w:r>
          </w:p>
        </w:tc>
        <w:tc>
          <w:tcPr>
            <w:tcW w:w="1861" w:type="dxa"/>
            <w:vAlign w:val="center"/>
          </w:tcPr>
          <w:p>
            <w:pPr>
              <w:pStyle w:val="72"/>
            </w:pPr>
            <w:r>
              <w:rPr>
                <w:rFonts w:hint="eastAsia"/>
              </w:rPr>
              <w:t>淮北众城水泥有限责任公司</w:t>
            </w:r>
          </w:p>
        </w:tc>
        <w:tc>
          <w:tcPr>
            <w:tcW w:w="6165" w:type="dxa"/>
            <w:vAlign w:val="center"/>
          </w:tcPr>
          <w:p>
            <w:pPr>
              <w:pStyle w:val="72"/>
            </w:pPr>
            <w:r>
              <w:rPr>
                <w:rFonts w:hint="eastAsia"/>
              </w:rPr>
              <w:t>减少</w:t>
            </w:r>
            <w:r>
              <w:t>过程损耗，增加厂区雨水及废污水利用</w:t>
            </w:r>
          </w:p>
        </w:tc>
        <w:tc>
          <w:tcPr>
            <w:tcW w:w="1777" w:type="dxa"/>
            <w:vAlign w:val="center"/>
          </w:tcPr>
          <w:p>
            <w:pPr>
              <w:pStyle w:val="72"/>
            </w:pPr>
            <w:r>
              <w:t>80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00" w:hRule="atLeast"/>
        </w:trPr>
        <w:tc>
          <w:tcPr>
            <w:tcW w:w="353" w:type="dxa"/>
            <w:vAlign w:val="center"/>
          </w:tcPr>
          <w:p>
            <w:pPr>
              <w:pStyle w:val="72"/>
            </w:pPr>
            <w:r>
              <w:rPr>
                <w:rFonts w:hint="eastAsia"/>
              </w:rPr>
              <w:t>5</w:t>
            </w:r>
          </w:p>
        </w:tc>
        <w:tc>
          <w:tcPr>
            <w:tcW w:w="1861" w:type="dxa"/>
            <w:vAlign w:val="center"/>
          </w:tcPr>
          <w:p>
            <w:pPr>
              <w:pStyle w:val="72"/>
            </w:pPr>
            <w:r>
              <w:rPr>
                <w:rFonts w:hint="eastAsia"/>
              </w:rPr>
              <w:t>金龙机电有限公司</w:t>
            </w:r>
          </w:p>
        </w:tc>
        <w:tc>
          <w:tcPr>
            <w:tcW w:w="6165" w:type="dxa"/>
            <w:vAlign w:val="center"/>
          </w:tcPr>
          <w:p>
            <w:pPr>
              <w:pStyle w:val="72"/>
            </w:pPr>
            <w:r>
              <w:rPr>
                <w:rFonts w:hint="eastAsia"/>
              </w:rPr>
              <w:t>减少</w:t>
            </w:r>
            <w:r>
              <w:t>过程损耗，增加厂区雨水及废污水利用</w:t>
            </w:r>
          </w:p>
        </w:tc>
        <w:tc>
          <w:tcPr>
            <w:tcW w:w="1777" w:type="dxa"/>
            <w:vAlign w:val="center"/>
          </w:tcPr>
          <w:p>
            <w:pPr>
              <w:pStyle w:val="72"/>
            </w:pPr>
            <w:r>
              <w:t>100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00" w:hRule="atLeast"/>
        </w:trPr>
        <w:tc>
          <w:tcPr>
            <w:tcW w:w="353" w:type="dxa"/>
            <w:vAlign w:val="center"/>
          </w:tcPr>
          <w:p>
            <w:pPr>
              <w:pStyle w:val="72"/>
            </w:pPr>
            <w:r>
              <w:t>6</w:t>
            </w:r>
          </w:p>
        </w:tc>
        <w:tc>
          <w:tcPr>
            <w:tcW w:w="1861" w:type="dxa"/>
            <w:vAlign w:val="center"/>
          </w:tcPr>
          <w:p>
            <w:pPr>
              <w:pStyle w:val="72"/>
            </w:pPr>
            <w:r>
              <w:rPr>
                <w:rFonts w:hint="eastAsia"/>
              </w:rPr>
              <w:t>淮北新旗氨基酸有限公司</w:t>
            </w:r>
          </w:p>
        </w:tc>
        <w:tc>
          <w:tcPr>
            <w:tcW w:w="6165" w:type="dxa"/>
            <w:vAlign w:val="center"/>
          </w:tcPr>
          <w:p>
            <w:pPr>
              <w:pStyle w:val="72"/>
            </w:pPr>
            <w:r>
              <w:rPr>
                <w:rFonts w:hint="eastAsia"/>
              </w:rPr>
              <w:t>将单效蒸发器更换为多效蒸发器，并采用生产车间工业用水，废水经过多效蒸发回收以后残渣集中处理，水回到车间用于拖地、洗设备、循环水冲泵等</w:t>
            </w:r>
          </w:p>
        </w:tc>
        <w:tc>
          <w:tcPr>
            <w:tcW w:w="1777" w:type="dxa"/>
            <w:vAlign w:val="center"/>
          </w:tcPr>
          <w:p>
            <w:pPr>
              <w:pStyle w:val="72"/>
            </w:pPr>
            <w:r>
              <w:t>100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00" w:hRule="atLeast"/>
        </w:trPr>
        <w:tc>
          <w:tcPr>
            <w:tcW w:w="8379" w:type="dxa"/>
            <w:gridSpan w:val="3"/>
            <w:vAlign w:val="center"/>
          </w:tcPr>
          <w:p>
            <w:pPr>
              <w:pStyle w:val="72"/>
            </w:pPr>
            <w:r>
              <w:t>合</w:t>
            </w:r>
            <w:r>
              <w:tab/>
            </w:r>
            <w:r>
              <w:t>计</w:t>
            </w:r>
          </w:p>
        </w:tc>
        <w:tc>
          <w:tcPr>
            <w:tcW w:w="1777" w:type="dxa"/>
            <w:vAlign w:val="center"/>
          </w:tcPr>
          <w:p>
            <w:pPr>
              <w:pStyle w:val="72"/>
            </w:pPr>
            <w:r>
              <w:t>560</w:t>
            </w:r>
          </w:p>
        </w:tc>
      </w:tr>
    </w:tbl>
    <w:p>
      <w:pPr>
        <w:snapToGrid w:val="0"/>
        <w:spacing w:line="360" w:lineRule="auto"/>
        <w:ind w:right="-134" w:rightChars="-48" w:firstLine="560"/>
      </w:pPr>
      <w:r>
        <w:rPr>
          <w:rFonts w:hint="eastAsia"/>
        </w:rPr>
        <w:t>此外</w:t>
      </w:r>
      <w:r>
        <w:t>，</w:t>
      </w:r>
      <w:r>
        <w:rPr>
          <w:rFonts w:hint="eastAsia"/>
        </w:rPr>
        <w:t>开展水平衡测试是企业加强用水科学管理的行之有效的方法，是开展节水工作的基础。规划期内近期和远期企业主要用水车间和主要用水设备的计量器具装配率分别达到</w:t>
      </w:r>
      <w:r>
        <w:t>90%和95%。制定企业水平衡测试计划、测试主体、测试程序及审查内容。</w:t>
      </w:r>
    </w:p>
    <w:p>
      <w:pPr>
        <w:snapToGrid w:val="0"/>
        <w:spacing w:line="360" w:lineRule="auto"/>
        <w:ind w:right="-134" w:rightChars="-48" w:firstLine="560"/>
      </w:pPr>
      <w:r>
        <w:rPr>
          <w:rFonts w:hint="eastAsia"/>
        </w:rPr>
        <w:t>规划区范围内取用公共供水和自建设施供水的用水单位，年取用水量5万m</w:t>
      </w:r>
      <w:r>
        <w:rPr>
          <w:rFonts w:hint="eastAsia"/>
          <w:vertAlign w:val="superscript"/>
        </w:rPr>
        <w:t>3</w:t>
      </w:r>
      <w:r>
        <w:rPr>
          <w:rFonts w:hint="eastAsia"/>
        </w:rPr>
        <w:t>（含5万m³）以上及省市级重点用水监控名录单位，应当每3年开展1次水平衡测试，年取用水量5万m</w:t>
      </w:r>
      <w:r>
        <w:rPr>
          <w:rFonts w:hint="eastAsia"/>
          <w:vertAlign w:val="superscript"/>
        </w:rPr>
        <w:t>3</w:t>
      </w:r>
      <w:r>
        <w:rPr>
          <w:rFonts w:hint="eastAsia"/>
        </w:rPr>
        <w:t>以下的，应当每5年开展1次水平衡测试，由城市节水行政主管部门组织验收。验收不合格的取用水单位，限期整改。未按规定进行水平衡测试的，取水许可机关可以调整其下年度用水计划指标</w:t>
      </w:r>
      <w:r>
        <w:t>。</w:t>
      </w:r>
    </w:p>
    <w:p>
      <w:pPr>
        <w:snapToGrid w:val="0"/>
        <w:spacing w:line="360" w:lineRule="auto"/>
        <w:ind w:right="-134" w:rightChars="-48" w:firstLine="560"/>
      </w:pPr>
    </w:p>
    <w:p>
      <w:pPr>
        <w:snapToGrid w:val="0"/>
        <w:spacing w:line="360" w:lineRule="auto"/>
        <w:ind w:right="-134" w:rightChars="-48" w:firstLine="560"/>
      </w:pPr>
    </w:p>
    <w:p>
      <w:pPr>
        <w:snapToGrid w:val="0"/>
        <w:spacing w:line="360" w:lineRule="auto"/>
        <w:ind w:right="-134" w:rightChars="-48" w:firstLine="560"/>
      </w:pPr>
    </w:p>
    <w:p>
      <w:pPr>
        <w:pStyle w:val="16"/>
        <w:tabs>
          <w:tab w:val="left" w:pos="3980"/>
        </w:tabs>
        <w:spacing w:before="107" w:line="338" w:lineRule="auto"/>
        <w:ind w:right="3" w:firstLine="3091" w:firstLineChars="1283"/>
        <w:jc w:val="both"/>
        <w:rPr>
          <w:rFonts w:cs="Times New Roman"/>
          <w:b/>
          <w:sz w:val="24"/>
        </w:rPr>
      </w:pPr>
      <w:r>
        <w:rPr>
          <w:rFonts w:hint="eastAsia" w:cs="Times New Roman"/>
          <w:b/>
          <w:sz w:val="24"/>
        </w:rPr>
        <w:t>表8-2 近期节水型企业创建名单</w:t>
      </w:r>
    </w:p>
    <w:tbl>
      <w:tblPr>
        <w:tblStyle w:val="39"/>
        <w:tblW w:w="10326" w:type="dxa"/>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2325"/>
        <w:gridCol w:w="8001"/>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序号</w:t>
            </w:r>
          </w:p>
        </w:tc>
        <w:tc>
          <w:tcPr>
            <w:tcW w:w="8001" w:type="dxa"/>
            <w:vAlign w:val="center"/>
          </w:tcPr>
          <w:p>
            <w:pPr>
              <w:pStyle w:val="72"/>
            </w:pPr>
            <w:r>
              <w:rPr>
                <w:rFonts w:hint="eastAsia"/>
              </w:rPr>
              <w:t>企业名称</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w:t>
            </w:r>
          </w:p>
        </w:tc>
        <w:tc>
          <w:tcPr>
            <w:tcW w:w="8001" w:type="dxa"/>
            <w:vAlign w:val="center"/>
          </w:tcPr>
          <w:p>
            <w:pPr>
              <w:pStyle w:val="72"/>
            </w:pPr>
            <w:r>
              <w:rPr>
                <w:rFonts w:hint="eastAsia"/>
              </w:rPr>
              <w:t>安徽华润金蟾药业股份有限公司</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2</w:t>
            </w:r>
          </w:p>
        </w:tc>
        <w:tc>
          <w:tcPr>
            <w:tcW w:w="8001" w:type="dxa"/>
            <w:vAlign w:val="center"/>
          </w:tcPr>
          <w:p>
            <w:pPr>
              <w:pStyle w:val="72"/>
            </w:pPr>
            <w:r>
              <w:rPr>
                <w:rFonts w:hint="eastAsia"/>
              </w:rPr>
              <w:t>华孚时尚股份有限公司</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3</w:t>
            </w:r>
          </w:p>
        </w:tc>
        <w:tc>
          <w:tcPr>
            <w:tcW w:w="8001" w:type="dxa"/>
            <w:vAlign w:val="center"/>
          </w:tcPr>
          <w:p>
            <w:pPr>
              <w:pStyle w:val="72"/>
            </w:pPr>
            <w:r>
              <w:rPr>
                <w:rFonts w:hint="eastAsia"/>
              </w:rPr>
              <w:t>淮北国安电力有限公司</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4</w:t>
            </w:r>
          </w:p>
        </w:tc>
        <w:tc>
          <w:tcPr>
            <w:tcW w:w="8001" w:type="dxa"/>
            <w:vAlign w:val="center"/>
          </w:tcPr>
          <w:p>
            <w:pPr>
              <w:pStyle w:val="72"/>
            </w:pPr>
            <w:r>
              <w:rPr>
                <w:rFonts w:hint="eastAsia"/>
              </w:rPr>
              <w:t>安徽金冠玻璃有限责任公司</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5</w:t>
            </w:r>
          </w:p>
        </w:tc>
        <w:tc>
          <w:tcPr>
            <w:tcW w:w="8001" w:type="dxa"/>
            <w:vAlign w:val="center"/>
          </w:tcPr>
          <w:p>
            <w:pPr>
              <w:pStyle w:val="72"/>
            </w:pPr>
            <w:r>
              <w:rPr>
                <w:rFonts w:hint="eastAsia"/>
              </w:rPr>
              <w:t>淮北新旗氨基酸有限公司</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6</w:t>
            </w:r>
          </w:p>
        </w:tc>
        <w:tc>
          <w:tcPr>
            <w:tcW w:w="8001" w:type="dxa"/>
            <w:vAlign w:val="center"/>
          </w:tcPr>
          <w:p>
            <w:pPr>
              <w:pStyle w:val="72"/>
            </w:pPr>
            <w:r>
              <w:rPr>
                <w:rFonts w:hint="eastAsia"/>
              </w:rPr>
              <w:t>淮北龙图铝材有限公司</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7</w:t>
            </w:r>
          </w:p>
        </w:tc>
        <w:tc>
          <w:tcPr>
            <w:tcW w:w="8001" w:type="dxa"/>
            <w:vAlign w:val="center"/>
          </w:tcPr>
          <w:p>
            <w:pPr>
              <w:pStyle w:val="72"/>
            </w:pPr>
            <w:r>
              <w:rPr>
                <w:rFonts w:hint="eastAsia"/>
              </w:rPr>
              <w:t>华润雪花啤酒（安徽）有限公司淮北分公司</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8</w:t>
            </w:r>
          </w:p>
        </w:tc>
        <w:tc>
          <w:tcPr>
            <w:tcW w:w="8001" w:type="dxa"/>
            <w:vAlign w:val="center"/>
          </w:tcPr>
          <w:p>
            <w:pPr>
              <w:pStyle w:val="72"/>
            </w:pPr>
            <w:r>
              <w:rPr>
                <w:rFonts w:hint="eastAsia"/>
              </w:rPr>
              <w:t>大唐淮北发电厂</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9</w:t>
            </w:r>
          </w:p>
        </w:tc>
        <w:tc>
          <w:tcPr>
            <w:tcW w:w="8001" w:type="dxa"/>
            <w:vAlign w:val="center"/>
          </w:tcPr>
          <w:p>
            <w:pPr>
              <w:pStyle w:val="72"/>
            </w:pPr>
            <w:r>
              <w:rPr>
                <w:rFonts w:hint="eastAsia"/>
              </w:rPr>
              <w:t>淮北众城水泥有限责任公司</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10</w:t>
            </w:r>
          </w:p>
        </w:tc>
        <w:tc>
          <w:tcPr>
            <w:tcW w:w="8001" w:type="dxa"/>
            <w:vAlign w:val="center"/>
          </w:tcPr>
          <w:p>
            <w:pPr>
              <w:pStyle w:val="72"/>
            </w:pPr>
            <w:r>
              <w:rPr>
                <w:rFonts w:hint="eastAsia"/>
              </w:rPr>
              <w:t>安徽昊佳食品饮料有限责任公司</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11</w:t>
            </w:r>
          </w:p>
        </w:tc>
        <w:tc>
          <w:tcPr>
            <w:tcW w:w="8001" w:type="dxa"/>
            <w:vAlign w:val="center"/>
          </w:tcPr>
          <w:p>
            <w:pPr>
              <w:pStyle w:val="72"/>
            </w:pPr>
            <w:r>
              <w:rPr>
                <w:rFonts w:hint="eastAsia"/>
              </w:rPr>
              <w:t>安徽省矿业机电装备有限责任公司</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12</w:t>
            </w:r>
          </w:p>
        </w:tc>
        <w:tc>
          <w:tcPr>
            <w:tcW w:w="8001" w:type="dxa"/>
            <w:vAlign w:val="center"/>
          </w:tcPr>
          <w:p>
            <w:pPr>
              <w:pStyle w:val="72"/>
            </w:pPr>
            <w:r>
              <w:rPr>
                <w:rFonts w:hint="eastAsia"/>
              </w:rPr>
              <w:t>淮北矿业股份有限公司淮北选煤厂</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13</w:t>
            </w:r>
          </w:p>
        </w:tc>
        <w:tc>
          <w:tcPr>
            <w:tcW w:w="8001" w:type="dxa"/>
            <w:vAlign w:val="center"/>
          </w:tcPr>
          <w:p>
            <w:pPr>
              <w:pStyle w:val="72"/>
            </w:pPr>
            <w:r>
              <w:rPr>
                <w:rFonts w:hint="eastAsia"/>
              </w:rPr>
              <w:t>金龙机电（淮北）有限公司</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14</w:t>
            </w:r>
          </w:p>
        </w:tc>
        <w:tc>
          <w:tcPr>
            <w:tcW w:w="8001" w:type="dxa"/>
            <w:vAlign w:val="center"/>
          </w:tcPr>
          <w:p>
            <w:pPr>
              <w:pStyle w:val="72"/>
            </w:pPr>
            <w:r>
              <w:t>安徽雷鸣科化股份有限公司</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15</w:t>
            </w:r>
          </w:p>
        </w:tc>
        <w:tc>
          <w:tcPr>
            <w:tcW w:w="8001" w:type="dxa"/>
            <w:vAlign w:val="center"/>
          </w:tcPr>
          <w:p>
            <w:pPr>
              <w:pStyle w:val="72"/>
            </w:pPr>
            <w:r>
              <w:rPr>
                <w:rFonts w:hint="eastAsia"/>
              </w:rPr>
              <w:t>淮北市中意胶带有限责任公司</w:t>
            </w:r>
          </w:p>
        </w:tc>
      </w:tr>
    </w:tbl>
    <w:p>
      <w:pPr>
        <w:pStyle w:val="3"/>
        <w:spacing w:before="120" w:after="60"/>
        <w:ind w:firstLine="602"/>
        <w:rPr>
          <w:rFonts w:ascii="Times New Roman" w:hAnsi="Times New Roman"/>
        </w:rPr>
      </w:pPr>
      <w:bookmarkStart w:id="446" w:name="_Toc8032660"/>
      <w:bookmarkStart w:id="447" w:name="_Toc531180157"/>
      <w:bookmarkStart w:id="448" w:name="_Toc514062627"/>
      <w:r>
        <w:rPr>
          <w:rFonts w:ascii="Times New Roman" w:hAnsi="Times New Roman"/>
        </w:rPr>
        <w:t>8.2生活节水</w:t>
      </w:r>
      <w:r>
        <w:rPr>
          <w:rFonts w:hint="eastAsia" w:ascii="Times New Roman" w:hAnsi="Times New Roman"/>
        </w:rPr>
        <w:t>重点</w:t>
      </w:r>
      <w:r>
        <w:rPr>
          <w:rFonts w:ascii="Times New Roman" w:hAnsi="Times New Roman"/>
        </w:rPr>
        <w:t>工</w:t>
      </w:r>
      <w:r>
        <w:rPr>
          <w:rFonts w:hint="eastAsia" w:ascii="Times New Roman" w:hAnsi="Times New Roman"/>
        </w:rPr>
        <w:t>程</w:t>
      </w:r>
      <w:bookmarkEnd w:id="446"/>
      <w:bookmarkEnd w:id="447"/>
      <w:bookmarkEnd w:id="448"/>
      <w:r>
        <w:rPr>
          <w:rFonts w:ascii="Times New Roman" w:hAnsi="Times New Roman"/>
        </w:rPr>
        <w:tab/>
      </w:r>
    </w:p>
    <w:bookmarkEnd w:id="445"/>
    <w:p>
      <w:pPr>
        <w:snapToGrid w:val="0"/>
        <w:spacing w:line="360" w:lineRule="auto"/>
        <w:ind w:right="-134" w:rightChars="-48" w:firstLine="560"/>
        <w:rPr>
          <w:iCs/>
        </w:rPr>
      </w:pPr>
      <w:r>
        <w:t>通过政策引导、技术推广、典型示范，加快城镇生活节水建设。</w:t>
      </w:r>
      <w:r>
        <w:rPr>
          <w:rFonts w:hint="eastAsia"/>
        </w:rPr>
        <w:t>按节水型生活用水器具标准（</w:t>
      </w:r>
      <w:r>
        <w:t>CJ164</w:t>
      </w:r>
      <w:r>
        <w:rPr>
          <w:rFonts w:hint="eastAsia"/>
        </w:rPr>
        <w:t>—</w:t>
      </w:r>
      <w:r>
        <w:t>20</w:t>
      </w:r>
      <w:r>
        <w:rPr>
          <w:rFonts w:hint="eastAsia"/>
        </w:rPr>
        <w:t>14），禁止生产和销售不符合节水标准的用水产品；新建、改建、扩建的建设项目，禁止设计、采购、使用不符合节水标准的用水产品。</w:t>
      </w:r>
      <w:r>
        <w:t>实施公共节水改造项目，建成一批节水型社区、节水型学校、节水型机关及节水型家庭。</w:t>
      </w:r>
      <w:r>
        <w:rPr>
          <w:rFonts w:hint="eastAsia"/>
          <w:iCs/>
        </w:rPr>
        <w:t>到2020年，</w:t>
      </w:r>
      <w:r>
        <w:rPr>
          <w:iCs/>
        </w:rPr>
        <w:t>创建节水型</w:t>
      </w:r>
      <w:r>
        <w:rPr>
          <w:rFonts w:hint="eastAsia"/>
          <w:iCs/>
        </w:rPr>
        <w:t>单位35个，节水型小区18个，费用估算</w:t>
      </w:r>
      <w:r>
        <w:rPr>
          <w:iCs/>
        </w:rPr>
        <w:t>为</w:t>
      </w:r>
      <w:r>
        <w:rPr>
          <w:rFonts w:hint="eastAsia"/>
          <w:iCs/>
        </w:rPr>
        <w:t>500万元</w:t>
      </w:r>
      <w:r>
        <w:rPr>
          <w:iCs/>
        </w:rPr>
        <w:t>。</w:t>
      </w:r>
    </w:p>
    <w:p>
      <w:pPr>
        <w:snapToGrid w:val="0"/>
        <w:spacing w:line="360" w:lineRule="auto"/>
        <w:ind w:right="-134" w:rightChars="-48" w:firstLine="560"/>
      </w:pPr>
      <w:r>
        <w:rPr>
          <w:rFonts w:hint="eastAsia"/>
          <w:iCs/>
        </w:rPr>
        <w:t>实施供水管网分区计量，</w:t>
      </w:r>
      <w:r>
        <w:rPr>
          <w:rFonts w:hint="eastAsia"/>
        </w:rPr>
        <w:t>实行DMA 分区管理可以使供水企业各部门的责权利明晰化, 并通过计量和测量的数据实行远程传输, 做好对数据的采集与管理以及对小区的漏损状况进行分析评估, 最终可以较为直观地反映该区域漏损情况, 为管网管理提供科学依据，费用估算为3000万元。</w:t>
      </w:r>
    </w:p>
    <w:p>
      <w:pPr>
        <w:pStyle w:val="16"/>
        <w:tabs>
          <w:tab w:val="left" w:pos="3980"/>
        </w:tabs>
        <w:spacing w:before="107" w:line="338" w:lineRule="auto"/>
        <w:ind w:right="3" w:firstLine="3091" w:firstLineChars="1283"/>
        <w:jc w:val="both"/>
        <w:rPr>
          <w:rFonts w:cs="Times New Roman"/>
          <w:b/>
          <w:sz w:val="24"/>
        </w:rPr>
      </w:pPr>
      <w:r>
        <w:rPr>
          <w:rFonts w:hint="eastAsia" w:cs="Times New Roman"/>
          <w:b/>
          <w:sz w:val="24"/>
        </w:rPr>
        <w:t>表8-3 近期节水型小区创建名单</w:t>
      </w:r>
    </w:p>
    <w:tbl>
      <w:tblPr>
        <w:tblStyle w:val="39"/>
        <w:tblW w:w="10326" w:type="dxa"/>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2325"/>
        <w:gridCol w:w="8001"/>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序号</w:t>
            </w:r>
          </w:p>
        </w:tc>
        <w:tc>
          <w:tcPr>
            <w:tcW w:w="8001" w:type="dxa"/>
            <w:vAlign w:val="center"/>
          </w:tcPr>
          <w:p>
            <w:pPr>
              <w:pStyle w:val="72"/>
            </w:pPr>
            <w:r>
              <w:rPr>
                <w:rFonts w:hint="eastAsia"/>
              </w:rPr>
              <w:t>小区名称</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w:t>
            </w:r>
          </w:p>
        </w:tc>
        <w:tc>
          <w:tcPr>
            <w:tcW w:w="8001" w:type="dxa"/>
            <w:vAlign w:val="center"/>
          </w:tcPr>
          <w:p>
            <w:pPr>
              <w:pStyle w:val="72"/>
            </w:pPr>
            <w:r>
              <w:rPr>
                <w:rFonts w:hint="eastAsia"/>
              </w:rPr>
              <w:t>温哥华城 锦河湾小区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2</w:t>
            </w:r>
          </w:p>
        </w:tc>
        <w:tc>
          <w:tcPr>
            <w:tcW w:w="8001" w:type="dxa"/>
            <w:vAlign w:val="center"/>
          </w:tcPr>
          <w:p>
            <w:pPr>
              <w:pStyle w:val="72"/>
            </w:pPr>
            <w:r>
              <w:rPr>
                <w:rFonts w:hint="eastAsia"/>
              </w:rPr>
              <w:t>山水文园小区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3</w:t>
            </w:r>
          </w:p>
        </w:tc>
        <w:tc>
          <w:tcPr>
            <w:tcW w:w="8001" w:type="dxa"/>
            <w:vAlign w:val="center"/>
          </w:tcPr>
          <w:p>
            <w:pPr>
              <w:pStyle w:val="72"/>
            </w:pPr>
            <w:r>
              <w:rPr>
                <w:rFonts w:hint="eastAsia"/>
              </w:rPr>
              <w:t>现代花园 北苑小区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4</w:t>
            </w:r>
          </w:p>
        </w:tc>
        <w:tc>
          <w:tcPr>
            <w:tcW w:w="8001" w:type="dxa"/>
            <w:vAlign w:val="center"/>
          </w:tcPr>
          <w:p>
            <w:pPr>
              <w:pStyle w:val="72"/>
            </w:pPr>
            <w:r>
              <w:rPr>
                <w:rFonts w:hint="eastAsia"/>
              </w:rPr>
              <w:t>家天下小区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5</w:t>
            </w:r>
          </w:p>
        </w:tc>
        <w:tc>
          <w:tcPr>
            <w:tcW w:w="8001" w:type="dxa"/>
            <w:vAlign w:val="center"/>
          </w:tcPr>
          <w:p>
            <w:pPr>
              <w:pStyle w:val="72"/>
            </w:pPr>
            <w:r>
              <w:rPr>
                <w:rFonts w:hint="eastAsia"/>
              </w:rPr>
              <w:t>淮北市港利上城国际小区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6</w:t>
            </w:r>
          </w:p>
        </w:tc>
        <w:tc>
          <w:tcPr>
            <w:tcW w:w="8001" w:type="dxa"/>
            <w:vAlign w:val="center"/>
          </w:tcPr>
          <w:p>
            <w:pPr>
              <w:pStyle w:val="72"/>
            </w:pPr>
            <w:r>
              <w:rPr>
                <w:rFonts w:hint="eastAsia"/>
              </w:rPr>
              <w:t>翡翠岛小区</w:t>
            </w:r>
          </w:p>
        </w:tc>
      </w:tr>
      <w:tr>
        <w:tblPrEx>
          <w:tblCellMar>
            <w:top w:w="0" w:type="dxa"/>
            <w:left w:w="108" w:type="dxa"/>
            <w:bottom w:w="0" w:type="dxa"/>
            <w:right w:w="108" w:type="dxa"/>
          </w:tblCellMar>
        </w:tblPrEx>
        <w:tc>
          <w:tcPr>
            <w:tcW w:w="2325" w:type="dxa"/>
            <w:vAlign w:val="center"/>
          </w:tcPr>
          <w:p>
            <w:pPr>
              <w:pStyle w:val="72"/>
            </w:pPr>
            <w:r>
              <w:rPr>
                <w:rFonts w:hint="eastAsia"/>
              </w:rPr>
              <w:t>7</w:t>
            </w:r>
          </w:p>
        </w:tc>
        <w:tc>
          <w:tcPr>
            <w:tcW w:w="8001" w:type="dxa"/>
            <w:vAlign w:val="center"/>
          </w:tcPr>
          <w:p>
            <w:pPr>
              <w:pStyle w:val="72"/>
            </w:pPr>
            <w:r>
              <w:rPr>
                <w:rFonts w:hint="eastAsia"/>
              </w:rPr>
              <w:t>首府小区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8</w:t>
            </w:r>
          </w:p>
        </w:tc>
        <w:tc>
          <w:tcPr>
            <w:tcW w:w="8001" w:type="dxa"/>
            <w:vAlign w:val="center"/>
          </w:tcPr>
          <w:p>
            <w:pPr>
              <w:pStyle w:val="72"/>
            </w:pPr>
            <w:r>
              <w:rPr>
                <w:rFonts w:hint="eastAsia"/>
              </w:rPr>
              <w:t>锦绣和庄</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9</w:t>
            </w:r>
          </w:p>
        </w:tc>
        <w:tc>
          <w:tcPr>
            <w:tcW w:w="8001" w:type="dxa"/>
            <w:vAlign w:val="center"/>
          </w:tcPr>
          <w:p>
            <w:pPr>
              <w:pStyle w:val="72"/>
            </w:pPr>
            <w:r>
              <w:rPr>
                <w:rFonts w:hint="eastAsia"/>
              </w:rPr>
              <w:t>万马相山庭院小区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10</w:t>
            </w:r>
          </w:p>
        </w:tc>
        <w:tc>
          <w:tcPr>
            <w:tcW w:w="8001" w:type="dxa"/>
            <w:vAlign w:val="center"/>
          </w:tcPr>
          <w:p>
            <w:pPr>
              <w:pStyle w:val="72"/>
            </w:pPr>
            <w:r>
              <w:rPr>
                <w:rFonts w:hint="eastAsia"/>
              </w:rPr>
              <w:t>华佳梅苑小区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11</w:t>
            </w:r>
          </w:p>
        </w:tc>
        <w:tc>
          <w:tcPr>
            <w:tcW w:w="8001" w:type="dxa"/>
            <w:vAlign w:val="center"/>
          </w:tcPr>
          <w:p>
            <w:pPr>
              <w:pStyle w:val="72"/>
            </w:pPr>
            <w:r>
              <w:rPr>
                <w:rFonts w:hint="eastAsia"/>
              </w:rPr>
              <w:t>中央花城小区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12</w:t>
            </w:r>
          </w:p>
        </w:tc>
        <w:tc>
          <w:tcPr>
            <w:tcW w:w="8001" w:type="dxa"/>
            <w:vAlign w:val="center"/>
          </w:tcPr>
          <w:p>
            <w:pPr>
              <w:pStyle w:val="72"/>
            </w:pPr>
            <w:r>
              <w:rPr>
                <w:rFonts w:hint="eastAsia"/>
              </w:rPr>
              <w:t>濉河花园小区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13</w:t>
            </w:r>
          </w:p>
        </w:tc>
        <w:tc>
          <w:tcPr>
            <w:tcW w:w="8001" w:type="dxa"/>
            <w:vAlign w:val="center"/>
          </w:tcPr>
          <w:p>
            <w:pPr>
              <w:pStyle w:val="72"/>
            </w:pPr>
            <w:r>
              <w:rPr>
                <w:rFonts w:hint="eastAsia"/>
              </w:rPr>
              <w:t>龙溪水岸小区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14</w:t>
            </w:r>
          </w:p>
        </w:tc>
        <w:tc>
          <w:tcPr>
            <w:tcW w:w="8001" w:type="dxa"/>
            <w:vAlign w:val="center"/>
          </w:tcPr>
          <w:p>
            <w:pPr>
              <w:pStyle w:val="72"/>
            </w:pPr>
            <w:r>
              <w:rPr>
                <w:rFonts w:hint="eastAsia"/>
              </w:rPr>
              <w:t>滨湖新城小区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15</w:t>
            </w:r>
          </w:p>
        </w:tc>
        <w:tc>
          <w:tcPr>
            <w:tcW w:w="8001" w:type="dxa"/>
            <w:vAlign w:val="center"/>
          </w:tcPr>
          <w:p>
            <w:pPr>
              <w:pStyle w:val="72"/>
            </w:pPr>
            <w:r>
              <w:rPr>
                <w:rFonts w:hint="eastAsia"/>
              </w:rPr>
              <w:t>静安  观澜郡小区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16</w:t>
            </w:r>
          </w:p>
        </w:tc>
        <w:tc>
          <w:tcPr>
            <w:tcW w:w="8001" w:type="dxa"/>
            <w:vAlign w:val="center"/>
          </w:tcPr>
          <w:p>
            <w:pPr>
              <w:pStyle w:val="72"/>
            </w:pPr>
            <w:r>
              <w:t>恒大雅苑</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17</w:t>
            </w:r>
          </w:p>
        </w:tc>
        <w:tc>
          <w:tcPr>
            <w:tcW w:w="8001" w:type="dxa"/>
            <w:vAlign w:val="center"/>
          </w:tcPr>
          <w:p>
            <w:pPr>
              <w:pStyle w:val="72"/>
            </w:pPr>
            <w:r>
              <w:rPr>
                <w:rFonts w:hint="eastAsia"/>
              </w:rPr>
              <w:t>供电小区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18</w:t>
            </w:r>
          </w:p>
        </w:tc>
        <w:tc>
          <w:tcPr>
            <w:tcW w:w="8001" w:type="dxa"/>
            <w:vAlign w:val="center"/>
          </w:tcPr>
          <w:p>
            <w:pPr>
              <w:pStyle w:val="72"/>
            </w:pPr>
            <w:r>
              <w:rPr>
                <w:rFonts w:hint="eastAsia"/>
              </w:rPr>
              <w:t>桓湖花园</w:t>
            </w:r>
          </w:p>
        </w:tc>
      </w:tr>
    </w:tbl>
    <w:p>
      <w:pPr>
        <w:pStyle w:val="16"/>
        <w:tabs>
          <w:tab w:val="left" w:pos="3980"/>
        </w:tabs>
        <w:spacing w:before="107" w:line="338" w:lineRule="auto"/>
        <w:ind w:right="3" w:firstLine="3091" w:firstLineChars="1283"/>
        <w:jc w:val="both"/>
        <w:rPr>
          <w:rFonts w:cs="Times New Roman"/>
          <w:b/>
          <w:sz w:val="24"/>
        </w:rPr>
      </w:pPr>
      <w:bookmarkStart w:id="449" w:name="_Toc478634512"/>
      <w:bookmarkStart w:id="450" w:name="_Toc475998626"/>
      <w:r>
        <w:rPr>
          <w:rFonts w:hint="eastAsia" w:cs="Times New Roman"/>
          <w:b/>
          <w:sz w:val="24"/>
        </w:rPr>
        <w:t>表8-4 近期节水型单位创建名单</w:t>
      </w:r>
    </w:p>
    <w:tbl>
      <w:tblPr>
        <w:tblStyle w:val="39"/>
        <w:tblW w:w="10326" w:type="dxa"/>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2325"/>
        <w:gridCol w:w="8001"/>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序号</w:t>
            </w:r>
          </w:p>
        </w:tc>
        <w:tc>
          <w:tcPr>
            <w:tcW w:w="8001" w:type="dxa"/>
            <w:vAlign w:val="center"/>
          </w:tcPr>
          <w:p>
            <w:pPr>
              <w:pStyle w:val="72"/>
            </w:pPr>
            <w:r>
              <w:rPr>
                <w:rFonts w:hint="eastAsia"/>
              </w:rPr>
              <w:t>单位名称</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w:t>
            </w:r>
          </w:p>
        </w:tc>
        <w:tc>
          <w:tcPr>
            <w:tcW w:w="8001" w:type="dxa"/>
            <w:vAlign w:val="center"/>
          </w:tcPr>
          <w:p>
            <w:pPr>
              <w:pStyle w:val="72"/>
            </w:pPr>
            <w:r>
              <w:rPr>
                <w:rFonts w:hint="eastAsia"/>
              </w:rPr>
              <w:t>淮北</w:t>
            </w:r>
            <w:r>
              <w:t>市</w:t>
            </w:r>
            <w:r>
              <w:rPr>
                <w:rFonts w:hint="eastAsia"/>
              </w:rPr>
              <w:t>人民</w:t>
            </w:r>
            <w:r>
              <w:t>医院</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2</w:t>
            </w:r>
          </w:p>
        </w:tc>
        <w:tc>
          <w:tcPr>
            <w:tcW w:w="8001" w:type="dxa"/>
            <w:vAlign w:val="center"/>
          </w:tcPr>
          <w:p>
            <w:pPr>
              <w:pStyle w:val="72"/>
            </w:pPr>
            <w:r>
              <w:rPr>
                <w:rFonts w:hint="eastAsia"/>
              </w:rPr>
              <w:t>淮北市金鹰国际购物中心</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3</w:t>
            </w:r>
          </w:p>
        </w:tc>
        <w:tc>
          <w:tcPr>
            <w:tcW w:w="8001" w:type="dxa"/>
            <w:vAlign w:val="center"/>
          </w:tcPr>
          <w:p>
            <w:pPr>
              <w:pStyle w:val="72"/>
            </w:pPr>
            <w:r>
              <w:rPr>
                <w:rFonts w:hint="eastAsia"/>
              </w:rPr>
              <w:t>淮北市国源奥莱店</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4</w:t>
            </w:r>
          </w:p>
        </w:tc>
        <w:tc>
          <w:tcPr>
            <w:tcW w:w="8001" w:type="dxa"/>
            <w:vAlign w:val="center"/>
          </w:tcPr>
          <w:p>
            <w:pPr>
              <w:pStyle w:val="72"/>
            </w:pPr>
            <w:r>
              <w:rPr>
                <w:rFonts w:hint="eastAsia"/>
              </w:rPr>
              <w:t>淮北市水务局</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5</w:t>
            </w:r>
          </w:p>
        </w:tc>
        <w:tc>
          <w:tcPr>
            <w:tcW w:w="8001" w:type="dxa"/>
            <w:vAlign w:val="center"/>
          </w:tcPr>
          <w:p>
            <w:pPr>
              <w:pStyle w:val="72"/>
            </w:pPr>
            <w:r>
              <w:rPr>
                <w:rFonts w:hint="eastAsia"/>
              </w:rPr>
              <w:t>淮北工业与艺术学校</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6</w:t>
            </w:r>
          </w:p>
        </w:tc>
        <w:tc>
          <w:tcPr>
            <w:tcW w:w="8001" w:type="dxa"/>
            <w:vAlign w:val="center"/>
          </w:tcPr>
          <w:p>
            <w:pPr>
              <w:pStyle w:val="72"/>
            </w:pPr>
            <w:r>
              <w:rPr>
                <w:rFonts w:hint="eastAsia"/>
              </w:rPr>
              <w:t>淮北市天一中学</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7</w:t>
            </w:r>
          </w:p>
        </w:tc>
        <w:tc>
          <w:tcPr>
            <w:tcW w:w="8001" w:type="dxa"/>
            <w:vAlign w:val="center"/>
          </w:tcPr>
          <w:p>
            <w:pPr>
              <w:pStyle w:val="72"/>
            </w:pPr>
            <w:r>
              <w:rPr>
                <w:rFonts w:hint="eastAsia"/>
              </w:rPr>
              <w:t>淮北龙兴学校</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8</w:t>
            </w:r>
          </w:p>
        </w:tc>
        <w:tc>
          <w:tcPr>
            <w:tcW w:w="8001" w:type="dxa"/>
            <w:vAlign w:val="center"/>
          </w:tcPr>
          <w:p>
            <w:pPr>
              <w:pStyle w:val="72"/>
            </w:pPr>
            <w:r>
              <w:rPr>
                <w:rFonts w:hint="eastAsia"/>
              </w:rPr>
              <w:t>淮北口子国际大酒店</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9</w:t>
            </w:r>
          </w:p>
        </w:tc>
        <w:tc>
          <w:tcPr>
            <w:tcW w:w="8001" w:type="dxa"/>
            <w:vAlign w:val="center"/>
          </w:tcPr>
          <w:p>
            <w:pPr>
              <w:pStyle w:val="72"/>
            </w:pPr>
            <w:r>
              <w:rPr>
                <w:rFonts w:hint="eastAsia"/>
              </w:rPr>
              <w:t>淮北市伯瑞特酒店</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10</w:t>
            </w:r>
          </w:p>
        </w:tc>
        <w:tc>
          <w:tcPr>
            <w:tcW w:w="8001" w:type="dxa"/>
            <w:vAlign w:val="center"/>
          </w:tcPr>
          <w:p>
            <w:pPr>
              <w:pStyle w:val="72"/>
            </w:pPr>
            <w:r>
              <w:rPr>
                <w:rFonts w:hint="eastAsia"/>
              </w:rPr>
              <w:t>淮北市质量技术监督局</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11</w:t>
            </w:r>
          </w:p>
        </w:tc>
        <w:tc>
          <w:tcPr>
            <w:tcW w:w="8001" w:type="dxa"/>
            <w:vAlign w:val="center"/>
          </w:tcPr>
          <w:p>
            <w:pPr>
              <w:pStyle w:val="72"/>
            </w:pPr>
            <w:r>
              <w:rPr>
                <w:rFonts w:hint="eastAsia"/>
              </w:rPr>
              <w:t>淮北市烈山区人民政府</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12</w:t>
            </w:r>
          </w:p>
        </w:tc>
        <w:tc>
          <w:tcPr>
            <w:tcW w:w="8001" w:type="dxa"/>
            <w:vAlign w:val="center"/>
          </w:tcPr>
          <w:p>
            <w:pPr>
              <w:pStyle w:val="72"/>
            </w:pPr>
            <w:r>
              <w:rPr>
                <w:rFonts w:hint="eastAsia"/>
              </w:rPr>
              <w:t>淮北市第二实验小学</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13</w:t>
            </w:r>
          </w:p>
        </w:tc>
        <w:tc>
          <w:tcPr>
            <w:tcW w:w="8001" w:type="dxa"/>
            <w:vAlign w:val="center"/>
          </w:tcPr>
          <w:p>
            <w:pPr>
              <w:pStyle w:val="72"/>
            </w:pPr>
            <w:r>
              <w:rPr>
                <w:rFonts w:hint="eastAsia"/>
              </w:rPr>
              <w:t>淮北市职业技术学院</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14</w:t>
            </w:r>
          </w:p>
        </w:tc>
        <w:tc>
          <w:tcPr>
            <w:tcW w:w="8001" w:type="dxa"/>
            <w:vAlign w:val="center"/>
          </w:tcPr>
          <w:p>
            <w:pPr>
              <w:pStyle w:val="72"/>
            </w:pPr>
            <w:r>
              <w:rPr>
                <w:rFonts w:hint="eastAsia"/>
              </w:rPr>
              <w:t>淮北市曼哈顿国际酒店</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15</w:t>
            </w:r>
          </w:p>
        </w:tc>
        <w:tc>
          <w:tcPr>
            <w:tcW w:w="8001" w:type="dxa"/>
            <w:vAlign w:val="center"/>
          </w:tcPr>
          <w:p>
            <w:pPr>
              <w:pStyle w:val="72"/>
            </w:pPr>
            <w:r>
              <w:rPr>
                <w:rFonts w:hint="eastAsia"/>
              </w:rPr>
              <w:t>国家税务总局淮北市税务局</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16</w:t>
            </w:r>
          </w:p>
        </w:tc>
        <w:tc>
          <w:tcPr>
            <w:tcW w:w="8001" w:type="dxa"/>
            <w:vAlign w:val="center"/>
          </w:tcPr>
          <w:p>
            <w:pPr>
              <w:pStyle w:val="72"/>
            </w:pPr>
            <w:r>
              <w:rPr>
                <w:rFonts w:hint="eastAsia"/>
              </w:rPr>
              <w:t>淮北市中级人民法院</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17</w:t>
            </w:r>
          </w:p>
        </w:tc>
        <w:tc>
          <w:tcPr>
            <w:tcW w:w="8001" w:type="dxa"/>
            <w:vAlign w:val="center"/>
          </w:tcPr>
          <w:p>
            <w:pPr>
              <w:pStyle w:val="72"/>
            </w:pPr>
            <w:r>
              <w:rPr>
                <w:rFonts w:hint="eastAsia"/>
              </w:rPr>
              <w:t>淮北市科学技术局</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18</w:t>
            </w:r>
          </w:p>
        </w:tc>
        <w:tc>
          <w:tcPr>
            <w:tcW w:w="8001" w:type="dxa"/>
            <w:vAlign w:val="center"/>
          </w:tcPr>
          <w:p>
            <w:pPr>
              <w:pStyle w:val="72"/>
            </w:pPr>
            <w:r>
              <w:rPr>
                <w:rFonts w:hint="eastAsia"/>
              </w:rPr>
              <w:t>淮北鸿瑞酒店</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19</w:t>
            </w:r>
          </w:p>
        </w:tc>
        <w:tc>
          <w:tcPr>
            <w:tcW w:w="8001" w:type="dxa"/>
            <w:vAlign w:val="center"/>
          </w:tcPr>
          <w:p>
            <w:pPr>
              <w:pStyle w:val="72"/>
            </w:pPr>
            <w:r>
              <w:rPr>
                <w:rFonts w:hint="eastAsia"/>
              </w:rPr>
              <w:t>淮北凌云宾馆</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20</w:t>
            </w:r>
          </w:p>
        </w:tc>
        <w:tc>
          <w:tcPr>
            <w:tcW w:w="8001" w:type="dxa"/>
            <w:vAlign w:val="center"/>
          </w:tcPr>
          <w:p>
            <w:pPr>
              <w:pStyle w:val="72"/>
            </w:pPr>
            <w:r>
              <w:rPr>
                <w:rFonts w:hint="eastAsia"/>
              </w:rPr>
              <w:t>淮北矿业办公中心</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21</w:t>
            </w:r>
          </w:p>
        </w:tc>
        <w:tc>
          <w:tcPr>
            <w:tcW w:w="8001" w:type="dxa"/>
            <w:vAlign w:val="center"/>
          </w:tcPr>
          <w:p>
            <w:pPr>
              <w:pStyle w:val="72"/>
            </w:pPr>
            <w:r>
              <w:rPr>
                <w:rFonts w:hint="eastAsia"/>
              </w:rPr>
              <w:t>淮北市广电中心</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22</w:t>
            </w:r>
          </w:p>
        </w:tc>
        <w:tc>
          <w:tcPr>
            <w:tcW w:w="8001" w:type="dxa"/>
            <w:vAlign w:val="center"/>
          </w:tcPr>
          <w:p>
            <w:pPr>
              <w:pStyle w:val="72"/>
            </w:pPr>
            <w:r>
              <w:t>淮北师范大学（新校区）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23</w:t>
            </w:r>
          </w:p>
        </w:tc>
        <w:tc>
          <w:tcPr>
            <w:tcW w:w="8001" w:type="dxa"/>
            <w:vAlign w:val="center"/>
          </w:tcPr>
          <w:p>
            <w:pPr>
              <w:pStyle w:val="72"/>
            </w:pPr>
            <w:r>
              <w:t>淮北师范大学（</w:t>
            </w:r>
            <w:r>
              <w:rPr>
                <w:rFonts w:hint="eastAsia"/>
              </w:rPr>
              <w:t>老</w:t>
            </w:r>
            <w:r>
              <w:t>校区）</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24</w:t>
            </w:r>
          </w:p>
        </w:tc>
        <w:tc>
          <w:tcPr>
            <w:tcW w:w="8001" w:type="dxa"/>
            <w:vAlign w:val="center"/>
          </w:tcPr>
          <w:p>
            <w:pPr>
              <w:pStyle w:val="72"/>
            </w:pPr>
            <w:r>
              <w:rPr>
                <w:rFonts w:hint="eastAsia"/>
              </w:rPr>
              <w:t>淮北市实验小学</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25</w:t>
            </w:r>
          </w:p>
        </w:tc>
        <w:tc>
          <w:tcPr>
            <w:tcW w:w="8001" w:type="dxa"/>
            <w:vAlign w:val="center"/>
          </w:tcPr>
          <w:p>
            <w:pPr>
              <w:pStyle w:val="72"/>
            </w:pPr>
            <w:r>
              <w:t>淮北实验高级中学</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26</w:t>
            </w:r>
          </w:p>
        </w:tc>
        <w:tc>
          <w:tcPr>
            <w:tcW w:w="8001" w:type="dxa"/>
            <w:vAlign w:val="center"/>
          </w:tcPr>
          <w:p>
            <w:pPr>
              <w:pStyle w:val="72"/>
            </w:pPr>
            <w:r>
              <w:t>淮北市第二中学</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27</w:t>
            </w:r>
          </w:p>
        </w:tc>
        <w:tc>
          <w:tcPr>
            <w:tcW w:w="8001" w:type="dxa"/>
            <w:vAlign w:val="center"/>
          </w:tcPr>
          <w:p>
            <w:pPr>
              <w:pStyle w:val="72"/>
            </w:pPr>
            <w:r>
              <w:t>淮北市梅苑学校</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28</w:t>
            </w:r>
          </w:p>
        </w:tc>
        <w:tc>
          <w:tcPr>
            <w:tcW w:w="8001" w:type="dxa"/>
            <w:vAlign w:val="center"/>
          </w:tcPr>
          <w:p>
            <w:pPr>
              <w:pStyle w:val="72"/>
            </w:pPr>
            <w:r>
              <w:t>淮北市西</w:t>
            </w:r>
            <w:r>
              <w:rPr>
                <w:rFonts w:hint="eastAsia"/>
              </w:rPr>
              <w:t>园</w:t>
            </w:r>
            <w:r>
              <w:t>中学</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29</w:t>
            </w:r>
          </w:p>
        </w:tc>
        <w:tc>
          <w:tcPr>
            <w:tcW w:w="8001" w:type="dxa"/>
            <w:vAlign w:val="center"/>
          </w:tcPr>
          <w:p>
            <w:pPr>
              <w:pStyle w:val="72"/>
            </w:pPr>
            <w:r>
              <w:t>淮北市中医院</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30</w:t>
            </w:r>
          </w:p>
        </w:tc>
        <w:tc>
          <w:tcPr>
            <w:tcW w:w="8001" w:type="dxa"/>
            <w:vAlign w:val="center"/>
          </w:tcPr>
          <w:p>
            <w:pPr>
              <w:pStyle w:val="72"/>
            </w:pPr>
            <w:r>
              <w:t>淮北市朝阳医院</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31</w:t>
            </w:r>
          </w:p>
        </w:tc>
        <w:tc>
          <w:tcPr>
            <w:tcW w:w="8001" w:type="dxa"/>
            <w:vAlign w:val="center"/>
          </w:tcPr>
          <w:p>
            <w:pPr>
              <w:pStyle w:val="72"/>
            </w:pPr>
            <w:r>
              <w:rPr>
                <w:rFonts w:hint="eastAsia"/>
              </w:rPr>
              <w:t>杜集区政府办公楼</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32</w:t>
            </w:r>
          </w:p>
        </w:tc>
        <w:tc>
          <w:tcPr>
            <w:tcW w:w="8001" w:type="dxa"/>
            <w:vAlign w:val="center"/>
          </w:tcPr>
          <w:p>
            <w:pPr>
              <w:pStyle w:val="72"/>
            </w:pPr>
            <w:r>
              <w:t>淮北市行政中心</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33</w:t>
            </w:r>
          </w:p>
        </w:tc>
        <w:tc>
          <w:tcPr>
            <w:tcW w:w="8001" w:type="dxa"/>
            <w:vAlign w:val="center"/>
          </w:tcPr>
          <w:p>
            <w:pPr>
              <w:pStyle w:val="72"/>
            </w:pPr>
            <w:r>
              <w:t>淮北市检察院办公楼</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34</w:t>
            </w:r>
          </w:p>
        </w:tc>
        <w:tc>
          <w:tcPr>
            <w:tcW w:w="8001" w:type="dxa"/>
            <w:vAlign w:val="center"/>
          </w:tcPr>
          <w:p>
            <w:pPr>
              <w:pStyle w:val="72"/>
            </w:pPr>
            <w:r>
              <w:t>淮北市交通局办公楼</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2325" w:type="dxa"/>
            <w:vAlign w:val="center"/>
          </w:tcPr>
          <w:p>
            <w:pPr>
              <w:pStyle w:val="72"/>
            </w:pPr>
            <w:r>
              <w:rPr>
                <w:rFonts w:hint="eastAsia"/>
              </w:rPr>
              <w:t>35</w:t>
            </w:r>
          </w:p>
        </w:tc>
        <w:tc>
          <w:tcPr>
            <w:tcW w:w="8001" w:type="dxa"/>
            <w:vAlign w:val="center"/>
          </w:tcPr>
          <w:p>
            <w:pPr>
              <w:pStyle w:val="72"/>
            </w:pPr>
            <w:r>
              <w:rPr>
                <w:rFonts w:hint="eastAsia"/>
              </w:rPr>
              <w:t>房产超市</w:t>
            </w:r>
          </w:p>
        </w:tc>
      </w:tr>
    </w:tbl>
    <w:p>
      <w:pPr>
        <w:pStyle w:val="3"/>
        <w:spacing w:before="120" w:after="60"/>
        <w:ind w:firstLine="602"/>
        <w:rPr>
          <w:rFonts w:ascii="Times New Roman" w:hAnsi="Times New Roman"/>
        </w:rPr>
      </w:pPr>
      <w:bookmarkStart w:id="451" w:name="_Toc8032661"/>
      <w:r>
        <w:rPr>
          <w:rFonts w:ascii="Times New Roman" w:hAnsi="Times New Roman"/>
        </w:rPr>
        <w:t>8.3非常规水资源利用工程</w:t>
      </w:r>
      <w:bookmarkEnd w:id="449"/>
      <w:bookmarkEnd w:id="450"/>
      <w:bookmarkEnd w:id="451"/>
    </w:p>
    <w:p>
      <w:pPr>
        <w:spacing w:before="120"/>
        <w:ind w:firstLine="560"/>
      </w:pPr>
      <w:r>
        <w:t>根据现状非常规水资源利用和水资源配置分析，</w:t>
      </w:r>
      <w:r>
        <w:rPr>
          <w:rFonts w:hint="eastAsia"/>
        </w:rPr>
        <w:t>淮北市</w:t>
      </w:r>
      <w:r>
        <w:t>规划期内非常规水源利用重点工程主要为污水处理回用。</w:t>
      </w:r>
      <w:r>
        <w:rPr>
          <w:rFonts w:hint="eastAsia"/>
        </w:rPr>
        <w:t>加强非常规水源利用，开展节水工业、高耗水行业节水技术研究与推广，铺设中水回用供水管道，推行低影响开发建设模式，城市建设注重雨水收集利用，道路两侧逐步配套建设雨水蓄水设施。</w:t>
      </w:r>
    </w:p>
    <w:p>
      <w:pPr>
        <w:spacing w:before="120"/>
        <w:ind w:firstLine="560"/>
      </w:pPr>
      <w:bookmarkStart w:id="452" w:name="_Toc478634515"/>
      <w:bookmarkStart w:id="453" w:name="_Toc475998630"/>
      <w:r>
        <w:t>根据现状非常规水资源利用和水资源配置分析，</w:t>
      </w:r>
      <w:r>
        <w:rPr>
          <w:rFonts w:hint="eastAsia"/>
        </w:rPr>
        <w:t>淮北市</w:t>
      </w:r>
      <w:r>
        <w:t>规划期内非常规水源利用重点工程主要为污水处理回用。</w:t>
      </w:r>
      <w:r>
        <w:rPr>
          <w:rFonts w:hint="eastAsia"/>
        </w:rPr>
        <w:t>加强非常规水源利用，开展节水工业、高耗水行业节水技术研究与推广，铺设中水回用供水管道，推行低影响开发建设模式，城市建设注重雨水收集利用，道路两侧逐步配套建设雨水蓄水设施。</w:t>
      </w:r>
    </w:p>
    <w:p>
      <w:pPr>
        <w:spacing w:before="120"/>
        <w:ind w:firstLine="560"/>
      </w:pPr>
      <w:bookmarkStart w:id="454" w:name="_Toc2785978"/>
      <w:r>
        <w:t>1.雨水利用工程</w:t>
      </w:r>
      <w:bookmarkEnd w:id="454"/>
    </w:p>
    <w:p>
      <w:pPr>
        <w:spacing w:before="120"/>
        <w:ind w:firstLine="560"/>
      </w:pPr>
      <w:r>
        <w:rPr>
          <w:rFonts w:hint="eastAsia"/>
        </w:rPr>
        <w:t>淮北市雨水利用工程建议采用集中与分散相结合的模式。结合海绵城市建设，在城市绿地、公园及风景名胜旅游区等集中建设大、小型雨水调蓄池，在规划期内结合河道水系两侧的绿地和公园，建设大型雨水调蓄池，将收集的雨水用于浇洒绿地、消防或经过适当处理用于工业冷却水等。在小区、科研单位和学校建设小型蓄水池，小型蓄水池的设计可以与景观和生态环境建设相结合，尽可能利用景观水体或绿地系统就地对雨水径流进行削减及净化。对于建筑密度较大、可利用空间有限的已建成居住区，可建设分散式雨水收集系统，如雨水桶等。将雨水资源用于风景区绿地浇灌、日常洗车和园林景观用水等方面，全面提高雨水的利用率。</w:t>
      </w:r>
    </w:p>
    <w:p>
      <w:pPr>
        <w:spacing w:before="120"/>
        <w:ind w:firstLine="560"/>
      </w:pPr>
      <w:bookmarkStart w:id="455" w:name="_Toc478634514"/>
      <w:bookmarkStart w:id="456" w:name="_Toc2785979"/>
      <w:bookmarkStart w:id="457" w:name="_Toc475998628"/>
      <w:r>
        <w:t>2.</w:t>
      </w:r>
      <w:r>
        <w:rPr>
          <w:rFonts w:hint="eastAsia"/>
        </w:rPr>
        <w:t>再生水利用</w:t>
      </w:r>
      <w:r>
        <w:t>工程</w:t>
      </w:r>
      <w:bookmarkEnd w:id="455"/>
      <w:bookmarkEnd w:id="456"/>
      <w:bookmarkEnd w:id="457"/>
    </w:p>
    <w:p>
      <w:pPr>
        <w:ind w:firstLine="560"/>
      </w:pPr>
      <w:r>
        <w:t>实施中水回用工程可将治理与开发并举，是一种立足本地水资源，解决水资源短缺问题现实而可行的有效措施。在污水处理设施建设的同时，积极安排污水回用设施的建设，将处理达标的废水回用于水质要求不高的领域，考虑在以下三个方面进行回用。</w:t>
      </w:r>
    </w:p>
    <w:p>
      <w:pPr>
        <w:ind w:firstLine="560"/>
      </w:pPr>
      <w:r>
        <w:t>（</w:t>
      </w:r>
      <w:r>
        <w:rPr>
          <w:rFonts w:hint="eastAsia"/>
        </w:rPr>
        <w:t>1</w:t>
      </w:r>
      <w:r>
        <w:t>）污水处理厂出厂水中水回用工程。充分利用污水处理厂出厂水，在污水二级处理的基础上进一步减少水体污染物的负荷，考虑建设中水厂，将污水处理厂出厂水收集，经中水厂处理后供给企业相对集中，对水质要求不太高的工业园区，将优质水替换出来，维护和改良水生态环境。</w:t>
      </w:r>
    </w:p>
    <w:p>
      <w:pPr>
        <w:ind w:firstLine="560"/>
      </w:pPr>
      <w:r>
        <w:t>（</w:t>
      </w:r>
      <w:r>
        <w:rPr>
          <w:rFonts w:hint="eastAsia"/>
        </w:rPr>
        <w:t>2</w:t>
      </w:r>
      <w:r>
        <w:t>）市政及服务杂用工程。绿化用水、街道清扫、河道冲污等鼓励中水回用率达到一定的标准，对具一定的规模的洗车用水户强制要求中水回用。</w:t>
      </w:r>
    </w:p>
    <w:p>
      <w:pPr>
        <w:ind w:firstLine="560"/>
      </w:pPr>
      <w:r>
        <w:t>（</w:t>
      </w:r>
      <w:r>
        <w:rPr>
          <w:rFonts w:hint="eastAsia"/>
        </w:rPr>
        <w:t>3</w:t>
      </w:r>
      <w:r>
        <w:t>）城</w:t>
      </w:r>
      <w:r>
        <w:rPr>
          <w:rFonts w:hint="eastAsia"/>
        </w:rPr>
        <w:t>市</w:t>
      </w:r>
      <w:r>
        <w:t>社区中水回用工程。开展社区中水回用等节水项目建设，处理后的中水可用于冲厕或景观用水，减少社区生活污水的排放。</w:t>
      </w:r>
    </w:p>
    <w:p>
      <w:pPr>
        <w:ind w:firstLine="482"/>
        <w:jc w:val="center"/>
        <w:rPr>
          <w:b/>
          <w:bCs/>
          <w:sz w:val="24"/>
          <w:szCs w:val="20"/>
        </w:rPr>
      </w:pPr>
      <w:r>
        <w:rPr>
          <w:b/>
          <w:bCs/>
          <w:sz w:val="24"/>
          <w:szCs w:val="20"/>
        </w:rPr>
        <w:t>表</w:t>
      </w:r>
      <w:r>
        <w:rPr>
          <w:rFonts w:hint="eastAsia"/>
          <w:b/>
          <w:bCs/>
          <w:sz w:val="24"/>
          <w:szCs w:val="20"/>
        </w:rPr>
        <w:t>8</w:t>
      </w:r>
      <w:r>
        <w:rPr>
          <w:b/>
          <w:bCs/>
          <w:sz w:val="24"/>
          <w:szCs w:val="20"/>
        </w:rPr>
        <w:t>-</w:t>
      </w:r>
      <w:r>
        <w:rPr>
          <w:rFonts w:hint="eastAsia"/>
          <w:b/>
          <w:bCs/>
          <w:sz w:val="24"/>
          <w:szCs w:val="20"/>
        </w:rPr>
        <w:t>5</w:t>
      </w:r>
      <w:r>
        <w:rPr>
          <w:b/>
          <w:bCs/>
          <w:sz w:val="24"/>
          <w:szCs w:val="20"/>
        </w:rPr>
        <w:t xml:space="preserve">    近期非常规水资源利用工程</w:t>
      </w:r>
      <w:r>
        <w:rPr>
          <w:rFonts w:hint="eastAsia"/>
          <w:b/>
          <w:bCs/>
          <w:sz w:val="24"/>
          <w:szCs w:val="20"/>
        </w:rPr>
        <w:t>及</w:t>
      </w:r>
      <w:r>
        <w:rPr>
          <w:b/>
          <w:bCs/>
          <w:sz w:val="24"/>
          <w:szCs w:val="20"/>
        </w:rPr>
        <w:t>投资估算表</w:t>
      </w:r>
    </w:p>
    <w:tbl>
      <w:tblPr>
        <w:tblStyle w:val="39"/>
        <w:tblW w:w="10314" w:type="dxa"/>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817"/>
        <w:gridCol w:w="2693"/>
        <w:gridCol w:w="1843"/>
        <w:gridCol w:w="3686"/>
        <w:gridCol w:w="1275"/>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90" w:hRule="atLeast"/>
        </w:trPr>
        <w:tc>
          <w:tcPr>
            <w:tcW w:w="817" w:type="dxa"/>
            <w:shd w:val="clear" w:color="auto" w:fill="auto"/>
            <w:vAlign w:val="center"/>
          </w:tcPr>
          <w:p>
            <w:pPr>
              <w:pStyle w:val="72"/>
            </w:pPr>
            <w:r>
              <w:t>序号</w:t>
            </w:r>
          </w:p>
        </w:tc>
        <w:tc>
          <w:tcPr>
            <w:tcW w:w="2693" w:type="dxa"/>
            <w:shd w:val="clear" w:color="auto" w:fill="auto"/>
            <w:vAlign w:val="center"/>
          </w:tcPr>
          <w:p>
            <w:pPr>
              <w:pStyle w:val="72"/>
            </w:pPr>
            <w:r>
              <w:t>工程名称</w:t>
            </w:r>
          </w:p>
        </w:tc>
        <w:tc>
          <w:tcPr>
            <w:tcW w:w="1843" w:type="dxa"/>
            <w:shd w:val="clear" w:color="auto" w:fill="auto"/>
            <w:vAlign w:val="center"/>
          </w:tcPr>
          <w:p>
            <w:pPr>
              <w:pStyle w:val="72"/>
            </w:pPr>
            <w:r>
              <w:rPr>
                <w:rFonts w:hint="eastAsia"/>
              </w:rPr>
              <w:t>服务面积（公顷、长度）</w:t>
            </w:r>
          </w:p>
        </w:tc>
        <w:tc>
          <w:tcPr>
            <w:tcW w:w="3686" w:type="dxa"/>
            <w:shd w:val="clear" w:color="auto" w:fill="auto"/>
            <w:vAlign w:val="center"/>
          </w:tcPr>
          <w:p>
            <w:pPr>
              <w:pStyle w:val="72"/>
            </w:pPr>
            <w:r>
              <w:rPr>
                <w:rFonts w:hint="eastAsia"/>
              </w:rPr>
              <w:t>利用措施</w:t>
            </w:r>
          </w:p>
        </w:tc>
        <w:tc>
          <w:tcPr>
            <w:tcW w:w="1275" w:type="dxa"/>
          </w:tcPr>
          <w:p>
            <w:pPr>
              <w:pStyle w:val="72"/>
            </w:pPr>
            <w:r>
              <w:t>投资估算（万元）</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一</w:t>
            </w:r>
          </w:p>
        </w:tc>
        <w:tc>
          <w:tcPr>
            <w:tcW w:w="8222" w:type="dxa"/>
            <w:gridSpan w:val="3"/>
            <w:shd w:val="clear" w:color="auto" w:fill="auto"/>
            <w:vAlign w:val="center"/>
          </w:tcPr>
          <w:p>
            <w:pPr>
              <w:pStyle w:val="72"/>
            </w:pPr>
            <w:r>
              <w:t>雨水利用工程</w:t>
            </w:r>
          </w:p>
        </w:tc>
        <w:tc>
          <w:tcPr>
            <w:tcW w:w="1275" w:type="dxa"/>
          </w:tcPr>
          <w:p>
            <w:pPr>
              <w:pStyle w:val="72"/>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1</w:t>
            </w:r>
          </w:p>
        </w:tc>
        <w:tc>
          <w:tcPr>
            <w:tcW w:w="2693" w:type="dxa"/>
            <w:shd w:val="clear" w:color="auto" w:fill="auto"/>
            <w:vAlign w:val="center"/>
          </w:tcPr>
          <w:p>
            <w:pPr>
              <w:pStyle w:val="72"/>
            </w:pPr>
            <w:r>
              <w:rPr>
                <w:rFonts w:hint="eastAsia"/>
              </w:rPr>
              <w:t>淮北市供水调度中心</w:t>
            </w:r>
          </w:p>
        </w:tc>
        <w:tc>
          <w:tcPr>
            <w:tcW w:w="1843" w:type="dxa"/>
            <w:shd w:val="clear" w:color="auto" w:fill="auto"/>
            <w:vAlign w:val="center"/>
          </w:tcPr>
          <w:p>
            <w:pPr>
              <w:pStyle w:val="72"/>
            </w:pPr>
            <w:r>
              <w:rPr>
                <w:rFonts w:hint="eastAsia"/>
              </w:rPr>
              <w:t>1.3</w:t>
            </w:r>
          </w:p>
        </w:tc>
        <w:tc>
          <w:tcPr>
            <w:tcW w:w="3686" w:type="dxa"/>
            <w:shd w:val="clear" w:color="auto" w:fill="auto"/>
            <w:vAlign w:val="center"/>
          </w:tcPr>
          <w:p>
            <w:pPr>
              <w:pStyle w:val="72"/>
            </w:pPr>
            <w:r>
              <w:rPr>
                <w:rFonts w:hint="eastAsia"/>
              </w:rPr>
              <w:t>空中花园、草沟、雨水收集、泵站</w:t>
            </w:r>
          </w:p>
        </w:tc>
        <w:tc>
          <w:tcPr>
            <w:tcW w:w="1275" w:type="dxa"/>
            <w:vAlign w:val="center"/>
          </w:tcPr>
          <w:p>
            <w:pPr>
              <w:pStyle w:val="72"/>
            </w:pPr>
            <w:r>
              <w:rPr>
                <w:rFonts w:hint="eastAsia"/>
              </w:rPr>
              <w:t>100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2</w:t>
            </w:r>
          </w:p>
        </w:tc>
        <w:tc>
          <w:tcPr>
            <w:tcW w:w="2693" w:type="dxa"/>
            <w:shd w:val="clear" w:color="auto" w:fill="auto"/>
            <w:vAlign w:val="center"/>
          </w:tcPr>
          <w:p>
            <w:pPr>
              <w:pStyle w:val="72"/>
            </w:pPr>
            <w:r>
              <w:rPr>
                <w:rFonts w:hint="eastAsia"/>
              </w:rPr>
              <w:t>南黎公园</w:t>
            </w:r>
          </w:p>
        </w:tc>
        <w:tc>
          <w:tcPr>
            <w:tcW w:w="1843" w:type="dxa"/>
            <w:shd w:val="clear" w:color="auto" w:fill="auto"/>
            <w:vAlign w:val="center"/>
          </w:tcPr>
          <w:p>
            <w:pPr>
              <w:pStyle w:val="72"/>
            </w:pPr>
            <w:r>
              <w:rPr>
                <w:rFonts w:hint="eastAsia"/>
              </w:rPr>
              <w:t>2</w:t>
            </w:r>
          </w:p>
        </w:tc>
        <w:tc>
          <w:tcPr>
            <w:tcW w:w="3686" w:type="dxa"/>
            <w:shd w:val="clear" w:color="auto" w:fill="auto"/>
            <w:vAlign w:val="center"/>
          </w:tcPr>
          <w:p>
            <w:pPr>
              <w:pStyle w:val="72"/>
            </w:pPr>
            <w:r>
              <w:rPr>
                <w:rFonts w:hint="eastAsia"/>
              </w:rPr>
              <w:t>草沟、草塘、雨水收集井、蓄水池</w:t>
            </w:r>
          </w:p>
        </w:tc>
        <w:tc>
          <w:tcPr>
            <w:tcW w:w="1275" w:type="dxa"/>
            <w:vAlign w:val="center"/>
          </w:tcPr>
          <w:p>
            <w:pPr>
              <w:pStyle w:val="72"/>
            </w:pPr>
            <w:r>
              <w:rPr>
                <w:rFonts w:hint="eastAsia"/>
              </w:rPr>
              <w:t>200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3</w:t>
            </w:r>
          </w:p>
        </w:tc>
        <w:tc>
          <w:tcPr>
            <w:tcW w:w="2693" w:type="dxa"/>
            <w:shd w:val="clear" w:color="auto" w:fill="auto"/>
            <w:vAlign w:val="center"/>
          </w:tcPr>
          <w:p>
            <w:pPr>
              <w:pStyle w:val="72"/>
            </w:pPr>
            <w:r>
              <w:rPr>
                <w:rFonts w:hint="eastAsia"/>
              </w:rPr>
              <w:t>仁和公园</w:t>
            </w:r>
          </w:p>
        </w:tc>
        <w:tc>
          <w:tcPr>
            <w:tcW w:w="1843" w:type="dxa"/>
            <w:shd w:val="clear" w:color="auto" w:fill="auto"/>
            <w:vAlign w:val="center"/>
          </w:tcPr>
          <w:p>
            <w:pPr>
              <w:pStyle w:val="72"/>
            </w:pPr>
            <w:r>
              <w:rPr>
                <w:rFonts w:hint="eastAsia"/>
              </w:rPr>
              <w:t>1.5</w:t>
            </w:r>
          </w:p>
        </w:tc>
        <w:tc>
          <w:tcPr>
            <w:tcW w:w="3686" w:type="dxa"/>
            <w:shd w:val="clear" w:color="auto" w:fill="auto"/>
            <w:vAlign w:val="center"/>
          </w:tcPr>
          <w:p>
            <w:pPr>
              <w:pStyle w:val="72"/>
            </w:pPr>
            <w:r>
              <w:rPr>
                <w:rFonts w:hint="eastAsia"/>
              </w:rPr>
              <w:t>草沟、草塘、汇水河面</w:t>
            </w:r>
          </w:p>
        </w:tc>
        <w:tc>
          <w:tcPr>
            <w:tcW w:w="1275" w:type="dxa"/>
            <w:vAlign w:val="center"/>
          </w:tcPr>
          <w:p>
            <w:pPr>
              <w:pStyle w:val="72"/>
            </w:pPr>
            <w:r>
              <w:rPr>
                <w:rFonts w:hint="eastAsia"/>
              </w:rPr>
              <w:t>150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4</w:t>
            </w:r>
          </w:p>
        </w:tc>
        <w:tc>
          <w:tcPr>
            <w:tcW w:w="2693" w:type="dxa"/>
            <w:shd w:val="clear" w:color="auto" w:fill="auto"/>
            <w:vAlign w:val="center"/>
          </w:tcPr>
          <w:p>
            <w:pPr>
              <w:pStyle w:val="72"/>
            </w:pPr>
            <w:r>
              <w:rPr>
                <w:rFonts w:hint="eastAsia"/>
              </w:rPr>
              <w:t>长山南路绿带</w:t>
            </w:r>
          </w:p>
        </w:tc>
        <w:tc>
          <w:tcPr>
            <w:tcW w:w="1843" w:type="dxa"/>
            <w:shd w:val="clear" w:color="auto" w:fill="auto"/>
            <w:vAlign w:val="center"/>
          </w:tcPr>
          <w:p>
            <w:pPr>
              <w:pStyle w:val="72"/>
            </w:pPr>
            <w:r>
              <w:rPr>
                <w:rFonts w:hint="eastAsia"/>
              </w:rPr>
              <w:t>11.5</w:t>
            </w:r>
          </w:p>
        </w:tc>
        <w:tc>
          <w:tcPr>
            <w:tcW w:w="3686" w:type="dxa"/>
            <w:shd w:val="clear" w:color="auto" w:fill="auto"/>
            <w:vAlign w:val="center"/>
          </w:tcPr>
          <w:p>
            <w:pPr>
              <w:pStyle w:val="72"/>
            </w:pPr>
            <w:r>
              <w:rPr>
                <w:rFonts w:hint="eastAsia"/>
              </w:rPr>
              <w:t>草沟、透水铺装</w:t>
            </w:r>
          </w:p>
        </w:tc>
        <w:tc>
          <w:tcPr>
            <w:tcW w:w="1275" w:type="dxa"/>
            <w:vAlign w:val="center"/>
          </w:tcPr>
          <w:p>
            <w:pPr>
              <w:pStyle w:val="72"/>
            </w:pPr>
            <w:r>
              <w:rPr>
                <w:rFonts w:hint="eastAsia"/>
              </w:rPr>
              <w:t>258.75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57" w:hRule="atLeast"/>
        </w:trPr>
        <w:tc>
          <w:tcPr>
            <w:tcW w:w="817" w:type="dxa"/>
            <w:shd w:val="clear" w:color="auto" w:fill="auto"/>
            <w:vAlign w:val="center"/>
          </w:tcPr>
          <w:p>
            <w:pPr>
              <w:pStyle w:val="72"/>
            </w:pPr>
            <w:r>
              <w:t>5</w:t>
            </w:r>
          </w:p>
        </w:tc>
        <w:tc>
          <w:tcPr>
            <w:tcW w:w="2693" w:type="dxa"/>
            <w:shd w:val="clear" w:color="auto" w:fill="auto"/>
            <w:vAlign w:val="center"/>
          </w:tcPr>
          <w:p>
            <w:pPr>
              <w:pStyle w:val="72"/>
            </w:pPr>
            <w:r>
              <w:rPr>
                <w:rFonts w:hint="eastAsia"/>
              </w:rPr>
              <w:t>光明公园</w:t>
            </w:r>
          </w:p>
        </w:tc>
        <w:tc>
          <w:tcPr>
            <w:tcW w:w="1843" w:type="dxa"/>
            <w:shd w:val="clear" w:color="auto" w:fill="auto"/>
            <w:vAlign w:val="center"/>
          </w:tcPr>
          <w:p>
            <w:pPr>
              <w:pStyle w:val="72"/>
            </w:pPr>
            <w:r>
              <w:rPr>
                <w:rFonts w:hint="eastAsia"/>
              </w:rPr>
              <w:t>1.4</w:t>
            </w:r>
          </w:p>
        </w:tc>
        <w:tc>
          <w:tcPr>
            <w:tcW w:w="3686" w:type="dxa"/>
            <w:shd w:val="clear" w:color="auto" w:fill="auto"/>
            <w:vAlign w:val="center"/>
          </w:tcPr>
          <w:p>
            <w:pPr>
              <w:pStyle w:val="72"/>
            </w:pPr>
            <w:r>
              <w:rPr>
                <w:rFonts w:hint="eastAsia"/>
              </w:rPr>
              <w:t>草沟、草塘、透水铺装</w:t>
            </w:r>
          </w:p>
        </w:tc>
        <w:tc>
          <w:tcPr>
            <w:tcW w:w="1275" w:type="dxa"/>
            <w:vAlign w:val="center"/>
          </w:tcPr>
          <w:p>
            <w:pPr>
              <w:pStyle w:val="72"/>
            </w:pPr>
            <w:r>
              <w:rPr>
                <w:rFonts w:hint="eastAsia"/>
              </w:rPr>
              <w:t>210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6</w:t>
            </w:r>
          </w:p>
        </w:tc>
        <w:tc>
          <w:tcPr>
            <w:tcW w:w="2693" w:type="dxa"/>
            <w:shd w:val="clear" w:color="auto" w:fill="auto"/>
            <w:vAlign w:val="center"/>
          </w:tcPr>
          <w:p>
            <w:pPr>
              <w:pStyle w:val="72"/>
            </w:pPr>
            <w:r>
              <w:rPr>
                <w:rFonts w:hint="eastAsia"/>
              </w:rPr>
              <w:t>凤凰公园</w:t>
            </w:r>
          </w:p>
        </w:tc>
        <w:tc>
          <w:tcPr>
            <w:tcW w:w="1843" w:type="dxa"/>
            <w:shd w:val="clear" w:color="auto" w:fill="auto"/>
            <w:vAlign w:val="center"/>
          </w:tcPr>
          <w:p>
            <w:pPr>
              <w:pStyle w:val="72"/>
            </w:pPr>
            <w:r>
              <w:rPr>
                <w:rFonts w:hint="eastAsia"/>
              </w:rPr>
              <w:t>2.5</w:t>
            </w:r>
          </w:p>
        </w:tc>
        <w:tc>
          <w:tcPr>
            <w:tcW w:w="3686" w:type="dxa"/>
            <w:shd w:val="clear" w:color="auto" w:fill="auto"/>
            <w:vAlign w:val="center"/>
          </w:tcPr>
          <w:p>
            <w:pPr>
              <w:pStyle w:val="72"/>
            </w:pPr>
            <w:r>
              <w:rPr>
                <w:rFonts w:hint="eastAsia"/>
              </w:rPr>
              <w:t>草沟、草塘、透水铺装</w:t>
            </w:r>
          </w:p>
        </w:tc>
        <w:tc>
          <w:tcPr>
            <w:tcW w:w="1275" w:type="dxa"/>
            <w:vAlign w:val="center"/>
          </w:tcPr>
          <w:p>
            <w:pPr>
              <w:pStyle w:val="72"/>
            </w:pPr>
            <w:r>
              <w:rPr>
                <w:rFonts w:hint="eastAsia"/>
              </w:rPr>
              <w:t>375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7</w:t>
            </w:r>
          </w:p>
        </w:tc>
        <w:tc>
          <w:tcPr>
            <w:tcW w:w="2693" w:type="dxa"/>
            <w:shd w:val="clear" w:color="auto" w:fill="auto"/>
            <w:vAlign w:val="center"/>
          </w:tcPr>
          <w:p>
            <w:pPr>
              <w:pStyle w:val="72"/>
            </w:pPr>
            <w:r>
              <w:rPr>
                <w:rFonts w:hint="eastAsia"/>
              </w:rPr>
              <w:t>龙山路消防支队游园</w:t>
            </w:r>
          </w:p>
        </w:tc>
        <w:tc>
          <w:tcPr>
            <w:tcW w:w="1843" w:type="dxa"/>
            <w:shd w:val="clear" w:color="auto" w:fill="auto"/>
            <w:vAlign w:val="center"/>
          </w:tcPr>
          <w:p>
            <w:pPr>
              <w:pStyle w:val="72"/>
            </w:pPr>
            <w:r>
              <w:rPr>
                <w:rFonts w:hint="eastAsia"/>
              </w:rPr>
              <w:t>0.6</w:t>
            </w:r>
          </w:p>
        </w:tc>
        <w:tc>
          <w:tcPr>
            <w:tcW w:w="3686" w:type="dxa"/>
            <w:shd w:val="clear" w:color="auto" w:fill="auto"/>
            <w:vAlign w:val="center"/>
          </w:tcPr>
          <w:p>
            <w:pPr>
              <w:pStyle w:val="72"/>
            </w:pPr>
            <w:r>
              <w:rPr>
                <w:rFonts w:hint="eastAsia"/>
              </w:rPr>
              <w:t>草沟、草塘</w:t>
            </w:r>
          </w:p>
        </w:tc>
        <w:tc>
          <w:tcPr>
            <w:tcW w:w="1275" w:type="dxa"/>
            <w:vAlign w:val="center"/>
          </w:tcPr>
          <w:p>
            <w:pPr>
              <w:pStyle w:val="72"/>
            </w:pPr>
            <w:r>
              <w:rPr>
                <w:rFonts w:hint="eastAsia"/>
              </w:rPr>
              <w:t>60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8</w:t>
            </w:r>
          </w:p>
        </w:tc>
        <w:tc>
          <w:tcPr>
            <w:tcW w:w="2693" w:type="dxa"/>
            <w:shd w:val="clear" w:color="auto" w:fill="auto"/>
            <w:vAlign w:val="center"/>
          </w:tcPr>
          <w:p>
            <w:pPr>
              <w:pStyle w:val="72"/>
            </w:pPr>
            <w:r>
              <w:rPr>
                <w:rFonts w:hint="eastAsia"/>
              </w:rPr>
              <w:t>淮海西路游园</w:t>
            </w:r>
          </w:p>
        </w:tc>
        <w:tc>
          <w:tcPr>
            <w:tcW w:w="1843" w:type="dxa"/>
            <w:shd w:val="clear" w:color="auto" w:fill="auto"/>
            <w:vAlign w:val="center"/>
          </w:tcPr>
          <w:p>
            <w:pPr>
              <w:pStyle w:val="72"/>
            </w:pPr>
            <w:r>
              <w:rPr>
                <w:rFonts w:hint="eastAsia"/>
              </w:rPr>
              <w:t>0.6</w:t>
            </w:r>
          </w:p>
        </w:tc>
        <w:tc>
          <w:tcPr>
            <w:tcW w:w="3686" w:type="dxa"/>
            <w:shd w:val="clear" w:color="auto" w:fill="auto"/>
            <w:vAlign w:val="center"/>
          </w:tcPr>
          <w:p>
            <w:pPr>
              <w:pStyle w:val="72"/>
            </w:pPr>
            <w:r>
              <w:rPr>
                <w:rFonts w:hint="eastAsia"/>
              </w:rPr>
              <w:t>草沟、草塘</w:t>
            </w:r>
          </w:p>
        </w:tc>
        <w:tc>
          <w:tcPr>
            <w:tcW w:w="1275" w:type="dxa"/>
            <w:vAlign w:val="center"/>
          </w:tcPr>
          <w:p>
            <w:pPr>
              <w:pStyle w:val="72"/>
            </w:pPr>
            <w:r>
              <w:rPr>
                <w:rFonts w:hint="eastAsia"/>
              </w:rPr>
              <w:t>60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85" w:hRule="atLeast"/>
        </w:trPr>
        <w:tc>
          <w:tcPr>
            <w:tcW w:w="817" w:type="dxa"/>
            <w:shd w:val="clear" w:color="auto" w:fill="auto"/>
            <w:vAlign w:val="center"/>
          </w:tcPr>
          <w:p>
            <w:pPr>
              <w:pStyle w:val="72"/>
            </w:pPr>
            <w:r>
              <w:t>9</w:t>
            </w:r>
          </w:p>
        </w:tc>
        <w:tc>
          <w:tcPr>
            <w:tcW w:w="2693" w:type="dxa"/>
            <w:shd w:val="clear" w:color="auto" w:fill="auto"/>
            <w:vAlign w:val="center"/>
          </w:tcPr>
          <w:p>
            <w:pPr>
              <w:pStyle w:val="72"/>
            </w:pPr>
            <w:r>
              <w:rPr>
                <w:rFonts w:hint="eastAsia"/>
              </w:rPr>
              <w:t>迎宾大道与相山南路交口游园</w:t>
            </w:r>
          </w:p>
        </w:tc>
        <w:tc>
          <w:tcPr>
            <w:tcW w:w="1843" w:type="dxa"/>
            <w:shd w:val="clear" w:color="auto" w:fill="auto"/>
            <w:vAlign w:val="center"/>
          </w:tcPr>
          <w:p>
            <w:pPr>
              <w:pStyle w:val="72"/>
            </w:pPr>
            <w:r>
              <w:rPr>
                <w:rFonts w:hint="eastAsia"/>
              </w:rPr>
              <w:t>2</w:t>
            </w:r>
          </w:p>
        </w:tc>
        <w:tc>
          <w:tcPr>
            <w:tcW w:w="3686" w:type="dxa"/>
            <w:shd w:val="clear" w:color="auto" w:fill="auto"/>
            <w:vAlign w:val="center"/>
          </w:tcPr>
          <w:p>
            <w:pPr>
              <w:pStyle w:val="72"/>
            </w:pPr>
            <w:r>
              <w:rPr>
                <w:rFonts w:hint="eastAsia"/>
              </w:rPr>
              <w:t>草塘</w:t>
            </w:r>
          </w:p>
        </w:tc>
        <w:tc>
          <w:tcPr>
            <w:tcW w:w="1275" w:type="dxa"/>
            <w:vAlign w:val="center"/>
          </w:tcPr>
          <w:p>
            <w:pPr>
              <w:pStyle w:val="72"/>
            </w:pPr>
            <w:r>
              <w:rPr>
                <w:rFonts w:hint="eastAsia"/>
              </w:rPr>
              <w:t>200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10</w:t>
            </w:r>
          </w:p>
        </w:tc>
        <w:tc>
          <w:tcPr>
            <w:tcW w:w="2693" w:type="dxa"/>
            <w:shd w:val="clear" w:color="auto" w:fill="auto"/>
            <w:vAlign w:val="center"/>
          </w:tcPr>
          <w:p>
            <w:pPr>
              <w:pStyle w:val="72"/>
            </w:pPr>
            <w:r>
              <w:rPr>
                <w:rFonts w:hint="eastAsia"/>
              </w:rPr>
              <w:t>迎宾大道与长山南路交口游园</w:t>
            </w:r>
          </w:p>
        </w:tc>
        <w:tc>
          <w:tcPr>
            <w:tcW w:w="1843" w:type="dxa"/>
            <w:shd w:val="clear" w:color="auto" w:fill="auto"/>
            <w:vAlign w:val="center"/>
          </w:tcPr>
          <w:p>
            <w:pPr>
              <w:pStyle w:val="72"/>
            </w:pPr>
            <w:r>
              <w:rPr>
                <w:rFonts w:hint="eastAsia"/>
              </w:rPr>
              <w:t>0.9</w:t>
            </w:r>
          </w:p>
        </w:tc>
        <w:tc>
          <w:tcPr>
            <w:tcW w:w="3686" w:type="dxa"/>
            <w:shd w:val="clear" w:color="auto" w:fill="auto"/>
            <w:vAlign w:val="center"/>
          </w:tcPr>
          <w:p>
            <w:pPr>
              <w:pStyle w:val="72"/>
            </w:pPr>
            <w:r>
              <w:rPr>
                <w:rFonts w:hint="eastAsia"/>
              </w:rPr>
              <w:t>草塘</w:t>
            </w:r>
          </w:p>
        </w:tc>
        <w:tc>
          <w:tcPr>
            <w:tcW w:w="1275" w:type="dxa"/>
            <w:vAlign w:val="center"/>
          </w:tcPr>
          <w:p>
            <w:pPr>
              <w:pStyle w:val="72"/>
            </w:pPr>
            <w:r>
              <w:rPr>
                <w:rFonts w:hint="eastAsia"/>
              </w:rPr>
              <w:t>90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11</w:t>
            </w:r>
          </w:p>
        </w:tc>
        <w:tc>
          <w:tcPr>
            <w:tcW w:w="2693" w:type="dxa"/>
            <w:shd w:val="clear" w:color="auto" w:fill="auto"/>
            <w:vAlign w:val="center"/>
          </w:tcPr>
          <w:p>
            <w:pPr>
              <w:pStyle w:val="72"/>
            </w:pPr>
            <w:r>
              <w:rPr>
                <w:rFonts w:hint="eastAsia"/>
              </w:rPr>
              <w:t>淮北市梧桐中路绿带建设工程</w:t>
            </w:r>
          </w:p>
        </w:tc>
        <w:tc>
          <w:tcPr>
            <w:tcW w:w="1843" w:type="dxa"/>
            <w:shd w:val="clear" w:color="auto" w:fill="auto"/>
            <w:vAlign w:val="center"/>
          </w:tcPr>
          <w:p>
            <w:pPr>
              <w:pStyle w:val="72"/>
            </w:pPr>
            <w:r>
              <w:rPr>
                <w:rFonts w:hint="eastAsia"/>
              </w:rPr>
              <w:t>30</w:t>
            </w:r>
          </w:p>
        </w:tc>
        <w:tc>
          <w:tcPr>
            <w:tcW w:w="3686" w:type="dxa"/>
            <w:shd w:val="clear" w:color="auto" w:fill="auto"/>
            <w:vAlign w:val="center"/>
          </w:tcPr>
          <w:p>
            <w:pPr>
              <w:pStyle w:val="72"/>
            </w:pPr>
            <w:r>
              <w:rPr>
                <w:rFonts w:hint="eastAsia"/>
              </w:rPr>
              <w:t>初雨净化、植草沟等</w:t>
            </w:r>
          </w:p>
        </w:tc>
        <w:tc>
          <w:tcPr>
            <w:tcW w:w="1275" w:type="dxa"/>
            <w:vAlign w:val="center"/>
          </w:tcPr>
          <w:p>
            <w:pPr>
              <w:pStyle w:val="72"/>
            </w:pPr>
            <w:r>
              <w:rPr>
                <w:rFonts w:hint="eastAsia"/>
              </w:rPr>
              <w:t>450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12</w:t>
            </w:r>
          </w:p>
        </w:tc>
        <w:tc>
          <w:tcPr>
            <w:tcW w:w="2693" w:type="dxa"/>
            <w:shd w:val="clear" w:color="auto" w:fill="auto"/>
            <w:vAlign w:val="center"/>
          </w:tcPr>
          <w:p>
            <w:pPr>
              <w:pStyle w:val="72"/>
            </w:pPr>
            <w:r>
              <w:rPr>
                <w:rFonts w:hint="eastAsia"/>
              </w:rPr>
              <w:t>淮北市龙岱河公园</w:t>
            </w:r>
          </w:p>
        </w:tc>
        <w:tc>
          <w:tcPr>
            <w:tcW w:w="1843" w:type="dxa"/>
            <w:shd w:val="clear" w:color="auto" w:fill="auto"/>
            <w:vAlign w:val="center"/>
          </w:tcPr>
          <w:p>
            <w:pPr>
              <w:pStyle w:val="72"/>
            </w:pPr>
            <w:r>
              <w:rPr>
                <w:rFonts w:hint="eastAsia"/>
              </w:rPr>
              <w:t>14.62</w:t>
            </w:r>
          </w:p>
        </w:tc>
        <w:tc>
          <w:tcPr>
            <w:tcW w:w="3686" w:type="dxa"/>
            <w:shd w:val="clear" w:color="auto" w:fill="auto"/>
            <w:vAlign w:val="center"/>
          </w:tcPr>
          <w:p>
            <w:pPr>
              <w:pStyle w:val="72"/>
            </w:pPr>
            <w:r>
              <w:rPr>
                <w:rFonts w:hint="eastAsia"/>
              </w:rPr>
              <w:t>草沟、透水铺装</w:t>
            </w:r>
          </w:p>
        </w:tc>
        <w:tc>
          <w:tcPr>
            <w:tcW w:w="1275" w:type="dxa"/>
            <w:vAlign w:val="center"/>
          </w:tcPr>
          <w:p>
            <w:pPr>
              <w:pStyle w:val="72"/>
            </w:pPr>
            <w:r>
              <w:rPr>
                <w:rFonts w:hint="eastAsia"/>
              </w:rPr>
              <w:t>877.2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13</w:t>
            </w:r>
          </w:p>
        </w:tc>
        <w:tc>
          <w:tcPr>
            <w:tcW w:w="2693" w:type="dxa"/>
            <w:shd w:val="clear" w:color="auto" w:fill="auto"/>
            <w:vAlign w:val="center"/>
          </w:tcPr>
          <w:p>
            <w:pPr>
              <w:pStyle w:val="72"/>
            </w:pPr>
            <w:r>
              <w:rPr>
                <w:rFonts w:hint="eastAsia"/>
              </w:rPr>
              <w:t>淮北市创新大道景观绿化</w:t>
            </w:r>
          </w:p>
        </w:tc>
        <w:tc>
          <w:tcPr>
            <w:tcW w:w="1843" w:type="dxa"/>
            <w:shd w:val="clear" w:color="auto" w:fill="auto"/>
            <w:vAlign w:val="center"/>
          </w:tcPr>
          <w:p>
            <w:pPr>
              <w:pStyle w:val="72"/>
            </w:pPr>
            <w:r>
              <w:rPr>
                <w:rFonts w:hint="eastAsia"/>
              </w:rPr>
              <w:t>18</w:t>
            </w:r>
          </w:p>
        </w:tc>
        <w:tc>
          <w:tcPr>
            <w:tcW w:w="3686" w:type="dxa"/>
            <w:shd w:val="clear" w:color="auto" w:fill="auto"/>
            <w:vAlign w:val="center"/>
          </w:tcPr>
          <w:p>
            <w:pPr>
              <w:pStyle w:val="72"/>
            </w:pPr>
            <w:r>
              <w:rPr>
                <w:rFonts w:hint="eastAsia"/>
              </w:rPr>
              <w:t>下沉式绿化带、草沟、透水型人行道等</w:t>
            </w:r>
          </w:p>
        </w:tc>
        <w:tc>
          <w:tcPr>
            <w:tcW w:w="1275" w:type="dxa"/>
            <w:vAlign w:val="center"/>
          </w:tcPr>
          <w:p>
            <w:pPr>
              <w:pStyle w:val="72"/>
            </w:pPr>
            <w:r>
              <w:rPr>
                <w:rFonts w:hint="eastAsia"/>
              </w:rPr>
              <w:t>405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14</w:t>
            </w:r>
          </w:p>
        </w:tc>
        <w:tc>
          <w:tcPr>
            <w:tcW w:w="2693" w:type="dxa"/>
            <w:shd w:val="clear" w:color="auto" w:fill="auto"/>
            <w:vAlign w:val="center"/>
          </w:tcPr>
          <w:p>
            <w:pPr>
              <w:pStyle w:val="72"/>
            </w:pPr>
            <w:r>
              <w:rPr>
                <w:rFonts w:hint="eastAsia"/>
              </w:rPr>
              <w:t>淮北市梧桐南路绿化</w:t>
            </w:r>
          </w:p>
        </w:tc>
        <w:tc>
          <w:tcPr>
            <w:tcW w:w="1843" w:type="dxa"/>
            <w:shd w:val="clear" w:color="auto" w:fill="auto"/>
            <w:vAlign w:val="center"/>
          </w:tcPr>
          <w:p>
            <w:pPr>
              <w:pStyle w:val="72"/>
            </w:pPr>
            <w:r>
              <w:rPr>
                <w:rFonts w:hint="eastAsia"/>
              </w:rPr>
              <w:t>12</w:t>
            </w:r>
          </w:p>
        </w:tc>
        <w:tc>
          <w:tcPr>
            <w:tcW w:w="3686" w:type="dxa"/>
            <w:shd w:val="clear" w:color="auto" w:fill="auto"/>
            <w:vAlign w:val="center"/>
          </w:tcPr>
          <w:p>
            <w:pPr>
              <w:pStyle w:val="72"/>
            </w:pPr>
            <w:r>
              <w:rPr>
                <w:rFonts w:hint="eastAsia"/>
              </w:rPr>
              <w:t>草沟、草塘、透水铺装</w:t>
            </w:r>
          </w:p>
        </w:tc>
        <w:tc>
          <w:tcPr>
            <w:tcW w:w="1275" w:type="dxa"/>
            <w:vAlign w:val="center"/>
          </w:tcPr>
          <w:p>
            <w:pPr>
              <w:pStyle w:val="72"/>
            </w:pPr>
            <w:r>
              <w:rPr>
                <w:rFonts w:hint="eastAsia"/>
              </w:rPr>
              <w:t>270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15</w:t>
            </w:r>
          </w:p>
        </w:tc>
        <w:tc>
          <w:tcPr>
            <w:tcW w:w="2693" w:type="dxa"/>
            <w:shd w:val="clear" w:color="auto" w:fill="auto"/>
            <w:vAlign w:val="center"/>
          </w:tcPr>
          <w:p>
            <w:pPr>
              <w:pStyle w:val="72"/>
            </w:pPr>
            <w:r>
              <w:rPr>
                <w:rFonts w:hint="eastAsia"/>
              </w:rPr>
              <w:t>淮北市花庄路建设工程</w:t>
            </w:r>
          </w:p>
        </w:tc>
        <w:tc>
          <w:tcPr>
            <w:tcW w:w="1843" w:type="dxa"/>
            <w:shd w:val="clear" w:color="auto" w:fill="auto"/>
            <w:vAlign w:val="center"/>
          </w:tcPr>
          <w:p>
            <w:pPr>
              <w:pStyle w:val="72"/>
            </w:pPr>
            <w:r>
              <w:rPr>
                <w:rFonts w:hint="eastAsia"/>
              </w:rPr>
              <w:t>8.4</w:t>
            </w:r>
          </w:p>
        </w:tc>
        <w:tc>
          <w:tcPr>
            <w:tcW w:w="3686" w:type="dxa"/>
            <w:shd w:val="clear" w:color="auto" w:fill="auto"/>
            <w:vAlign w:val="center"/>
          </w:tcPr>
          <w:p>
            <w:pPr>
              <w:pStyle w:val="72"/>
            </w:pPr>
            <w:r>
              <w:rPr>
                <w:rFonts w:hint="eastAsia"/>
              </w:rPr>
              <w:t>下沉式绿化带、透水型人行道等</w:t>
            </w:r>
          </w:p>
        </w:tc>
        <w:tc>
          <w:tcPr>
            <w:tcW w:w="1275" w:type="dxa"/>
            <w:vAlign w:val="center"/>
          </w:tcPr>
          <w:p>
            <w:pPr>
              <w:pStyle w:val="72"/>
            </w:pPr>
            <w:r>
              <w:rPr>
                <w:rFonts w:hint="eastAsia"/>
              </w:rPr>
              <w:t>189</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16</w:t>
            </w:r>
          </w:p>
        </w:tc>
        <w:tc>
          <w:tcPr>
            <w:tcW w:w="2693" w:type="dxa"/>
            <w:shd w:val="clear" w:color="auto" w:fill="auto"/>
            <w:vAlign w:val="center"/>
          </w:tcPr>
          <w:p>
            <w:pPr>
              <w:pStyle w:val="72"/>
            </w:pPr>
            <w:r>
              <w:rPr>
                <w:rFonts w:hint="eastAsia"/>
              </w:rPr>
              <w:t>淮北市宁山路建设工程</w:t>
            </w:r>
          </w:p>
        </w:tc>
        <w:tc>
          <w:tcPr>
            <w:tcW w:w="1843" w:type="dxa"/>
            <w:shd w:val="clear" w:color="auto" w:fill="auto"/>
            <w:vAlign w:val="center"/>
          </w:tcPr>
          <w:p>
            <w:pPr>
              <w:pStyle w:val="72"/>
            </w:pPr>
            <w:r>
              <w:rPr>
                <w:rFonts w:hint="eastAsia"/>
              </w:rPr>
              <w:t>8.1</w:t>
            </w:r>
          </w:p>
        </w:tc>
        <w:tc>
          <w:tcPr>
            <w:tcW w:w="3686" w:type="dxa"/>
            <w:shd w:val="clear" w:color="auto" w:fill="auto"/>
            <w:vAlign w:val="center"/>
          </w:tcPr>
          <w:p>
            <w:pPr>
              <w:pStyle w:val="72"/>
            </w:pPr>
            <w:r>
              <w:rPr>
                <w:rFonts w:hint="eastAsia"/>
              </w:rPr>
              <w:t>下沉式绿化带、透水型人行道等</w:t>
            </w:r>
          </w:p>
        </w:tc>
        <w:tc>
          <w:tcPr>
            <w:tcW w:w="1275" w:type="dxa"/>
            <w:vAlign w:val="center"/>
          </w:tcPr>
          <w:p>
            <w:pPr>
              <w:pStyle w:val="72"/>
            </w:pPr>
            <w:r>
              <w:rPr>
                <w:rFonts w:hint="eastAsia"/>
              </w:rPr>
              <w:t>182.25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17</w:t>
            </w:r>
          </w:p>
        </w:tc>
        <w:tc>
          <w:tcPr>
            <w:tcW w:w="2693" w:type="dxa"/>
            <w:shd w:val="clear" w:color="auto" w:fill="auto"/>
            <w:vAlign w:val="center"/>
          </w:tcPr>
          <w:p>
            <w:pPr>
              <w:pStyle w:val="72"/>
            </w:pPr>
            <w:r>
              <w:rPr>
                <w:rFonts w:hint="eastAsia"/>
              </w:rPr>
              <w:t>淮北市新湖路建设工程</w:t>
            </w:r>
          </w:p>
        </w:tc>
        <w:tc>
          <w:tcPr>
            <w:tcW w:w="1843" w:type="dxa"/>
            <w:shd w:val="clear" w:color="auto" w:fill="auto"/>
            <w:vAlign w:val="center"/>
          </w:tcPr>
          <w:p>
            <w:pPr>
              <w:pStyle w:val="72"/>
            </w:pPr>
            <w:r>
              <w:rPr>
                <w:rFonts w:hint="eastAsia"/>
              </w:rPr>
              <w:t>11.7</w:t>
            </w:r>
          </w:p>
        </w:tc>
        <w:tc>
          <w:tcPr>
            <w:tcW w:w="3686" w:type="dxa"/>
            <w:shd w:val="clear" w:color="auto" w:fill="auto"/>
            <w:vAlign w:val="center"/>
          </w:tcPr>
          <w:p>
            <w:pPr>
              <w:pStyle w:val="72"/>
            </w:pPr>
            <w:r>
              <w:rPr>
                <w:rFonts w:hint="eastAsia"/>
              </w:rPr>
              <w:t>下沉式绿化带、透水型人行道等</w:t>
            </w:r>
          </w:p>
        </w:tc>
        <w:tc>
          <w:tcPr>
            <w:tcW w:w="1275" w:type="dxa"/>
            <w:vAlign w:val="center"/>
          </w:tcPr>
          <w:p>
            <w:pPr>
              <w:pStyle w:val="72"/>
            </w:pPr>
            <w:r>
              <w:rPr>
                <w:rFonts w:hint="eastAsia"/>
              </w:rPr>
              <w:t>263.25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18</w:t>
            </w:r>
          </w:p>
        </w:tc>
        <w:tc>
          <w:tcPr>
            <w:tcW w:w="2693" w:type="dxa"/>
            <w:shd w:val="clear" w:color="auto" w:fill="auto"/>
            <w:vAlign w:val="center"/>
          </w:tcPr>
          <w:p>
            <w:pPr>
              <w:pStyle w:val="72"/>
            </w:pPr>
            <w:r>
              <w:rPr>
                <w:rFonts w:hint="eastAsia"/>
              </w:rPr>
              <w:t>淮北市青谷路建设工程</w:t>
            </w:r>
          </w:p>
        </w:tc>
        <w:tc>
          <w:tcPr>
            <w:tcW w:w="1843" w:type="dxa"/>
            <w:shd w:val="clear" w:color="auto" w:fill="auto"/>
            <w:vAlign w:val="center"/>
          </w:tcPr>
          <w:p>
            <w:pPr>
              <w:pStyle w:val="72"/>
            </w:pPr>
            <w:r>
              <w:rPr>
                <w:rFonts w:hint="eastAsia"/>
              </w:rPr>
              <w:t>7</w:t>
            </w:r>
          </w:p>
        </w:tc>
        <w:tc>
          <w:tcPr>
            <w:tcW w:w="3686" w:type="dxa"/>
            <w:shd w:val="clear" w:color="auto" w:fill="auto"/>
            <w:vAlign w:val="center"/>
          </w:tcPr>
          <w:p>
            <w:pPr>
              <w:pStyle w:val="72"/>
            </w:pPr>
            <w:r>
              <w:rPr>
                <w:rFonts w:hint="eastAsia"/>
              </w:rPr>
              <w:t>下沉式绿化带、透水型人行道等</w:t>
            </w:r>
          </w:p>
        </w:tc>
        <w:tc>
          <w:tcPr>
            <w:tcW w:w="1275" w:type="dxa"/>
            <w:vAlign w:val="center"/>
          </w:tcPr>
          <w:p>
            <w:pPr>
              <w:pStyle w:val="72"/>
            </w:pPr>
            <w:r>
              <w:rPr>
                <w:rFonts w:hint="eastAsia"/>
              </w:rPr>
              <w:t>157.5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19</w:t>
            </w:r>
          </w:p>
        </w:tc>
        <w:tc>
          <w:tcPr>
            <w:tcW w:w="2693" w:type="dxa"/>
            <w:shd w:val="clear" w:color="auto" w:fill="auto"/>
            <w:vAlign w:val="center"/>
          </w:tcPr>
          <w:p>
            <w:pPr>
              <w:pStyle w:val="72"/>
            </w:pPr>
            <w:r>
              <w:rPr>
                <w:rFonts w:hint="eastAsia"/>
              </w:rPr>
              <w:t>淮北市站前路建设工程</w:t>
            </w:r>
          </w:p>
        </w:tc>
        <w:tc>
          <w:tcPr>
            <w:tcW w:w="1843" w:type="dxa"/>
            <w:shd w:val="clear" w:color="auto" w:fill="auto"/>
            <w:vAlign w:val="center"/>
          </w:tcPr>
          <w:p>
            <w:pPr>
              <w:pStyle w:val="72"/>
            </w:pPr>
            <w:r>
              <w:rPr>
                <w:rFonts w:hint="eastAsia"/>
              </w:rPr>
              <w:t>9.7</w:t>
            </w:r>
          </w:p>
        </w:tc>
        <w:tc>
          <w:tcPr>
            <w:tcW w:w="3686" w:type="dxa"/>
            <w:shd w:val="clear" w:color="auto" w:fill="auto"/>
            <w:vAlign w:val="center"/>
          </w:tcPr>
          <w:p>
            <w:pPr>
              <w:pStyle w:val="72"/>
            </w:pPr>
            <w:r>
              <w:rPr>
                <w:rFonts w:hint="eastAsia"/>
              </w:rPr>
              <w:t>下沉式绿化带、透水型人行道等</w:t>
            </w:r>
          </w:p>
        </w:tc>
        <w:tc>
          <w:tcPr>
            <w:tcW w:w="1275" w:type="dxa"/>
            <w:vAlign w:val="center"/>
          </w:tcPr>
          <w:p>
            <w:pPr>
              <w:pStyle w:val="72"/>
            </w:pPr>
            <w:r>
              <w:rPr>
                <w:rFonts w:hint="eastAsia"/>
              </w:rPr>
              <w:t>218.25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20</w:t>
            </w:r>
          </w:p>
        </w:tc>
        <w:tc>
          <w:tcPr>
            <w:tcW w:w="2693" w:type="dxa"/>
            <w:shd w:val="clear" w:color="auto" w:fill="auto"/>
            <w:vAlign w:val="center"/>
          </w:tcPr>
          <w:p>
            <w:pPr>
              <w:pStyle w:val="72"/>
            </w:pPr>
            <w:r>
              <w:rPr>
                <w:rFonts w:hint="eastAsia"/>
              </w:rPr>
              <w:t>淮北市建设路建设工程</w:t>
            </w:r>
          </w:p>
        </w:tc>
        <w:tc>
          <w:tcPr>
            <w:tcW w:w="1843" w:type="dxa"/>
            <w:shd w:val="clear" w:color="auto" w:fill="auto"/>
            <w:vAlign w:val="center"/>
          </w:tcPr>
          <w:p>
            <w:pPr>
              <w:pStyle w:val="72"/>
            </w:pPr>
            <w:r>
              <w:rPr>
                <w:rFonts w:hint="eastAsia"/>
              </w:rPr>
              <w:t>10.6</w:t>
            </w:r>
          </w:p>
        </w:tc>
        <w:tc>
          <w:tcPr>
            <w:tcW w:w="3686" w:type="dxa"/>
            <w:shd w:val="clear" w:color="auto" w:fill="auto"/>
            <w:vAlign w:val="center"/>
          </w:tcPr>
          <w:p>
            <w:pPr>
              <w:pStyle w:val="72"/>
            </w:pPr>
            <w:r>
              <w:rPr>
                <w:rFonts w:hint="eastAsia"/>
              </w:rPr>
              <w:t>下沉式绿化带、透水型人行道等</w:t>
            </w:r>
          </w:p>
        </w:tc>
        <w:tc>
          <w:tcPr>
            <w:tcW w:w="1275" w:type="dxa"/>
            <w:vAlign w:val="center"/>
          </w:tcPr>
          <w:p>
            <w:pPr>
              <w:pStyle w:val="72"/>
            </w:pPr>
            <w:r>
              <w:rPr>
                <w:rFonts w:hint="eastAsia"/>
              </w:rPr>
              <w:t>238.5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21</w:t>
            </w:r>
          </w:p>
        </w:tc>
        <w:tc>
          <w:tcPr>
            <w:tcW w:w="2693" w:type="dxa"/>
            <w:shd w:val="clear" w:color="auto" w:fill="auto"/>
            <w:vAlign w:val="center"/>
          </w:tcPr>
          <w:p>
            <w:pPr>
              <w:pStyle w:val="72"/>
            </w:pPr>
            <w:r>
              <w:rPr>
                <w:rFonts w:hint="eastAsia"/>
              </w:rPr>
              <w:t>淮北市紫昱路建设工程</w:t>
            </w:r>
          </w:p>
        </w:tc>
        <w:tc>
          <w:tcPr>
            <w:tcW w:w="1843" w:type="dxa"/>
            <w:shd w:val="clear" w:color="auto" w:fill="auto"/>
            <w:vAlign w:val="center"/>
          </w:tcPr>
          <w:p>
            <w:pPr>
              <w:pStyle w:val="72"/>
            </w:pPr>
            <w:r>
              <w:rPr>
                <w:rFonts w:hint="eastAsia"/>
              </w:rPr>
              <w:t>17.6</w:t>
            </w:r>
          </w:p>
        </w:tc>
        <w:tc>
          <w:tcPr>
            <w:tcW w:w="3686" w:type="dxa"/>
            <w:shd w:val="clear" w:color="auto" w:fill="auto"/>
            <w:vAlign w:val="center"/>
          </w:tcPr>
          <w:p>
            <w:pPr>
              <w:pStyle w:val="72"/>
            </w:pPr>
            <w:r>
              <w:rPr>
                <w:rFonts w:hint="eastAsia"/>
              </w:rPr>
              <w:t>下沉式绿化带、透水型人行道等</w:t>
            </w:r>
          </w:p>
        </w:tc>
        <w:tc>
          <w:tcPr>
            <w:tcW w:w="1275" w:type="dxa"/>
            <w:vAlign w:val="center"/>
          </w:tcPr>
          <w:p>
            <w:pPr>
              <w:pStyle w:val="72"/>
            </w:pPr>
            <w:r>
              <w:rPr>
                <w:rFonts w:hint="eastAsia"/>
              </w:rPr>
              <w:t>396</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22</w:t>
            </w:r>
          </w:p>
        </w:tc>
        <w:tc>
          <w:tcPr>
            <w:tcW w:w="2693" w:type="dxa"/>
            <w:shd w:val="clear" w:color="auto" w:fill="auto"/>
            <w:vAlign w:val="center"/>
          </w:tcPr>
          <w:p>
            <w:pPr>
              <w:pStyle w:val="72"/>
            </w:pPr>
            <w:r>
              <w:rPr>
                <w:rFonts w:hint="eastAsia"/>
              </w:rPr>
              <w:t>淮北市繁华路建设工程</w:t>
            </w:r>
          </w:p>
        </w:tc>
        <w:tc>
          <w:tcPr>
            <w:tcW w:w="1843" w:type="dxa"/>
            <w:shd w:val="clear" w:color="auto" w:fill="auto"/>
            <w:vAlign w:val="center"/>
          </w:tcPr>
          <w:p>
            <w:pPr>
              <w:pStyle w:val="72"/>
            </w:pPr>
            <w:r>
              <w:rPr>
                <w:rFonts w:hint="eastAsia"/>
              </w:rPr>
              <w:t>3.6</w:t>
            </w:r>
          </w:p>
        </w:tc>
        <w:tc>
          <w:tcPr>
            <w:tcW w:w="3686" w:type="dxa"/>
            <w:shd w:val="clear" w:color="auto" w:fill="auto"/>
            <w:vAlign w:val="center"/>
          </w:tcPr>
          <w:p>
            <w:pPr>
              <w:pStyle w:val="72"/>
            </w:pPr>
            <w:r>
              <w:rPr>
                <w:rFonts w:hint="eastAsia"/>
              </w:rPr>
              <w:t>下沉式绿化带、透水型人行道等</w:t>
            </w:r>
          </w:p>
        </w:tc>
        <w:tc>
          <w:tcPr>
            <w:tcW w:w="1275" w:type="dxa"/>
            <w:vAlign w:val="center"/>
          </w:tcPr>
          <w:p>
            <w:pPr>
              <w:pStyle w:val="72"/>
            </w:pPr>
            <w:r>
              <w:rPr>
                <w:rFonts w:hint="eastAsia"/>
              </w:rPr>
              <w:t>81</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23</w:t>
            </w:r>
          </w:p>
        </w:tc>
        <w:tc>
          <w:tcPr>
            <w:tcW w:w="2693" w:type="dxa"/>
            <w:shd w:val="clear" w:color="auto" w:fill="auto"/>
            <w:vAlign w:val="center"/>
          </w:tcPr>
          <w:p>
            <w:pPr>
              <w:pStyle w:val="72"/>
            </w:pPr>
            <w:r>
              <w:rPr>
                <w:rFonts w:hint="eastAsia"/>
              </w:rPr>
              <w:t>淮北市创新大道建设工程</w:t>
            </w:r>
          </w:p>
        </w:tc>
        <w:tc>
          <w:tcPr>
            <w:tcW w:w="1843" w:type="dxa"/>
            <w:shd w:val="clear" w:color="auto" w:fill="auto"/>
            <w:vAlign w:val="center"/>
          </w:tcPr>
          <w:p>
            <w:pPr>
              <w:pStyle w:val="72"/>
            </w:pPr>
            <w:r>
              <w:rPr>
                <w:rFonts w:hint="eastAsia"/>
              </w:rPr>
              <w:t>19.2</w:t>
            </w:r>
          </w:p>
        </w:tc>
        <w:tc>
          <w:tcPr>
            <w:tcW w:w="3686" w:type="dxa"/>
            <w:shd w:val="clear" w:color="auto" w:fill="auto"/>
            <w:vAlign w:val="center"/>
          </w:tcPr>
          <w:p>
            <w:pPr>
              <w:pStyle w:val="72"/>
            </w:pPr>
            <w:r>
              <w:rPr>
                <w:rFonts w:hint="eastAsia"/>
              </w:rPr>
              <w:t>下沉式绿化带、透水型人行道等</w:t>
            </w:r>
          </w:p>
        </w:tc>
        <w:tc>
          <w:tcPr>
            <w:tcW w:w="1275" w:type="dxa"/>
            <w:vAlign w:val="center"/>
          </w:tcPr>
          <w:p>
            <w:pPr>
              <w:pStyle w:val="72"/>
            </w:pPr>
            <w:r>
              <w:rPr>
                <w:rFonts w:hint="eastAsia"/>
              </w:rPr>
              <w:t>432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24</w:t>
            </w:r>
          </w:p>
        </w:tc>
        <w:tc>
          <w:tcPr>
            <w:tcW w:w="2693" w:type="dxa"/>
            <w:shd w:val="clear" w:color="auto" w:fill="auto"/>
            <w:vAlign w:val="center"/>
          </w:tcPr>
          <w:p>
            <w:pPr>
              <w:pStyle w:val="72"/>
            </w:pPr>
            <w:r>
              <w:rPr>
                <w:rFonts w:hint="eastAsia"/>
              </w:rPr>
              <w:t>淮北市规划展示馆及档案馆建设工程</w:t>
            </w:r>
          </w:p>
        </w:tc>
        <w:tc>
          <w:tcPr>
            <w:tcW w:w="1843" w:type="dxa"/>
            <w:shd w:val="clear" w:color="auto" w:fill="auto"/>
            <w:vAlign w:val="center"/>
          </w:tcPr>
          <w:p>
            <w:pPr>
              <w:pStyle w:val="72"/>
            </w:pPr>
            <w:r>
              <w:rPr>
                <w:rFonts w:hint="eastAsia"/>
              </w:rPr>
              <w:t>3.3</w:t>
            </w:r>
          </w:p>
        </w:tc>
        <w:tc>
          <w:tcPr>
            <w:tcW w:w="3686" w:type="dxa"/>
            <w:shd w:val="clear" w:color="auto" w:fill="auto"/>
            <w:vAlign w:val="center"/>
          </w:tcPr>
          <w:p>
            <w:pPr>
              <w:pStyle w:val="72"/>
            </w:pPr>
            <w:r>
              <w:rPr>
                <w:rFonts w:hint="eastAsia"/>
              </w:rPr>
              <w:t>下沉式绿地，草沟、蓄水池等</w:t>
            </w:r>
          </w:p>
        </w:tc>
        <w:tc>
          <w:tcPr>
            <w:tcW w:w="1275" w:type="dxa"/>
            <w:vAlign w:val="center"/>
          </w:tcPr>
          <w:p>
            <w:pPr>
              <w:pStyle w:val="72"/>
            </w:pPr>
            <w:r>
              <w:rPr>
                <w:rFonts w:hint="eastAsia"/>
              </w:rPr>
              <w:t>74.25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25</w:t>
            </w:r>
          </w:p>
        </w:tc>
        <w:tc>
          <w:tcPr>
            <w:tcW w:w="2693" w:type="dxa"/>
            <w:shd w:val="clear" w:color="auto" w:fill="auto"/>
            <w:vAlign w:val="center"/>
          </w:tcPr>
          <w:p>
            <w:pPr>
              <w:pStyle w:val="72"/>
            </w:pPr>
            <w:r>
              <w:rPr>
                <w:rFonts w:hint="eastAsia"/>
              </w:rPr>
              <w:t>淮北市第一中学（东校区）建设工程</w:t>
            </w:r>
          </w:p>
        </w:tc>
        <w:tc>
          <w:tcPr>
            <w:tcW w:w="1843" w:type="dxa"/>
            <w:shd w:val="clear" w:color="auto" w:fill="auto"/>
            <w:vAlign w:val="center"/>
          </w:tcPr>
          <w:p>
            <w:pPr>
              <w:pStyle w:val="72"/>
            </w:pPr>
            <w:r>
              <w:rPr>
                <w:rFonts w:hint="eastAsia"/>
              </w:rPr>
              <w:t>22.72</w:t>
            </w:r>
          </w:p>
        </w:tc>
        <w:tc>
          <w:tcPr>
            <w:tcW w:w="3686" w:type="dxa"/>
            <w:shd w:val="clear" w:color="auto" w:fill="auto"/>
            <w:vAlign w:val="center"/>
          </w:tcPr>
          <w:p>
            <w:pPr>
              <w:pStyle w:val="72"/>
            </w:pPr>
            <w:r>
              <w:rPr>
                <w:rFonts w:hint="eastAsia"/>
              </w:rPr>
              <w:t>下沉式绿地，草沟、透水铺装、蓄水池等</w:t>
            </w:r>
          </w:p>
        </w:tc>
        <w:tc>
          <w:tcPr>
            <w:tcW w:w="1275" w:type="dxa"/>
            <w:vAlign w:val="center"/>
          </w:tcPr>
          <w:p>
            <w:pPr>
              <w:pStyle w:val="72"/>
            </w:pPr>
            <w:r>
              <w:rPr>
                <w:rFonts w:hint="eastAsia"/>
              </w:rPr>
              <w:t>511.2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26</w:t>
            </w:r>
          </w:p>
        </w:tc>
        <w:tc>
          <w:tcPr>
            <w:tcW w:w="2693" w:type="dxa"/>
            <w:shd w:val="clear" w:color="auto" w:fill="auto"/>
            <w:vAlign w:val="center"/>
          </w:tcPr>
          <w:p>
            <w:pPr>
              <w:pStyle w:val="72"/>
            </w:pPr>
            <w:r>
              <w:t>小计</w:t>
            </w:r>
          </w:p>
        </w:tc>
        <w:tc>
          <w:tcPr>
            <w:tcW w:w="1843" w:type="dxa"/>
            <w:shd w:val="clear" w:color="auto" w:fill="auto"/>
            <w:vAlign w:val="center"/>
          </w:tcPr>
          <w:p>
            <w:pPr>
              <w:pStyle w:val="72"/>
            </w:pPr>
            <w:r>
              <w:t>　</w:t>
            </w:r>
          </w:p>
        </w:tc>
        <w:tc>
          <w:tcPr>
            <w:tcW w:w="4961" w:type="dxa"/>
            <w:gridSpan w:val="2"/>
            <w:shd w:val="clear" w:color="auto" w:fill="auto"/>
            <w:vAlign w:val="center"/>
          </w:tcPr>
          <w:p>
            <w:pPr>
              <w:pStyle w:val="72"/>
            </w:pPr>
            <w:r>
              <w:t>6</w:t>
            </w:r>
            <w:r>
              <w:rPr>
                <w:rFonts w:hint="eastAsia"/>
              </w:rPr>
              <w:t>449</w:t>
            </w:r>
            <w:r>
              <w:t>.15</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二</w:t>
            </w:r>
          </w:p>
        </w:tc>
        <w:tc>
          <w:tcPr>
            <w:tcW w:w="8222" w:type="dxa"/>
            <w:gridSpan w:val="3"/>
            <w:shd w:val="clear" w:color="auto" w:fill="auto"/>
            <w:vAlign w:val="center"/>
          </w:tcPr>
          <w:p>
            <w:pPr>
              <w:pStyle w:val="72"/>
            </w:pPr>
            <w:r>
              <w:t>企事业单位、居民小区及污水处理厂再生水回用工程</w:t>
            </w:r>
          </w:p>
        </w:tc>
        <w:tc>
          <w:tcPr>
            <w:tcW w:w="1275" w:type="dxa"/>
          </w:tcPr>
          <w:p>
            <w:pPr>
              <w:pStyle w:val="72"/>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1</w:t>
            </w:r>
          </w:p>
        </w:tc>
        <w:tc>
          <w:tcPr>
            <w:tcW w:w="2693" w:type="dxa"/>
            <w:shd w:val="clear" w:color="auto" w:fill="auto"/>
            <w:vAlign w:val="center"/>
          </w:tcPr>
          <w:p>
            <w:pPr>
              <w:pStyle w:val="72"/>
            </w:pPr>
            <w:r>
              <w:rPr>
                <w:rFonts w:hint="eastAsia"/>
              </w:rPr>
              <w:t>淮北市市政再生水利用工程（管网、水鹤）</w:t>
            </w:r>
          </w:p>
        </w:tc>
        <w:tc>
          <w:tcPr>
            <w:tcW w:w="1843" w:type="dxa"/>
            <w:shd w:val="clear" w:color="auto" w:fill="auto"/>
            <w:vAlign w:val="center"/>
          </w:tcPr>
          <w:p>
            <w:pPr>
              <w:pStyle w:val="72"/>
            </w:pPr>
          </w:p>
        </w:tc>
        <w:tc>
          <w:tcPr>
            <w:tcW w:w="3686" w:type="dxa"/>
            <w:shd w:val="clear" w:color="auto" w:fill="auto"/>
            <w:vAlign w:val="center"/>
          </w:tcPr>
          <w:p>
            <w:pPr>
              <w:pStyle w:val="72"/>
            </w:pPr>
            <w:r>
              <w:rPr>
                <w:rFonts w:hint="eastAsia"/>
              </w:rPr>
              <w:t>新建中水管3公里，水鹤8个</w:t>
            </w:r>
          </w:p>
        </w:tc>
        <w:tc>
          <w:tcPr>
            <w:tcW w:w="1275" w:type="dxa"/>
            <w:vAlign w:val="center"/>
          </w:tcPr>
          <w:p>
            <w:pPr>
              <w:pStyle w:val="72"/>
            </w:pPr>
            <w:r>
              <w:t>300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r>
              <w:t>2</w:t>
            </w:r>
          </w:p>
        </w:tc>
        <w:tc>
          <w:tcPr>
            <w:tcW w:w="2693" w:type="dxa"/>
            <w:shd w:val="clear" w:color="auto" w:fill="auto"/>
          </w:tcPr>
          <w:p>
            <w:pPr>
              <w:pStyle w:val="72"/>
            </w:pPr>
            <w:r>
              <w:rPr>
                <w:rFonts w:hint="eastAsia"/>
              </w:rPr>
              <w:t>跃进河生态补水工程</w:t>
            </w:r>
          </w:p>
        </w:tc>
        <w:tc>
          <w:tcPr>
            <w:tcW w:w="1843" w:type="dxa"/>
            <w:shd w:val="clear" w:color="auto" w:fill="auto"/>
          </w:tcPr>
          <w:p>
            <w:pPr>
              <w:pStyle w:val="72"/>
            </w:pPr>
          </w:p>
        </w:tc>
        <w:tc>
          <w:tcPr>
            <w:tcW w:w="3686" w:type="dxa"/>
            <w:shd w:val="clear" w:color="auto" w:fill="auto"/>
          </w:tcPr>
          <w:p>
            <w:pPr>
              <w:pStyle w:val="72"/>
            </w:pPr>
            <w:r>
              <w:rPr>
                <w:rFonts w:hint="eastAsia"/>
              </w:rPr>
              <w:t>将凌云中水厂尾水补充跃进河</w:t>
            </w:r>
          </w:p>
        </w:tc>
        <w:tc>
          <w:tcPr>
            <w:tcW w:w="1275" w:type="dxa"/>
            <w:vAlign w:val="center"/>
          </w:tcPr>
          <w:p>
            <w:pPr>
              <w:pStyle w:val="72"/>
            </w:pPr>
            <w:r>
              <w:t>500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p>
        </w:tc>
        <w:tc>
          <w:tcPr>
            <w:tcW w:w="2693" w:type="dxa"/>
            <w:shd w:val="clear" w:color="auto" w:fill="auto"/>
            <w:vAlign w:val="center"/>
          </w:tcPr>
          <w:p>
            <w:pPr>
              <w:pStyle w:val="72"/>
            </w:pPr>
            <w:r>
              <w:t>小计</w:t>
            </w:r>
          </w:p>
        </w:tc>
        <w:tc>
          <w:tcPr>
            <w:tcW w:w="1843" w:type="dxa"/>
            <w:shd w:val="clear" w:color="auto" w:fill="auto"/>
            <w:vAlign w:val="center"/>
          </w:tcPr>
          <w:p>
            <w:pPr>
              <w:pStyle w:val="72"/>
            </w:pPr>
          </w:p>
        </w:tc>
        <w:tc>
          <w:tcPr>
            <w:tcW w:w="4961" w:type="dxa"/>
            <w:gridSpan w:val="2"/>
            <w:shd w:val="clear" w:color="auto" w:fill="auto"/>
            <w:vAlign w:val="center"/>
          </w:tcPr>
          <w:p>
            <w:pPr>
              <w:pStyle w:val="72"/>
            </w:pPr>
            <w:r>
              <w:t>800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817" w:type="dxa"/>
            <w:shd w:val="clear" w:color="auto" w:fill="auto"/>
            <w:vAlign w:val="center"/>
          </w:tcPr>
          <w:p>
            <w:pPr>
              <w:pStyle w:val="72"/>
            </w:pPr>
          </w:p>
        </w:tc>
        <w:tc>
          <w:tcPr>
            <w:tcW w:w="2693" w:type="dxa"/>
            <w:shd w:val="clear" w:color="auto" w:fill="auto"/>
            <w:vAlign w:val="center"/>
          </w:tcPr>
          <w:p>
            <w:pPr>
              <w:pStyle w:val="72"/>
            </w:pPr>
            <w:r>
              <w:t>合计</w:t>
            </w:r>
          </w:p>
        </w:tc>
        <w:tc>
          <w:tcPr>
            <w:tcW w:w="1843" w:type="dxa"/>
            <w:shd w:val="clear" w:color="auto" w:fill="auto"/>
            <w:vAlign w:val="center"/>
          </w:tcPr>
          <w:p>
            <w:pPr>
              <w:pStyle w:val="72"/>
            </w:pPr>
            <w:r>
              <w:t>　</w:t>
            </w:r>
          </w:p>
        </w:tc>
        <w:tc>
          <w:tcPr>
            <w:tcW w:w="4961" w:type="dxa"/>
            <w:gridSpan w:val="2"/>
            <w:shd w:val="clear" w:color="auto" w:fill="auto"/>
            <w:vAlign w:val="center"/>
          </w:tcPr>
          <w:p>
            <w:pPr>
              <w:pStyle w:val="72"/>
            </w:pPr>
            <w:r>
              <w:rPr>
                <w:rFonts w:hint="eastAsia"/>
              </w:rPr>
              <w:t>7249</w:t>
            </w:r>
            <w:r>
              <w:t>.15</w:t>
            </w:r>
          </w:p>
        </w:tc>
      </w:tr>
    </w:tbl>
    <w:p>
      <w:pPr>
        <w:pStyle w:val="3"/>
        <w:spacing w:before="120" w:after="60"/>
        <w:ind w:firstLine="602"/>
      </w:pPr>
      <w:bookmarkStart w:id="458" w:name="_Toc8032662"/>
      <w:r>
        <w:rPr>
          <w:rFonts w:ascii="Times New Roman" w:hAnsi="Times New Roman"/>
        </w:rPr>
        <w:t>8.4</w:t>
      </w:r>
      <w:r>
        <w:rPr>
          <w:rFonts w:hint="eastAsia"/>
        </w:rPr>
        <w:t>老旧管网改造及漏损控制（不计入总投资）</w:t>
      </w:r>
      <w:bookmarkEnd w:id="452"/>
      <w:bookmarkEnd w:id="453"/>
      <w:bookmarkEnd w:id="458"/>
      <w:bookmarkStart w:id="459" w:name="_Toc12805"/>
    </w:p>
    <w:p>
      <w:pPr>
        <w:ind w:firstLine="560"/>
      </w:pPr>
      <w:r>
        <w:rPr>
          <w:rFonts w:hint="eastAsia"/>
        </w:rPr>
        <w:t>目前淮北市城区建成区的公共供水管网漏损率为</w:t>
      </w:r>
      <w:r>
        <w:t>11.41%</w:t>
      </w:r>
      <w:r>
        <w:rPr>
          <w:rFonts w:hint="eastAsia"/>
        </w:rPr>
        <w:t>，此值为理论计算值，然而从现状调研分析来看，淮北市城区的管网漏损率比此值偏大，故未来管网改造工作仍需加强。</w:t>
      </w:r>
    </w:p>
    <w:p>
      <w:pPr>
        <w:ind w:firstLine="560"/>
      </w:pPr>
      <w:r>
        <w:rPr>
          <w:rFonts w:hint="eastAsia"/>
        </w:rPr>
        <w:t>规划期内一是完善城区骨干供水管网和区域供水管网建设，二是改造漏损严重的老旧管网，降低漏损率。</w:t>
      </w:r>
    </w:p>
    <w:p>
      <w:pPr>
        <w:ind w:firstLine="560"/>
      </w:pPr>
      <w:r>
        <w:rPr>
          <w:rFonts w:hint="eastAsia"/>
        </w:rPr>
        <w:t>淮北市</w:t>
      </w:r>
      <w:r>
        <w:t>目前</w:t>
      </w:r>
      <w:r>
        <w:rPr>
          <w:rFonts w:hint="eastAsia"/>
        </w:rPr>
        <w:t>按照</w:t>
      </w:r>
      <w:r>
        <w:t>《城</w:t>
      </w:r>
      <w:r>
        <w:rPr>
          <w:rFonts w:hint="eastAsia"/>
        </w:rPr>
        <w:t>镇</w:t>
      </w:r>
      <w:r>
        <w:t>供水管网漏损控制及评定标准》，加快各供水区内供水管网的延伸，实行区域联片供水。</w:t>
      </w:r>
      <w:r>
        <w:rPr>
          <w:rFonts w:hint="eastAsia"/>
        </w:rPr>
        <w:t>重点对压力较高的供水干管进行检测维护。首先应对使用年限超过30年的供水管网、材质落后和受损失修的管网实施更新改造，在管网改造过程中推广使用离心工艺制造的球墨铸铁管、</w:t>
      </w:r>
      <w:r>
        <w:t>UPVC</w:t>
      </w:r>
      <w:r>
        <w:rPr>
          <w:rFonts w:hint="eastAsia"/>
        </w:rPr>
        <w:t>管和新型复合塑料管等优质管材和阀门。同时，排查和修复漏损供水管网。其次应在普查基础上建立公共供水管网</w:t>
      </w:r>
      <w:r>
        <w:t>GIS管网信息管理系统</w:t>
      </w:r>
      <w:r>
        <w:rPr>
          <w:rFonts w:hint="eastAsia"/>
        </w:rPr>
        <w:t>，鼓励开展管网独立分区计量体系的建设，并完成相应的管网分区局部改造、泵站改造、分区阀门及计量设备安装等工程。三是结合小区二次供水设施改造，有计划的同步实施小区漏损管网改造。</w:t>
      </w:r>
      <w:r>
        <w:t>《住房城乡建设部国家发展改革委关于印发城镇节水工作指南的通知》中已经指出：鼓励开展管网独立分区计量管理（DMA），在普查基础上建立公共供水管网信息系统，鼓励开展管网独立分区计量体系的建设，并完成相应的管网分区局部改造、泵站改造、分区阀门及计量设备安装等工程；强化居住小区计量管理，鼓励建立小区DMA管理模式，健全总分表匹配和分析机制，实施三级计量防漏措施。</w:t>
      </w:r>
    </w:p>
    <w:p>
      <w:pPr>
        <w:ind w:firstLine="560"/>
      </w:pPr>
      <w:r>
        <w:rPr>
          <w:rFonts w:hint="eastAsia"/>
        </w:rPr>
        <w:t>对于城市建成区内、用水量达到一定标准的公共机构和工业企业用水大户，应当在抓好水平衡测试的前提下，严控使用环节漏损，主要包括内部管网漏损检查与修复、计量水表三级或二级改造等。</w:t>
      </w:r>
    </w:p>
    <w:p>
      <w:pPr>
        <w:ind w:firstLine="560"/>
      </w:pPr>
      <w:r>
        <w:rPr>
          <w:rFonts w:hint="eastAsia"/>
        </w:rPr>
        <w:t>城区供水管网</w:t>
      </w:r>
      <w:r>
        <w:t>改造工程</w:t>
      </w:r>
      <w:r>
        <w:rPr>
          <w:rFonts w:hint="eastAsia"/>
        </w:rPr>
        <w:t>主要</w:t>
      </w:r>
      <w:r>
        <w:t>对</w:t>
      </w:r>
      <w:r>
        <w:rPr>
          <w:rFonts w:hint="eastAsia"/>
        </w:rPr>
        <w:t>淮北</w:t>
      </w:r>
      <w:r>
        <w:t>市中心城区进行更换延长</w:t>
      </w:r>
      <w:r>
        <w:rPr>
          <w:rFonts w:hint="eastAsia"/>
        </w:rPr>
        <w:t>和老旧小区的改造</w:t>
      </w:r>
      <w:r>
        <w:t>。至2020</w:t>
      </w:r>
      <w:r>
        <w:rPr>
          <w:rFonts w:hint="eastAsia"/>
        </w:rPr>
        <w:t>年</w:t>
      </w:r>
      <w:r>
        <w:t>，改造管网投资估算为</w:t>
      </w:r>
      <w:r>
        <w:rPr>
          <w:rFonts w:hint="eastAsia"/>
        </w:rPr>
        <w:t>2159.8万元</w:t>
      </w:r>
      <w:r>
        <w:t>，</w:t>
      </w:r>
      <w:r>
        <w:rPr>
          <w:rFonts w:hint="eastAsia"/>
        </w:rPr>
        <w:t>小区改造</w:t>
      </w:r>
      <w:r>
        <w:t>投资估算为</w:t>
      </w:r>
      <w:r>
        <w:rPr>
          <w:rFonts w:hint="eastAsia"/>
        </w:rPr>
        <w:t>1656.8万元</w:t>
      </w:r>
      <w:r>
        <w:t>。</w:t>
      </w:r>
    </w:p>
    <w:p>
      <w:pPr>
        <w:spacing w:before="120"/>
        <w:ind w:firstLine="482"/>
        <w:jc w:val="center"/>
        <w:rPr>
          <w:b/>
          <w:bCs/>
          <w:sz w:val="24"/>
          <w:szCs w:val="20"/>
        </w:rPr>
      </w:pPr>
      <w:r>
        <w:rPr>
          <w:b/>
          <w:bCs/>
          <w:sz w:val="24"/>
          <w:szCs w:val="20"/>
        </w:rPr>
        <w:t>表</w:t>
      </w:r>
      <w:r>
        <w:rPr>
          <w:rFonts w:hint="eastAsia"/>
          <w:b/>
          <w:bCs/>
          <w:sz w:val="24"/>
          <w:szCs w:val="20"/>
        </w:rPr>
        <w:t>8</w:t>
      </w:r>
      <w:r>
        <w:rPr>
          <w:b/>
          <w:bCs/>
          <w:sz w:val="24"/>
          <w:szCs w:val="20"/>
        </w:rPr>
        <w:t>-</w:t>
      </w:r>
      <w:r>
        <w:rPr>
          <w:rFonts w:hint="eastAsia"/>
          <w:b/>
          <w:bCs/>
          <w:sz w:val="24"/>
          <w:szCs w:val="20"/>
        </w:rPr>
        <w:t>6</w:t>
      </w:r>
      <w:r>
        <w:rPr>
          <w:b/>
          <w:bCs/>
          <w:sz w:val="24"/>
          <w:szCs w:val="20"/>
        </w:rPr>
        <w:t xml:space="preserve">    近期</w:t>
      </w:r>
      <w:r>
        <w:rPr>
          <w:rFonts w:hint="eastAsia"/>
          <w:b/>
          <w:bCs/>
          <w:sz w:val="24"/>
          <w:szCs w:val="20"/>
        </w:rPr>
        <w:t>供水管网改造</w:t>
      </w:r>
      <w:r>
        <w:rPr>
          <w:b/>
          <w:bCs/>
          <w:sz w:val="24"/>
          <w:szCs w:val="20"/>
        </w:rPr>
        <w:t>工程投资估算表</w:t>
      </w:r>
    </w:p>
    <w:tbl>
      <w:tblPr>
        <w:tblStyle w:val="67"/>
        <w:tblpPr w:leftFromText="180" w:rightFromText="180" w:vertAnchor="text" w:horzAnchor="margin" w:tblpXSpec="right" w:tblpY="224"/>
        <w:tblW w:w="9910" w:type="dxa"/>
        <w:tblInd w:w="0" w:type="dxa"/>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2306"/>
        <w:gridCol w:w="2305"/>
        <w:gridCol w:w="1152"/>
        <w:gridCol w:w="1039"/>
        <w:gridCol w:w="1104"/>
        <w:gridCol w:w="2004"/>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293" w:hRule="exact"/>
        </w:trPr>
        <w:tc>
          <w:tcPr>
            <w:tcW w:w="2306" w:type="dxa"/>
            <w:vAlign w:val="center"/>
          </w:tcPr>
          <w:p>
            <w:pPr>
              <w:pStyle w:val="72"/>
              <w:rPr>
                <w:rFonts w:asciiTheme="minorHAnsi" w:hAnsiTheme="minorHAnsi" w:eastAsiaTheme="minorEastAsia"/>
              </w:rPr>
            </w:pPr>
            <w:r>
              <w:rPr>
                <w:rFonts w:hint="eastAsia" w:asciiTheme="minorHAnsi" w:hAnsiTheme="minorHAnsi" w:eastAsiaTheme="minorEastAsia"/>
              </w:rPr>
              <w:t>路名</w:t>
            </w:r>
          </w:p>
        </w:tc>
        <w:tc>
          <w:tcPr>
            <w:tcW w:w="2305" w:type="dxa"/>
            <w:vAlign w:val="center"/>
          </w:tcPr>
          <w:p>
            <w:pPr>
              <w:pStyle w:val="72"/>
              <w:rPr>
                <w:rFonts w:asciiTheme="minorHAnsi" w:hAnsiTheme="minorHAnsi" w:eastAsiaTheme="minorEastAsia"/>
              </w:rPr>
            </w:pPr>
            <w:r>
              <w:rPr>
                <w:rFonts w:asciiTheme="minorHAnsi" w:hAnsiTheme="minorHAnsi" w:eastAsiaTheme="minorEastAsia"/>
              </w:rPr>
              <w:t>管径</w:t>
            </w:r>
          </w:p>
        </w:tc>
        <w:tc>
          <w:tcPr>
            <w:tcW w:w="1152" w:type="dxa"/>
            <w:vAlign w:val="center"/>
          </w:tcPr>
          <w:p>
            <w:pPr>
              <w:pStyle w:val="72"/>
              <w:rPr>
                <w:rFonts w:asciiTheme="minorHAnsi" w:hAnsiTheme="minorHAnsi" w:eastAsiaTheme="minorEastAsia"/>
              </w:rPr>
            </w:pPr>
            <w:r>
              <w:rPr>
                <w:rFonts w:asciiTheme="minorHAnsi" w:hAnsiTheme="minorHAnsi" w:eastAsiaTheme="minorEastAsia"/>
              </w:rPr>
              <w:t>管材</w:t>
            </w:r>
          </w:p>
        </w:tc>
        <w:tc>
          <w:tcPr>
            <w:tcW w:w="1039" w:type="dxa"/>
            <w:vAlign w:val="center"/>
          </w:tcPr>
          <w:p>
            <w:pPr>
              <w:pStyle w:val="72"/>
              <w:rPr>
                <w:rFonts w:asciiTheme="minorHAnsi" w:hAnsiTheme="minorHAnsi" w:eastAsiaTheme="minorEastAsia"/>
              </w:rPr>
            </w:pPr>
            <w:r>
              <w:rPr>
                <w:rFonts w:asciiTheme="minorHAnsi" w:hAnsiTheme="minorHAnsi" w:eastAsiaTheme="minorEastAsia"/>
              </w:rPr>
              <w:t>单位</w:t>
            </w:r>
          </w:p>
        </w:tc>
        <w:tc>
          <w:tcPr>
            <w:tcW w:w="1104" w:type="dxa"/>
            <w:vAlign w:val="center"/>
          </w:tcPr>
          <w:p>
            <w:pPr>
              <w:pStyle w:val="72"/>
              <w:rPr>
                <w:rFonts w:asciiTheme="minorHAnsi" w:hAnsiTheme="minorHAnsi" w:eastAsiaTheme="minorEastAsia"/>
              </w:rPr>
            </w:pPr>
            <w:r>
              <w:rPr>
                <w:rFonts w:asciiTheme="minorHAnsi" w:hAnsiTheme="minorHAnsi" w:eastAsiaTheme="minorEastAsia"/>
              </w:rPr>
              <w:t>数量</w:t>
            </w:r>
          </w:p>
        </w:tc>
        <w:tc>
          <w:tcPr>
            <w:tcW w:w="2004" w:type="dxa"/>
            <w:vAlign w:val="center"/>
          </w:tcPr>
          <w:p>
            <w:pPr>
              <w:pStyle w:val="72"/>
              <w:rPr>
                <w:rFonts w:asciiTheme="minorHAnsi" w:hAnsiTheme="minorHAnsi" w:eastAsiaTheme="minorEastAsia"/>
              </w:rPr>
            </w:pPr>
            <w:r>
              <w:rPr>
                <w:rFonts w:hint="eastAsia" w:asciiTheme="minorHAnsi" w:hAnsiTheme="minorHAnsi" w:eastAsiaTheme="minorEastAsia"/>
              </w:rPr>
              <w:t>投资估算（万元）</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298" w:hRule="exact"/>
        </w:trPr>
        <w:tc>
          <w:tcPr>
            <w:tcW w:w="2306" w:type="dxa"/>
            <w:vAlign w:val="center"/>
          </w:tcPr>
          <w:p>
            <w:pPr>
              <w:pStyle w:val="72"/>
              <w:rPr>
                <w:rFonts w:asciiTheme="minorHAnsi" w:hAnsiTheme="minorHAnsi" w:eastAsiaTheme="minorEastAsia"/>
              </w:rPr>
            </w:pPr>
            <w:r>
              <w:rPr>
                <w:rFonts w:hint="eastAsia" w:asciiTheme="minorHAnsi" w:hAnsiTheme="minorHAnsi" w:eastAsiaTheme="minorEastAsia"/>
              </w:rPr>
              <w:t>淮海路</w:t>
            </w:r>
          </w:p>
          <w:p>
            <w:pPr>
              <w:pStyle w:val="72"/>
              <w:rPr>
                <w:rFonts w:asciiTheme="minorHAnsi" w:hAnsiTheme="minorHAnsi" w:eastAsiaTheme="minorEastAsia"/>
              </w:rPr>
            </w:pPr>
          </w:p>
        </w:tc>
        <w:tc>
          <w:tcPr>
            <w:tcW w:w="2305" w:type="dxa"/>
            <w:vAlign w:val="center"/>
          </w:tcPr>
          <w:p>
            <w:pPr>
              <w:pStyle w:val="72"/>
              <w:rPr>
                <w:rFonts w:asciiTheme="minorHAnsi" w:hAnsiTheme="minorHAnsi" w:eastAsiaTheme="minorEastAsia"/>
              </w:rPr>
            </w:pPr>
            <w:r>
              <w:rPr>
                <w:rFonts w:asciiTheme="minorHAnsi" w:hAnsiTheme="minorHAnsi" w:eastAsiaTheme="minorEastAsia"/>
              </w:rPr>
              <w:t>DN400</w:t>
            </w:r>
          </w:p>
        </w:tc>
        <w:tc>
          <w:tcPr>
            <w:tcW w:w="1152" w:type="dxa"/>
            <w:vAlign w:val="center"/>
          </w:tcPr>
          <w:p>
            <w:pPr>
              <w:pStyle w:val="72"/>
              <w:rPr>
                <w:rFonts w:asciiTheme="minorHAnsi" w:hAnsiTheme="minorHAnsi" w:eastAsiaTheme="minorEastAsia"/>
              </w:rPr>
            </w:pPr>
            <w:r>
              <w:rPr>
                <w:rFonts w:asciiTheme="minorHAnsi" w:hAnsiTheme="minorHAnsi" w:eastAsiaTheme="minorEastAsia"/>
              </w:rPr>
              <w:t>球墨铸铁</w:t>
            </w:r>
          </w:p>
        </w:tc>
        <w:tc>
          <w:tcPr>
            <w:tcW w:w="1039" w:type="dxa"/>
            <w:vAlign w:val="center"/>
          </w:tcPr>
          <w:p>
            <w:pPr>
              <w:pStyle w:val="72"/>
              <w:rPr>
                <w:rFonts w:asciiTheme="minorHAnsi" w:hAnsiTheme="minorHAnsi" w:eastAsiaTheme="minorEastAsia"/>
              </w:rPr>
            </w:pPr>
            <w:r>
              <w:rPr>
                <w:rFonts w:asciiTheme="minorHAnsi" w:hAnsiTheme="minorHAnsi" w:eastAsiaTheme="minorEastAsia"/>
              </w:rPr>
              <w:t>米</w:t>
            </w:r>
          </w:p>
        </w:tc>
        <w:tc>
          <w:tcPr>
            <w:tcW w:w="1104" w:type="dxa"/>
            <w:vAlign w:val="center"/>
          </w:tcPr>
          <w:p>
            <w:pPr>
              <w:pStyle w:val="72"/>
              <w:rPr>
                <w:rFonts w:asciiTheme="minorHAnsi" w:hAnsiTheme="minorHAnsi" w:eastAsiaTheme="minorEastAsia"/>
              </w:rPr>
            </w:pPr>
            <w:r>
              <w:rPr>
                <w:rFonts w:hint="eastAsia" w:asciiTheme="minorHAnsi" w:hAnsiTheme="minorHAnsi" w:eastAsiaTheme="minorEastAsia"/>
              </w:rPr>
              <w:t>160</w:t>
            </w:r>
          </w:p>
        </w:tc>
        <w:tc>
          <w:tcPr>
            <w:tcW w:w="2004" w:type="dxa"/>
            <w:vAlign w:val="center"/>
          </w:tcPr>
          <w:p>
            <w:pPr>
              <w:pStyle w:val="72"/>
              <w:rPr>
                <w:rFonts w:asciiTheme="minorHAnsi" w:hAnsiTheme="minorHAnsi" w:eastAsiaTheme="minorEastAsia"/>
              </w:rPr>
            </w:pPr>
            <w:r>
              <w:rPr>
                <w:rFonts w:hint="eastAsia" w:asciiTheme="minorHAnsi" w:hAnsiTheme="minorHAnsi" w:eastAsiaTheme="minorEastAsia"/>
              </w:rPr>
              <w:t>32</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00" w:hRule="exact"/>
        </w:trPr>
        <w:tc>
          <w:tcPr>
            <w:tcW w:w="2306" w:type="dxa"/>
            <w:vAlign w:val="center"/>
          </w:tcPr>
          <w:p>
            <w:pPr>
              <w:pStyle w:val="72"/>
              <w:rPr>
                <w:rFonts w:asciiTheme="minorHAnsi" w:hAnsiTheme="minorHAnsi" w:eastAsiaTheme="minorEastAsia"/>
              </w:rPr>
            </w:pPr>
            <w:r>
              <w:rPr>
                <w:rFonts w:hint="eastAsia" w:asciiTheme="minorHAnsi" w:hAnsiTheme="minorHAnsi" w:eastAsiaTheme="minorEastAsia"/>
              </w:rPr>
              <w:t>古城路</w:t>
            </w:r>
          </w:p>
          <w:p>
            <w:pPr>
              <w:pStyle w:val="72"/>
              <w:rPr>
                <w:rFonts w:asciiTheme="minorHAnsi" w:hAnsiTheme="minorHAnsi" w:eastAsiaTheme="minorEastAsia"/>
              </w:rPr>
            </w:pPr>
          </w:p>
        </w:tc>
        <w:tc>
          <w:tcPr>
            <w:tcW w:w="2305" w:type="dxa"/>
            <w:vAlign w:val="center"/>
          </w:tcPr>
          <w:p>
            <w:pPr>
              <w:pStyle w:val="72"/>
              <w:rPr>
                <w:rFonts w:asciiTheme="minorHAnsi" w:hAnsiTheme="minorHAnsi" w:eastAsiaTheme="minorEastAsia"/>
              </w:rPr>
            </w:pPr>
            <w:r>
              <w:rPr>
                <w:rFonts w:asciiTheme="minorHAnsi" w:hAnsiTheme="minorHAnsi" w:eastAsiaTheme="minorEastAsia"/>
              </w:rPr>
              <w:t>DN300</w:t>
            </w:r>
          </w:p>
        </w:tc>
        <w:tc>
          <w:tcPr>
            <w:tcW w:w="1152" w:type="dxa"/>
            <w:vAlign w:val="center"/>
          </w:tcPr>
          <w:p>
            <w:pPr>
              <w:pStyle w:val="72"/>
              <w:rPr>
                <w:rFonts w:asciiTheme="minorHAnsi" w:hAnsiTheme="minorHAnsi" w:eastAsiaTheme="minorEastAsia"/>
              </w:rPr>
            </w:pPr>
            <w:r>
              <w:rPr>
                <w:rFonts w:asciiTheme="minorHAnsi" w:hAnsiTheme="minorHAnsi" w:eastAsiaTheme="minorEastAsia"/>
              </w:rPr>
              <w:t>球墨铸铁</w:t>
            </w:r>
          </w:p>
        </w:tc>
        <w:tc>
          <w:tcPr>
            <w:tcW w:w="1039" w:type="dxa"/>
            <w:vAlign w:val="center"/>
          </w:tcPr>
          <w:p>
            <w:pPr>
              <w:pStyle w:val="72"/>
              <w:rPr>
                <w:rFonts w:asciiTheme="minorHAnsi" w:hAnsiTheme="minorHAnsi" w:eastAsiaTheme="minorEastAsia"/>
              </w:rPr>
            </w:pPr>
            <w:r>
              <w:rPr>
                <w:rFonts w:asciiTheme="minorHAnsi" w:hAnsiTheme="minorHAnsi" w:eastAsiaTheme="minorEastAsia"/>
              </w:rPr>
              <w:t>米</w:t>
            </w:r>
          </w:p>
        </w:tc>
        <w:tc>
          <w:tcPr>
            <w:tcW w:w="1104" w:type="dxa"/>
            <w:vAlign w:val="center"/>
          </w:tcPr>
          <w:p>
            <w:pPr>
              <w:pStyle w:val="72"/>
              <w:rPr>
                <w:rFonts w:asciiTheme="minorHAnsi" w:hAnsiTheme="minorHAnsi" w:eastAsiaTheme="minorEastAsia"/>
              </w:rPr>
            </w:pPr>
            <w:r>
              <w:rPr>
                <w:rFonts w:hint="eastAsia" w:asciiTheme="minorHAnsi" w:hAnsiTheme="minorHAnsi" w:eastAsiaTheme="minorEastAsia"/>
              </w:rPr>
              <w:t>580</w:t>
            </w:r>
          </w:p>
        </w:tc>
        <w:tc>
          <w:tcPr>
            <w:tcW w:w="2004" w:type="dxa"/>
            <w:vAlign w:val="center"/>
          </w:tcPr>
          <w:p>
            <w:pPr>
              <w:pStyle w:val="72"/>
              <w:rPr>
                <w:rFonts w:asciiTheme="minorHAnsi" w:hAnsiTheme="minorHAnsi" w:eastAsiaTheme="minorEastAsia"/>
              </w:rPr>
            </w:pPr>
            <w:r>
              <w:rPr>
                <w:rFonts w:hint="eastAsia" w:asciiTheme="minorHAnsi" w:hAnsiTheme="minorHAnsi" w:eastAsiaTheme="minorEastAsia"/>
              </w:rPr>
              <w:t>87</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298" w:hRule="exact"/>
        </w:trPr>
        <w:tc>
          <w:tcPr>
            <w:tcW w:w="2306" w:type="dxa"/>
            <w:vAlign w:val="center"/>
          </w:tcPr>
          <w:p>
            <w:pPr>
              <w:pStyle w:val="72"/>
              <w:rPr>
                <w:rFonts w:asciiTheme="minorHAnsi" w:hAnsiTheme="minorHAnsi" w:eastAsiaTheme="minorEastAsia"/>
              </w:rPr>
            </w:pPr>
            <w:r>
              <w:rPr>
                <w:rFonts w:hint="eastAsia" w:asciiTheme="minorHAnsi" w:hAnsiTheme="minorHAnsi" w:eastAsiaTheme="minorEastAsia"/>
              </w:rPr>
              <w:t>闸河路</w:t>
            </w:r>
          </w:p>
          <w:p>
            <w:pPr>
              <w:pStyle w:val="72"/>
              <w:rPr>
                <w:rFonts w:asciiTheme="minorHAnsi" w:hAnsiTheme="minorHAnsi" w:eastAsiaTheme="minorEastAsia"/>
              </w:rPr>
            </w:pPr>
          </w:p>
        </w:tc>
        <w:tc>
          <w:tcPr>
            <w:tcW w:w="2305" w:type="dxa"/>
            <w:vAlign w:val="center"/>
          </w:tcPr>
          <w:p>
            <w:pPr>
              <w:pStyle w:val="72"/>
              <w:rPr>
                <w:rFonts w:asciiTheme="minorHAnsi" w:hAnsiTheme="minorHAnsi" w:eastAsiaTheme="minorEastAsia"/>
              </w:rPr>
            </w:pPr>
            <w:r>
              <w:rPr>
                <w:rFonts w:asciiTheme="minorHAnsi" w:hAnsiTheme="minorHAnsi" w:eastAsiaTheme="minorEastAsia"/>
              </w:rPr>
              <w:t>DN300</w:t>
            </w:r>
          </w:p>
        </w:tc>
        <w:tc>
          <w:tcPr>
            <w:tcW w:w="1152" w:type="dxa"/>
            <w:vAlign w:val="center"/>
          </w:tcPr>
          <w:p>
            <w:pPr>
              <w:pStyle w:val="72"/>
              <w:rPr>
                <w:rFonts w:asciiTheme="minorHAnsi" w:hAnsiTheme="minorHAnsi" w:eastAsiaTheme="minorEastAsia"/>
              </w:rPr>
            </w:pPr>
            <w:r>
              <w:rPr>
                <w:rFonts w:asciiTheme="minorHAnsi" w:hAnsiTheme="minorHAnsi" w:eastAsiaTheme="minorEastAsia"/>
              </w:rPr>
              <w:t>球墨铸铁</w:t>
            </w:r>
          </w:p>
        </w:tc>
        <w:tc>
          <w:tcPr>
            <w:tcW w:w="1039" w:type="dxa"/>
            <w:vAlign w:val="center"/>
          </w:tcPr>
          <w:p>
            <w:pPr>
              <w:pStyle w:val="72"/>
              <w:rPr>
                <w:rFonts w:asciiTheme="minorHAnsi" w:hAnsiTheme="minorHAnsi" w:eastAsiaTheme="minorEastAsia"/>
              </w:rPr>
            </w:pPr>
            <w:r>
              <w:rPr>
                <w:rFonts w:asciiTheme="minorHAnsi" w:hAnsiTheme="minorHAnsi" w:eastAsiaTheme="minorEastAsia"/>
              </w:rPr>
              <w:t>米</w:t>
            </w:r>
          </w:p>
        </w:tc>
        <w:tc>
          <w:tcPr>
            <w:tcW w:w="1104" w:type="dxa"/>
            <w:vAlign w:val="center"/>
          </w:tcPr>
          <w:p>
            <w:pPr>
              <w:pStyle w:val="72"/>
              <w:rPr>
                <w:rFonts w:asciiTheme="minorHAnsi" w:hAnsiTheme="minorHAnsi" w:eastAsiaTheme="minorEastAsia"/>
              </w:rPr>
            </w:pPr>
            <w:r>
              <w:rPr>
                <w:rFonts w:hint="eastAsia" w:asciiTheme="minorHAnsi" w:hAnsiTheme="minorHAnsi" w:eastAsiaTheme="minorEastAsia"/>
              </w:rPr>
              <w:t>172</w:t>
            </w:r>
          </w:p>
        </w:tc>
        <w:tc>
          <w:tcPr>
            <w:tcW w:w="2004" w:type="dxa"/>
            <w:vAlign w:val="center"/>
          </w:tcPr>
          <w:p>
            <w:pPr>
              <w:pStyle w:val="72"/>
              <w:rPr>
                <w:rFonts w:asciiTheme="minorHAnsi" w:hAnsiTheme="minorHAnsi" w:eastAsiaTheme="minorEastAsia"/>
              </w:rPr>
            </w:pPr>
            <w:r>
              <w:rPr>
                <w:rFonts w:hint="eastAsia" w:asciiTheme="minorHAnsi" w:hAnsiTheme="minorHAnsi" w:eastAsiaTheme="minorEastAsia"/>
              </w:rPr>
              <w:t>25.8</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298" w:hRule="exact"/>
        </w:trPr>
        <w:tc>
          <w:tcPr>
            <w:tcW w:w="2306" w:type="dxa"/>
            <w:vAlign w:val="center"/>
          </w:tcPr>
          <w:p>
            <w:pPr>
              <w:pStyle w:val="72"/>
              <w:rPr>
                <w:rFonts w:asciiTheme="minorHAnsi" w:hAnsiTheme="minorHAnsi" w:eastAsiaTheme="minorEastAsia"/>
              </w:rPr>
            </w:pPr>
            <w:r>
              <w:rPr>
                <w:rFonts w:hint="eastAsia" w:asciiTheme="minorHAnsi" w:hAnsiTheme="minorHAnsi" w:eastAsiaTheme="minorEastAsia"/>
              </w:rPr>
              <w:t>民生路</w:t>
            </w:r>
          </w:p>
          <w:p>
            <w:pPr>
              <w:pStyle w:val="72"/>
              <w:rPr>
                <w:rFonts w:asciiTheme="minorHAnsi" w:hAnsiTheme="minorHAnsi" w:eastAsiaTheme="minorEastAsia"/>
              </w:rPr>
            </w:pPr>
          </w:p>
        </w:tc>
        <w:tc>
          <w:tcPr>
            <w:tcW w:w="2305" w:type="dxa"/>
            <w:vAlign w:val="center"/>
          </w:tcPr>
          <w:p>
            <w:pPr>
              <w:pStyle w:val="72"/>
              <w:rPr>
                <w:rFonts w:asciiTheme="minorHAnsi" w:hAnsiTheme="minorHAnsi" w:eastAsiaTheme="minorEastAsia"/>
              </w:rPr>
            </w:pPr>
            <w:r>
              <w:rPr>
                <w:rFonts w:asciiTheme="minorHAnsi" w:hAnsiTheme="minorHAnsi" w:eastAsiaTheme="minorEastAsia"/>
              </w:rPr>
              <w:t>DN300</w:t>
            </w:r>
          </w:p>
        </w:tc>
        <w:tc>
          <w:tcPr>
            <w:tcW w:w="1152" w:type="dxa"/>
            <w:vAlign w:val="center"/>
          </w:tcPr>
          <w:p>
            <w:pPr>
              <w:pStyle w:val="72"/>
              <w:rPr>
                <w:rFonts w:asciiTheme="minorHAnsi" w:hAnsiTheme="minorHAnsi" w:eastAsiaTheme="minorEastAsia"/>
              </w:rPr>
            </w:pPr>
            <w:r>
              <w:rPr>
                <w:rFonts w:asciiTheme="minorHAnsi" w:hAnsiTheme="minorHAnsi" w:eastAsiaTheme="minorEastAsia"/>
              </w:rPr>
              <w:t>球墨铸铁</w:t>
            </w:r>
          </w:p>
        </w:tc>
        <w:tc>
          <w:tcPr>
            <w:tcW w:w="1039" w:type="dxa"/>
            <w:vAlign w:val="center"/>
          </w:tcPr>
          <w:p>
            <w:pPr>
              <w:pStyle w:val="72"/>
              <w:rPr>
                <w:rFonts w:asciiTheme="minorHAnsi" w:hAnsiTheme="minorHAnsi" w:eastAsiaTheme="minorEastAsia"/>
              </w:rPr>
            </w:pPr>
            <w:r>
              <w:rPr>
                <w:rFonts w:asciiTheme="minorHAnsi" w:hAnsiTheme="minorHAnsi" w:eastAsiaTheme="minorEastAsia"/>
              </w:rPr>
              <w:t>米</w:t>
            </w:r>
          </w:p>
        </w:tc>
        <w:tc>
          <w:tcPr>
            <w:tcW w:w="1104" w:type="dxa"/>
            <w:vAlign w:val="center"/>
          </w:tcPr>
          <w:p>
            <w:pPr>
              <w:pStyle w:val="72"/>
              <w:rPr>
                <w:rFonts w:asciiTheme="minorHAnsi" w:hAnsiTheme="minorHAnsi" w:eastAsiaTheme="minorEastAsia"/>
              </w:rPr>
            </w:pPr>
            <w:r>
              <w:rPr>
                <w:rFonts w:hint="eastAsia" w:asciiTheme="minorHAnsi" w:hAnsiTheme="minorHAnsi" w:eastAsiaTheme="minorEastAsia"/>
              </w:rPr>
              <w:t>1200</w:t>
            </w:r>
          </w:p>
        </w:tc>
        <w:tc>
          <w:tcPr>
            <w:tcW w:w="2004" w:type="dxa"/>
            <w:vAlign w:val="center"/>
          </w:tcPr>
          <w:p>
            <w:pPr>
              <w:pStyle w:val="72"/>
              <w:rPr>
                <w:rFonts w:asciiTheme="minorHAnsi" w:hAnsiTheme="minorHAnsi" w:eastAsiaTheme="minorEastAsia"/>
              </w:rPr>
            </w:pPr>
            <w:r>
              <w:rPr>
                <w:rFonts w:hint="eastAsia" w:asciiTheme="minorHAnsi" w:hAnsiTheme="minorHAnsi" w:eastAsiaTheme="minorEastAsia"/>
              </w:rPr>
              <w:t>180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298" w:hRule="exact"/>
        </w:trPr>
        <w:tc>
          <w:tcPr>
            <w:tcW w:w="2306" w:type="dxa"/>
            <w:vAlign w:val="center"/>
          </w:tcPr>
          <w:p>
            <w:pPr>
              <w:pStyle w:val="72"/>
              <w:rPr>
                <w:rFonts w:asciiTheme="minorHAnsi" w:hAnsiTheme="minorHAnsi" w:eastAsiaTheme="minorEastAsia"/>
              </w:rPr>
            </w:pPr>
          </w:p>
          <w:p>
            <w:pPr>
              <w:pStyle w:val="72"/>
              <w:rPr>
                <w:rFonts w:asciiTheme="minorHAnsi" w:hAnsiTheme="minorHAnsi" w:eastAsiaTheme="minorEastAsia"/>
              </w:rPr>
            </w:pPr>
          </w:p>
        </w:tc>
        <w:tc>
          <w:tcPr>
            <w:tcW w:w="2305" w:type="dxa"/>
            <w:vAlign w:val="center"/>
          </w:tcPr>
          <w:p>
            <w:pPr>
              <w:pStyle w:val="72"/>
              <w:rPr>
                <w:rFonts w:asciiTheme="minorHAnsi" w:hAnsiTheme="minorHAnsi" w:eastAsiaTheme="minorEastAsia"/>
              </w:rPr>
            </w:pPr>
            <w:r>
              <w:rPr>
                <w:rFonts w:asciiTheme="minorHAnsi" w:hAnsiTheme="minorHAnsi" w:eastAsiaTheme="minorEastAsia"/>
              </w:rPr>
              <w:t>DN200</w:t>
            </w:r>
          </w:p>
        </w:tc>
        <w:tc>
          <w:tcPr>
            <w:tcW w:w="1152" w:type="dxa"/>
            <w:vAlign w:val="center"/>
          </w:tcPr>
          <w:p>
            <w:pPr>
              <w:pStyle w:val="72"/>
              <w:rPr>
                <w:rFonts w:asciiTheme="minorHAnsi" w:hAnsiTheme="minorHAnsi" w:eastAsiaTheme="minorEastAsia"/>
              </w:rPr>
            </w:pPr>
            <w:r>
              <w:rPr>
                <w:rFonts w:asciiTheme="minorHAnsi" w:hAnsiTheme="minorHAnsi" w:eastAsiaTheme="minorEastAsia"/>
              </w:rPr>
              <w:t>球墨铸铁</w:t>
            </w:r>
          </w:p>
        </w:tc>
        <w:tc>
          <w:tcPr>
            <w:tcW w:w="1039" w:type="dxa"/>
            <w:vAlign w:val="center"/>
          </w:tcPr>
          <w:p>
            <w:pPr>
              <w:pStyle w:val="72"/>
              <w:rPr>
                <w:rFonts w:asciiTheme="minorHAnsi" w:hAnsiTheme="minorHAnsi" w:eastAsiaTheme="minorEastAsia"/>
              </w:rPr>
            </w:pPr>
            <w:r>
              <w:rPr>
                <w:rFonts w:asciiTheme="minorHAnsi" w:hAnsiTheme="minorHAnsi" w:eastAsiaTheme="minorEastAsia"/>
              </w:rPr>
              <w:t>米</w:t>
            </w:r>
          </w:p>
        </w:tc>
        <w:tc>
          <w:tcPr>
            <w:tcW w:w="1104" w:type="dxa"/>
            <w:vAlign w:val="center"/>
          </w:tcPr>
          <w:p>
            <w:pPr>
              <w:pStyle w:val="72"/>
              <w:rPr>
                <w:rFonts w:asciiTheme="minorHAnsi" w:hAnsiTheme="minorHAnsi" w:eastAsiaTheme="minorEastAsia"/>
              </w:rPr>
            </w:pPr>
            <w:r>
              <w:rPr>
                <w:rFonts w:hint="eastAsia" w:asciiTheme="minorHAnsi" w:hAnsiTheme="minorHAnsi" w:eastAsiaTheme="minorEastAsia"/>
              </w:rPr>
              <w:t>360</w:t>
            </w:r>
          </w:p>
        </w:tc>
        <w:tc>
          <w:tcPr>
            <w:tcW w:w="2004" w:type="dxa"/>
            <w:vAlign w:val="center"/>
          </w:tcPr>
          <w:p>
            <w:pPr>
              <w:pStyle w:val="72"/>
              <w:rPr>
                <w:rFonts w:asciiTheme="minorHAnsi" w:hAnsiTheme="minorHAnsi" w:eastAsiaTheme="minorEastAsia"/>
              </w:rPr>
            </w:pPr>
            <w:r>
              <w:rPr>
                <w:rFonts w:hint="eastAsia" w:asciiTheme="minorHAnsi" w:hAnsiTheme="minorHAnsi" w:eastAsiaTheme="minorEastAsia"/>
              </w:rPr>
              <w:t>36</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00" w:hRule="exact"/>
        </w:trPr>
        <w:tc>
          <w:tcPr>
            <w:tcW w:w="2306" w:type="dxa"/>
            <w:vAlign w:val="center"/>
          </w:tcPr>
          <w:p>
            <w:pPr>
              <w:pStyle w:val="72"/>
              <w:rPr>
                <w:rFonts w:asciiTheme="minorHAnsi" w:hAnsiTheme="minorHAnsi" w:eastAsiaTheme="minorEastAsia"/>
              </w:rPr>
            </w:pPr>
            <w:r>
              <w:rPr>
                <w:rFonts w:hint="eastAsia" w:asciiTheme="minorHAnsi" w:hAnsiTheme="minorHAnsi" w:eastAsiaTheme="minorEastAsia"/>
              </w:rPr>
              <w:t>友谊巷</w:t>
            </w:r>
          </w:p>
          <w:p>
            <w:pPr>
              <w:pStyle w:val="72"/>
              <w:rPr>
                <w:rFonts w:asciiTheme="minorHAnsi" w:hAnsiTheme="minorHAnsi" w:eastAsiaTheme="minorEastAsia"/>
              </w:rPr>
            </w:pPr>
          </w:p>
        </w:tc>
        <w:tc>
          <w:tcPr>
            <w:tcW w:w="2305" w:type="dxa"/>
            <w:vAlign w:val="center"/>
          </w:tcPr>
          <w:p>
            <w:pPr>
              <w:pStyle w:val="72"/>
              <w:rPr>
                <w:rFonts w:asciiTheme="minorHAnsi" w:hAnsiTheme="minorHAnsi" w:eastAsiaTheme="minorEastAsia"/>
              </w:rPr>
            </w:pPr>
            <w:r>
              <w:rPr>
                <w:rFonts w:asciiTheme="minorHAnsi" w:hAnsiTheme="minorHAnsi" w:eastAsiaTheme="minorEastAsia"/>
              </w:rPr>
              <w:t>DN300</w:t>
            </w:r>
          </w:p>
        </w:tc>
        <w:tc>
          <w:tcPr>
            <w:tcW w:w="1152" w:type="dxa"/>
            <w:vAlign w:val="center"/>
          </w:tcPr>
          <w:p>
            <w:pPr>
              <w:pStyle w:val="72"/>
              <w:rPr>
                <w:rFonts w:asciiTheme="minorHAnsi" w:hAnsiTheme="minorHAnsi" w:eastAsiaTheme="minorEastAsia"/>
              </w:rPr>
            </w:pPr>
            <w:r>
              <w:rPr>
                <w:rFonts w:asciiTheme="minorHAnsi" w:hAnsiTheme="minorHAnsi" w:eastAsiaTheme="minorEastAsia"/>
              </w:rPr>
              <w:t>球墨铸铁</w:t>
            </w:r>
          </w:p>
        </w:tc>
        <w:tc>
          <w:tcPr>
            <w:tcW w:w="1039" w:type="dxa"/>
            <w:vAlign w:val="center"/>
          </w:tcPr>
          <w:p>
            <w:pPr>
              <w:pStyle w:val="72"/>
              <w:rPr>
                <w:rFonts w:asciiTheme="minorHAnsi" w:hAnsiTheme="minorHAnsi" w:eastAsiaTheme="minorEastAsia"/>
              </w:rPr>
            </w:pPr>
            <w:r>
              <w:rPr>
                <w:rFonts w:asciiTheme="minorHAnsi" w:hAnsiTheme="minorHAnsi" w:eastAsiaTheme="minorEastAsia"/>
              </w:rPr>
              <w:t>米</w:t>
            </w:r>
          </w:p>
        </w:tc>
        <w:tc>
          <w:tcPr>
            <w:tcW w:w="1104" w:type="dxa"/>
            <w:vAlign w:val="center"/>
          </w:tcPr>
          <w:p>
            <w:pPr>
              <w:pStyle w:val="72"/>
              <w:rPr>
                <w:rFonts w:asciiTheme="minorHAnsi" w:hAnsiTheme="minorHAnsi" w:eastAsiaTheme="minorEastAsia"/>
              </w:rPr>
            </w:pPr>
            <w:r>
              <w:rPr>
                <w:rFonts w:hint="eastAsia" w:asciiTheme="minorHAnsi" w:hAnsiTheme="minorHAnsi" w:eastAsiaTheme="minorEastAsia"/>
              </w:rPr>
              <w:t>500</w:t>
            </w:r>
          </w:p>
        </w:tc>
        <w:tc>
          <w:tcPr>
            <w:tcW w:w="2004" w:type="dxa"/>
            <w:vAlign w:val="center"/>
          </w:tcPr>
          <w:p>
            <w:pPr>
              <w:pStyle w:val="72"/>
              <w:rPr>
                <w:rFonts w:asciiTheme="minorHAnsi" w:hAnsiTheme="minorHAnsi" w:eastAsiaTheme="minorEastAsia"/>
              </w:rPr>
            </w:pPr>
            <w:r>
              <w:rPr>
                <w:rFonts w:hint="eastAsia" w:asciiTheme="minorHAnsi" w:hAnsiTheme="minorHAnsi" w:eastAsiaTheme="minorEastAsia"/>
              </w:rPr>
              <w:t>75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298" w:hRule="exact"/>
        </w:trPr>
        <w:tc>
          <w:tcPr>
            <w:tcW w:w="2306" w:type="dxa"/>
            <w:vAlign w:val="center"/>
          </w:tcPr>
          <w:p>
            <w:pPr>
              <w:pStyle w:val="72"/>
              <w:rPr>
                <w:rFonts w:asciiTheme="minorHAnsi" w:hAnsiTheme="minorHAnsi" w:eastAsiaTheme="minorEastAsia"/>
              </w:rPr>
            </w:pPr>
            <w:r>
              <w:rPr>
                <w:rFonts w:hint="eastAsia" w:asciiTheme="minorHAnsi" w:hAnsiTheme="minorHAnsi" w:eastAsiaTheme="minorEastAsia"/>
              </w:rPr>
              <w:t>花园路</w:t>
            </w:r>
          </w:p>
          <w:p>
            <w:pPr>
              <w:pStyle w:val="72"/>
              <w:rPr>
                <w:rFonts w:asciiTheme="minorHAnsi" w:hAnsiTheme="minorHAnsi" w:eastAsiaTheme="minorEastAsia"/>
              </w:rPr>
            </w:pPr>
          </w:p>
        </w:tc>
        <w:tc>
          <w:tcPr>
            <w:tcW w:w="2305" w:type="dxa"/>
            <w:vAlign w:val="center"/>
          </w:tcPr>
          <w:p>
            <w:pPr>
              <w:pStyle w:val="72"/>
              <w:rPr>
                <w:rFonts w:asciiTheme="minorHAnsi" w:hAnsiTheme="minorHAnsi" w:eastAsiaTheme="minorEastAsia"/>
              </w:rPr>
            </w:pPr>
            <w:r>
              <w:rPr>
                <w:rFonts w:asciiTheme="minorHAnsi" w:hAnsiTheme="minorHAnsi" w:eastAsiaTheme="minorEastAsia"/>
              </w:rPr>
              <w:t>DN100</w:t>
            </w:r>
          </w:p>
        </w:tc>
        <w:tc>
          <w:tcPr>
            <w:tcW w:w="1152" w:type="dxa"/>
            <w:vAlign w:val="center"/>
          </w:tcPr>
          <w:p>
            <w:pPr>
              <w:pStyle w:val="72"/>
              <w:rPr>
                <w:rFonts w:asciiTheme="minorHAnsi" w:hAnsiTheme="minorHAnsi" w:eastAsiaTheme="minorEastAsia"/>
              </w:rPr>
            </w:pPr>
            <w:r>
              <w:rPr>
                <w:rFonts w:asciiTheme="minorHAnsi" w:hAnsiTheme="minorHAnsi" w:eastAsiaTheme="minorEastAsia"/>
              </w:rPr>
              <w:t>球墨铸铁</w:t>
            </w:r>
          </w:p>
        </w:tc>
        <w:tc>
          <w:tcPr>
            <w:tcW w:w="1039" w:type="dxa"/>
            <w:vAlign w:val="center"/>
          </w:tcPr>
          <w:p>
            <w:pPr>
              <w:pStyle w:val="72"/>
              <w:rPr>
                <w:rFonts w:asciiTheme="minorHAnsi" w:hAnsiTheme="minorHAnsi" w:eastAsiaTheme="minorEastAsia"/>
              </w:rPr>
            </w:pPr>
            <w:r>
              <w:rPr>
                <w:rFonts w:asciiTheme="minorHAnsi" w:hAnsiTheme="minorHAnsi" w:eastAsiaTheme="minorEastAsia"/>
              </w:rPr>
              <w:t>米</w:t>
            </w:r>
          </w:p>
        </w:tc>
        <w:tc>
          <w:tcPr>
            <w:tcW w:w="1104" w:type="dxa"/>
            <w:vAlign w:val="center"/>
          </w:tcPr>
          <w:p>
            <w:pPr>
              <w:pStyle w:val="72"/>
              <w:rPr>
                <w:rFonts w:asciiTheme="minorHAnsi" w:hAnsiTheme="minorHAnsi" w:eastAsiaTheme="minorEastAsia"/>
              </w:rPr>
            </w:pPr>
            <w:r>
              <w:rPr>
                <w:rFonts w:hint="eastAsia" w:asciiTheme="minorHAnsi" w:hAnsiTheme="minorHAnsi" w:eastAsiaTheme="minorEastAsia"/>
              </w:rPr>
              <w:t>300</w:t>
            </w:r>
          </w:p>
        </w:tc>
        <w:tc>
          <w:tcPr>
            <w:tcW w:w="2004" w:type="dxa"/>
            <w:vAlign w:val="center"/>
          </w:tcPr>
          <w:p>
            <w:pPr>
              <w:pStyle w:val="72"/>
              <w:rPr>
                <w:rFonts w:asciiTheme="minorHAnsi" w:hAnsiTheme="minorHAnsi" w:eastAsiaTheme="minorEastAsia"/>
              </w:rPr>
            </w:pPr>
            <w:r>
              <w:rPr>
                <w:rFonts w:hint="eastAsia" w:asciiTheme="minorHAnsi" w:hAnsiTheme="minorHAnsi" w:eastAsiaTheme="minorEastAsia"/>
              </w:rPr>
              <w:t>24</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298" w:hRule="exact"/>
        </w:trPr>
        <w:tc>
          <w:tcPr>
            <w:tcW w:w="2306" w:type="dxa"/>
            <w:vAlign w:val="center"/>
          </w:tcPr>
          <w:p>
            <w:pPr>
              <w:pStyle w:val="72"/>
              <w:rPr>
                <w:rFonts w:asciiTheme="minorHAnsi" w:hAnsiTheme="minorHAnsi" w:eastAsiaTheme="minorEastAsia"/>
              </w:rPr>
            </w:pPr>
            <w:r>
              <w:rPr>
                <w:rFonts w:hint="eastAsia" w:asciiTheme="minorHAnsi" w:hAnsiTheme="minorHAnsi" w:eastAsiaTheme="minorEastAsia"/>
              </w:rPr>
              <w:t>其它</w:t>
            </w:r>
          </w:p>
        </w:tc>
        <w:tc>
          <w:tcPr>
            <w:tcW w:w="2305" w:type="dxa"/>
            <w:vAlign w:val="center"/>
          </w:tcPr>
          <w:p>
            <w:pPr>
              <w:pStyle w:val="72"/>
              <w:rPr>
                <w:rFonts w:asciiTheme="minorHAnsi" w:hAnsiTheme="minorHAnsi" w:eastAsiaTheme="minorEastAsia"/>
              </w:rPr>
            </w:pPr>
          </w:p>
        </w:tc>
        <w:tc>
          <w:tcPr>
            <w:tcW w:w="1152" w:type="dxa"/>
            <w:vAlign w:val="center"/>
          </w:tcPr>
          <w:p>
            <w:pPr>
              <w:pStyle w:val="72"/>
              <w:rPr>
                <w:rFonts w:asciiTheme="minorHAnsi" w:hAnsiTheme="minorHAnsi" w:eastAsiaTheme="minorEastAsia"/>
              </w:rPr>
            </w:pPr>
            <w:r>
              <w:rPr>
                <w:rFonts w:asciiTheme="minorHAnsi" w:hAnsiTheme="minorHAnsi" w:eastAsiaTheme="minorEastAsia"/>
              </w:rPr>
              <w:t>球墨铸铁</w:t>
            </w:r>
          </w:p>
        </w:tc>
        <w:tc>
          <w:tcPr>
            <w:tcW w:w="1039" w:type="dxa"/>
            <w:vAlign w:val="center"/>
          </w:tcPr>
          <w:p>
            <w:pPr>
              <w:pStyle w:val="72"/>
              <w:rPr>
                <w:rFonts w:asciiTheme="minorHAnsi" w:hAnsiTheme="minorHAnsi" w:eastAsiaTheme="minorEastAsia"/>
              </w:rPr>
            </w:pPr>
            <w:r>
              <w:rPr>
                <w:rFonts w:asciiTheme="minorHAnsi" w:hAnsiTheme="minorHAnsi" w:eastAsiaTheme="minorEastAsia"/>
              </w:rPr>
              <w:t>米</w:t>
            </w:r>
          </w:p>
        </w:tc>
        <w:tc>
          <w:tcPr>
            <w:tcW w:w="1104" w:type="dxa"/>
            <w:vAlign w:val="center"/>
          </w:tcPr>
          <w:p>
            <w:pPr>
              <w:pStyle w:val="72"/>
              <w:rPr>
                <w:rFonts w:asciiTheme="minorHAnsi" w:hAnsiTheme="minorHAnsi" w:eastAsiaTheme="minorEastAsia"/>
              </w:rPr>
            </w:pPr>
            <w:r>
              <w:rPr>
                <w:rFonts w:hint="eastAsia" w:asciiTheme="minorHAnsi" w:hAnsiTheme="minorHAnsi" w:eastAsiaTheme="minorEastAsia"/>
              </w:rPr>
              <w:t>8500</w:t>
            </w:r>
          </w:p>
        </w:tc>
        <w:tc>
          <w:tcPr>
            <w:tcW w:w="2004" w:type="dxa"/>
            <w:vAlign w:val="center"/>
          </w:tcPr>
          <w:p>
            <w:pPr>
              <w:pStyle w:val="72"/>
              <w:rPr>
                <w:rFonts w:asciiTheme="minorHAnsi" w:hAnsiTheme="minorHAnsi" w:eastAsiaTheme="minorEastAsia"/>
              </w:rPr>
            </w:pPr>
            <w:r>
              <w:rPr>
                <w:rFonts w:hint="eastAsia" w:asciiTheme="minorHAnsi" w:hAnsiTheme="minorHAnsi" w:eastAsiaTheme="minorEastAsia"/>
              </w:rPr>
              <w:t>1700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05" w:hRule="exact"/>
        </w:trPr>
        <w:tc>
          <w:tcPr>
            <w:tcW w:w="2306" w:type="dxa"/>
            <w:vAlign w:val="center"/>
          </w:tcPr>
          <w:p>
            <w:pPr>
              <w:pStyle w:val="72"/>
              <w:rPr>
                <w:rFonts w:asciiTheme="minorHAnsi" w:hAnsiTheme="minorHAnsi" w:eastAsiaTheme="minorEastAsia"/>
              </w:rPr>
            </w:pPr>
          </w:p>
        </w:tc>
        <w:tc>
          <w:tcPr>
            <w:tcW w:w="2305" w:type="dxa"/>
            <w:vAlign w:val="center"/>
          </w:tcPr>
          <w:p>
            <w:pPr>
              <w:pStyle w:val="72"/>
              <w:rPr>
                <w:rFonts w:asciiTheme="minorHAnsi" w:hAnsiTheme="minorHAnsi" w:eastAsiaTheme="minorEastAsia"/>
              </w:rPr>
            </w:pPr>
            <w:r>
              <w:rPr>
                <w:rFonts w:asciiTheme="minorHAnsi" w:hAnsiTheme="minorHAnsi" w:eastAsiaTheme="minorEastAsia"/>
              </w:rPr>
              <w:t>合计：</w:t>
            </w:r>
          </w:p>
        </w:tc>
        <w:tc>
          <w:tcPr>
            <w:tcW w:w="1152" w:type="dxa"/>
            <w:vAlign w:val="center"/>
          </w:tcPr>
          <w:p>
            <w:pPr>
              <w:pStyle w:val="72"/>
              <w:rPr>
                <w:rFonts w:asciiTheme="minorHAnsi" w:hAnsiTheme="minorHAnsi" w:eastAsiaTheme="minorEastAsia"/>
              </w:rPr>
            </w:pPr>
          </w:p>
        </w:tc>
        <w:tc>
          <w:tcPr>
            <w:tcW w:w="1039" w:type="dxa"/>
            <w:vAlign w:val="center"/>
          </w:tcPr>
          <w:p>
            <w:pPr>
              <w:pStyle w:val="72"/>
              <w:rPr>
                <w:rFonts w:asciiTheme="minorHAnsi" w:hAnsiTheme="minorHAnsi" w:eastAsiaTheme="minorEastAsia"/>
              </w:rPr>
            </w:pPr>
            <w:r>
              <w:rPr>
                <w:rFonts w:asciiTheme="minorHAnsi" w:hAnsiTheme="minorHAnsi" w:eastAsiaTheme="minorEastAsia"/>
              </w:rPr>
              <w:t>米</w:t>
            </w:r>
          </w:p>
        </w:tc>
        <w:tc>
          <w:tcPr>
            <w:tcW w:w="1104" w:type="dxa"/>
            <w:vAlign w:val="center"/>
          </w:tcPr>
          <w:p>
            <w:pPr>
              <w:pStyle w:val="72"/>
              <w:rPr>
                <w:rFonts w:asciiTheme="minorHAnsi" w:hAnsiTheme="minorHAnsi" w:eastAsiaTheme="minorEastAsia"/>
              </w:rPr>
            </w:pPr>
            <w:r>
              <w:rPr>
                <w:rFonts w:hint="eastAsia" w:asciiTheme="minorHAnsi" w:hAnsiTheme="minorHAnsi" w:eastAsiaTheme="minorEastAsia"/>
              </w:rPr>
              <w:t>11772</w:t>
            </w:r>
          </w:p>
        </w:tc>
        <w:tc>
          <w:tcPr>
            <w:tcW w:w="2004" w:type="dxa"/>
            <w:vAlign w:val="center"/>
          </w:tcPr>
          <w:p>
            <w:pPr>
              <w:pStyle w:val="72"/>
              <w:rPr>
                <w:rFonts w:asciiTheme="minorHAnsi" w:hAnsiTheme="minorHAnsi" w:eastAsiaTheme="minorEastAsia"/>
              </w:rPr>
            </w:pPr>
            <w:r>
              <w:rPr>
                <w:rFonts w:hint="eastAsia" w:asciiTheme="minorHAnsi" w:hAnsiTheme="minorHAnsi" w:eastAsiaTheme="minorEastAsia"/>
              </w:rPr>
              <w:t>2159.8</w:t>
            </w:r>
          </w:p>
        </w:tc>
      </w:tr>
    </w:tbl>
    <w:p>
      <w:pPr>
        <w:pStyle w:val="16"/>
        <w:tabs>
          <w:tab w:val="left" w:pos="3980"/>
        </w:tabs>
        <w:spacing w:before="107" w:line="338" w:lineRule="auto"/>
        <w:ind w:right="3" w:firstLine="3091" w:firstLineChars="1283"/>
        <w:jc w:val="both"/>
        <w:rPr>
          <w:rFonts w:cs="Times New Roman"/>
          <w:b/>
          <w:sz w:val="24"/>
        </w:rPr>
      </w:pPr>
      <w:r>
        <w:rPr>
          <w:rFonts w:hint="eastAsia" w:cs="Times New Roman"/>
          <w:b/>
          <w:sz w:val="24"/>
        </w:rPr>
        <w:t>表8-7  近期老旧小区改造名单</w:t>
      </w:r>
    </w:p>
    <w:tbl>
      <w:tblPr>
        <w:tblStyle w:val="39"/>
        <w:tblW w:w="10326" w:type="dxa"/>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101"/>
        <w:gridCol w:w="4535"/>
        <w:gridCol w:w="1702"/>
        <w:gridCol w:w="2988"/>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序号</w:t>
            </w:r>
          </w:p>
        </w:tc>
        <w:tc>
          <w:tcPr>
            <w:tcW w:w="4535" w:type="dxa"/>
            <w:vAlign w:val="center"/>
          </w:tcPr>
          <w:p>
            <w:pPr>
              <w:pStyle w:val="72"/>
            </w:pPr>
            <w:r>
              <w:rPr>
                <w:rFonts w:hint="eastAsia"/>
              </w:rPr>
              <w:t>小区名称</w:t>
            </w:r>
          </w:p>
        </w:tc>
        <w:tc>
          <w:tcPr>
            <w:tcW w:w="1702" w:type="dxa"/>
            <w:vAlign w:val="center"/>
          </w:tcPr>
          <w:p>
            <w:pPr>
              <w:pStyle w:val="72"/>
            </w:pPr>
            <w:r>
              <w:rPr>
                <w:rFonts w:hint="eastAsia"/>
              </w:rPr>
              <w:t>涉及户数</w:t>
            </w:r>
          </w:p>
        </w:tc>
        <w:tc>
          <w:tcPr>
            <w:tcW w:w="2988" w:type="dxa"/>
            <w:vAlign w:val="center"/>
          </w:tcPr>
          <w:p>
            <w:pPr>
              <w:pStyle w:val="72"/>
            </w:pPr>
            <w:r>
              <w:rPr>
                <w:rFonts w:hint="eastAsia"/>
              </w:rPr>
              <w:t>投资估算（万元）</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1</w:t>
            </w:r>
          </w:p>
        </w:tc>
        <w:tc>
          <w:tcPr>
            <w:tcW w:w="4535" w:type="dxa"/>
            <w:vAlign w:val="center"/>
          </w:tcPr>
          <w:p>
            <w:pPr>
              <w:pStyle w:val="72"/>
            </w:pPr>
            <w:r>
              <w:rPr>
                <w:rFonts w:hint="eastAsia"/>
              </w:rPr>
              <w:t>友谊巷一工区</w:t>
            </w:r>
          </w:p>
        </w:tc>
        <w:tc>
          <w:tcPr>
            <w:tcW w:w="1702" w:type="dxa"/>
            <w:vAlign w:val="center"/>
          </w:tcPr>
          <w:p>
            <w:pPr>
              <w:pStyle w:val="72"/>
            </w:pPr>
            <w:r>
              <w:rPr>
                <w:rFonts w:hint="eastAsia"/>
              </w:rPr>
              <w:t>576</w:t>
            </w:r>
          </w:p>
        </w:tc>
        <w:tc>
          <w:tcPr>
            <w:tcW w:w="2988" w:type="dxa"/>
            <w:vAlign w:val="center"/>
          </w:tcPr>
          <w:p>
            <w:pPr>
              <w:pStyle w:val="72"/>
            </w:pPr>
            <w:r>
              <w:rPr>
                <w:rFonts w:hint="eastAsia"/>
              </w:rPr>
              <w:t>115.2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2</w:t>
            </w:r>
          </w:p>
        </w:tc>
        <w:tc>
          <w:tcPr>
            <w:tcW w:w="4535" w:type="dxa"/>
            <w:vAlign w:val="center"/>
          </w:tcPr>
          <w:p>
            <w:pPr>
              <w:pStyle w:val="72"/>
            </w:pPr>
            <w:r>
              <w:rPr>
                <w:rFonts w:hint="eastAsia"/>
              </w:rPr>
              <w:t>矿务局干休所</w:t>
            </w:r>
          </w:p>
        </w:tc>
        <w:tc>
          <w:tcPr>
            <w:tcW w:w="1702" w:type="dxa"/>
            <w:vAlign w:val="center"/>
          </w:tcPr>
          <w:p>
            <w:pPr>
              <w:pStyle w:val="72"/>
            </w:pPr>
            <w:r>
              <w:rPr>
                <w:rFonts w:hint="eastAsia"/>
              </w:rPr>
              <w:t>312</w:t>
            </w:r>
          </w:p>
        </w:tc>
        <w:tc>
          <w:tcPr>
            <w:tcW w:w="2988" w:type="dxa"/>
            <w:vAlign w:val="center"/>
          </w:tcPr>
          <w:p>
            <w:pPr>
              <w:pStyle w:val="72"/>
            </w:pPr>
            <w:r>
              <w:rPr>
                <w:rFonts w:hint="eastAsia"/>
              </w:rPr>
              <w:t>62.4</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3</w:t>
            </w:r>
          </w:p>
        </w:tc>
        <w:tc>
          <w:tcPr>
            <w:tcW w:w="4535" w:type="dxa"/>
            <w:vAlign w:val="center"/>
          </w:tcPr>
          <w:p>
            <w:pPr>
              <w:pStyle w:val="72"/>
            </w:pPr>
            <w:r>
              <w:rPr>
                <w:rFonts w:hint="eastAsia"/>
              </w:rPr>
              <w:t>煤建小区</w:t>
            </w:r>
          </w:p>
        </w:tc>
        <w:tc>
          <w:tcPr>
            <w:tcW w:w="1702" w:type="dxa"/>
            <w:vAlign w:val="center"/>
          </w:tcPr>
          <w:p>
            <w:pPr>
              <w:pStyle w:val="72"/>
            </w:pPr>
            <w:r>
              <w:rPr>
                <w:rFonts w:hint="eastAsia"/>
              </w:rPr>
              <w:t>220</w:t>
            </w:r>
          </w:p>
        </w:tc>
        <w:tc>
          <w:tcPr>
            <w:tcW w:w="2988" w:type="dxa"/>
            <w:vAlign w:val="center"/>
          </w:tcPr>
          <w:p>
            <w:pPr>
              <w:pStyle w:val="72"/>
            </w:pPr>
            <w:r>
              <w:rPr>
                <w:rFonts w:hint="eastAsia"/>
              </w:rPr>
              <w:t>44</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4</w:t>
            </w:r>
          </w:p>
        </w:tc>
        <w:tc>
          <w:tcPr>
            <w:tcW w:w="4535" w:type="dxa"/>
            <w:vAlign w:val="center"/>
          </w:tcPr>
          <w:p>
            <w:pPr>
              <w:pStyle w:val="72"/>
            </w:pPr>
            <w:r>
              <w:rPr>
                <w:rFonts w:hint="eastAsia"/>
              </w:rPr>
              <w:t>新华巷</w:t>
            </w:r>
          </w:p>
        </w:tc>
        <w:tc>
          <w:tcPr>
            <w:tcW w:w="1702" w:type="dxa"/>
            <w:vAlign w:val="center"/>
          </w:tcPr>
          <w:p>
            <w:pPr>
              <w:pStyle w:val="72"/>
            </w:pPr>
            <w:r>
              <w:rPr>
                <w:rFonts w:hint="eastAsia"/>
              </w:rPr>
              <w:t>390</w:t>
            </w:r>
          </w:p>
        </w:tc>
        <w:tc>
          <w:tcPr>
            <w:tcW w:w="2988" w:type="dxa"/>
            <w:vAlign w:val="center"/>
          </w:tcPr>
          <w:p>
            <w:pPr>
              <w:pStyle w:val="72"/>
            </w:pPr>
            <w:r>
              <w:rPr>
                <w:rFonts w:hint="eastAsia"/>
              </w:rPr>
              <w:t>78</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5</w:t>
            </w:r>
          </w:p>
        </w:tc>
        <w:tc>
          <w:tcPr>
            <w:tcW w:w="4535" w:type="dxa"/>
            <w:vAlign w:val="center"/>
          </w:tcPr>
          <w:p>
            <w:pPr>
              <w:pStyle w:val="72"/>
            </w:pPr>
            <w:r>
              <w:rPr>
                <w:rFonts w:hint="eastAsia"/>
              </w:rPr>
              <w:t>黎苑一期</w:t>
            </w:r>
          </w:p>
        </w:tc>
        <w:tc>
          <w:tcPr>
            <w:tcW w:w="1702" w:type="dxa"/>
            <w:vAlign w:val="center"/>
          </w:tcPr>
          <w:p>
            <w:pPr>
              <w:pStyle w:val="72"/>
            </w:pPr>
            <w:r>
              <w:rPr>
                <w:rFonts w:hint="eastAsia"/>
              </w:rPr>
              <w:t>1440</w:t>
            </w:r>
          </w:p>
        </w:tc>
        <w:tc>
          <w:tcPr>
            <w:tcW w:w="2988" w:type="dxa"/>
            <w:vAlign w:val="center"/>
          </w:tcPr>
          <w:p>
            <w:pPr>
              <w:pStyle w:val="72"/>
            </w:pPr>
            <w:r>
              <w:rPr>
                <w:rFonts w:hint="eastAsia"/>
              </w:rPr>
              <w:t>288</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6</w:t>
            </w:r>
          </w:p>
        </w:tc>
        <w:tc>
          <w:tcPr>
            <w:tcW w:w="4535" w:type="dxa"/>
            <w:vAlign w:val="center"/>
          </w:tcPr>
          <w:p>
            <w:pPr>
              <w:pStyle w:val="72"/>
            </w:pPr>
            <w:r>
              <w:rPr>
                <w:rFonts w:hint="eastAsia"/>
              </w:rPr>
              <w:t>六号工地</w:t>
            </w:r>
          </w:p>
        </w:tc>
        <w:tc>
          <w:tcPr>
            <w:tcW w:w="1702" w:type="dxa"/>
            <w:vAlign w:val="center"/>
          </w:tcPr>
          <w:p>
            <w:pPr>
              <w:pStyle w:val="72"/>
            </w:pPr>
            <w:r>
              <w:rPr>
                <w:rFonts w:hint="eastAsia"/>
              </w:rPr>
              <w:t>512</w:t>
            </w:r>
          </w:p>
        </w:tc>
        <w:tc>
          <w:tcPr>
            <w:tcW w:w="2988" w:type="dxa"/>
            <w:vAlign w:val="center"/>
          </w:tcPr>
          <w:p>
            <w:pPr>
              <w:pStyle w:val="72"/>
            </w:pPr>
            <w:r>
              <w:rPr>
                <w:rFonts w:hint="eastAsia"/>
              </w:rPr>
              <w:t>102.4</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7</w:t>
            </w:r>
          </w:p>
        </w:tc>
        <w:tc>
          <w:tcPr>
            <w:tcW w:w="4535" w:type="dxa"/>
            <w:vAlign w:val="center"/>
          </w:tcPr>
          <w:p>
            <w:pPr>
              <w:pStyle w:val="72"/>
            </w:pPr>
            <w:r>
              <w:rPr>
                <w:rFonts w:hint="eastAsia"/>
              </w:rPr>
              <w:t>大华步行街南区</w:t>
            </w:r>
          </w:p>
        </w:tc>
        <w:tc>
          <w:tcPr>
            <w:tcW w:w="1702" w:type="dxa"/>
            <w:vAlign w:val="center"/>
          </w:tcPr>
          <w:p>
            <w:pPr>
              <w:pStyle w:val="72"/>
            </w:pPr>
            <w:r>
              <w:rPr>
                <w:rFonts w:hint="eastAsia"/>
              </w:rPr>
              <w:t>650</w:t>
            </w:r>
          </w:p>
        </w:tc>
        <w:tc>
          <w:tcPr>
            <w:tcW w:w="2988" w:type="dxa"/>
            <w:vAlign w:val="center"/>
          </w:tcPr>
          <w:p>
            <w:pPr>
              <w:pStyle w:val="72"/>
            </w:pPr>
            <w:r>
              <w:rPr>
                <w:rFonts w:hint="eastAsia"/>
              </w:rPr>
              <w:t>130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8</w:t>
            </w:r>
          </w:p>
        </w:tc>
        <w:tc>
          <w:tcPr>
            <w:tcW w:w="4535" w:type="dxa"/>
            <w:vAlign w:val="center"/>
          </w:tcPr>
          <w:p>
            <w:pPr>
              <w:pStyle w:val="72"/>
            </w:pPr>
            <w:r>
              <w:rPr>
                <w:rFonts w:hint="eastAsia"/>
              </w:rPr>
              <w:t>梅苑小区</w:t>
            </w:r>
          </w:p>
        </w:tc>
        <w:tc>
          <w:tcPr>
            <w:tcW w:w="1702" w:type="dxa"/>
            <w:vAlign w:val="center"/>
          </w:tcPr>
          <w:p>
            <w:pPr>
              <w:pStyle w:val="72"/>
            </w:pPr>
            <w:r>
              <w:rPr>
                <w:rFonts w:hint="eastAsia"/>
              </w:rPr>
              <w:t>700</w:t>
            </w:r>
          </w:p>
        </w:tc>
        <w:tc>
          <w:tcPr>
            <w:tcW w:w="2988" w:type="dxa"/>
            <w:vAlign w:val="center"/>
          </w:tcPr>
          <w:p>
            <w:pPr>
              <w:pStyle w:val="72"/>
            </w:pPr>
            <w:r>
              <w:rPr>
                <w:rFonts w:hint="eastAsia"/>
              </w:rPr>
              <w:t>140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9</w:t>
            </w:r>
          </w:p>
        </w:tc>
        <w:tc>
          <w:tcPr>
            <w:tcW w:w="4535" w:type="dxa"/>
            <w:vAlign w:val="center"/>
          </w:tcPr>
          <w:p>
            <w:pPr>
              <w:pStyle w:val="72"/>
            </w:pPr>
            <w:r>
              <w:rPr>
                <w:rFonts w:hint="eastAsia"/>
              </w:rPr>
              <w:t>玫瑰园</w:t>
            </w:r>
          </w:p>
        </w:tc>
        <w:tc>
          <w:tcPr>
            <w:tcW w:w="1702" w:type="dxa"/>
            <w:vAlign w:val="center"/>
          </w:tcPr>
          <w:p>
            <w:pPr>
              <w:pStyle w:val="72"/>
            </w:pPr>
            <w:r>
              <w:rPr>
                <w:rFonts w:hint="eastAsia"/>
              </w:rPr>
              <w:t>868</w:t>
            </w:r>
          </w:p>
        </w:tc>
        <w:tc>
          <w:tcPr>
            <w:tcW w:w="2988" w:type="dxa"/>
            <w:vAlign w:val="center"/>
          </w:tcPr>
          <w:p>
            <w:pPr>
              <w:pStyle w:val="72"/>
            </w:pPr>
            <w:r>
              <w:rPr>
                <w:rFonts w:hint="eastAsia"/>
              </w:rPr>
              <w:t>173.6</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10</w:t>
            </w:r>
          </w:p>
        </w:tc>
        <w:tc>
          <w:tcPr>
            <w:tcW w:w="4535" w:type="dxa"/>
            <w:vAlign w:val="center"/>
          </w:tcPr>
          <w:p>
            <w:pPr>
              <w:pStyle w:val="72"/>
            </w:pPr>
            <w:r>
              <w:rPr>
                <w:rFonts w:hint="eastAsia"/>
              </w:rPr>
              <w:t>春秋巷小区</w:t>
            </w:r>
          </w:p>
        </w:tc>
        <w:tc>
          <w:tcPr>
            <w:tcW w:w="1702" w:type="dxa"/>
            <w:vAlign w:val="center"/>
          </w:tcPr>
          <w:p>
            <w:pPr>
              <w:pStyle w:val="72"/>
            </w:pPr>
            <w:r>
              <w:rPr>
                <w:rFonts w:hint="eastAsia"/>
              </w:rPr>
              <w:t>700</w:t>
            </w:r>
          </w:p>
        </w:tc>
        <w:tc>
          <w:tcPr>
            <w:tcW w:w="2988" w:type="dxa"/>
            <w:vAlign w:val="center"/>
          </w:tcPr>
          <w:p>
            <w:pPr>
              <w:pStyle w:val="72"/>
            </w:pPr>
            <w:r>
              <w:rPr>
                <w:rFonts w:hint="eastAsia"/>
              </w:rPr>
              <w:t>140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11</w:t>
            </w:r>
          </w:p>
        </w:tc>
        <w:tc>
          <w:tcPr>
            <w:tcW w:w="4535" w:type="dxa"/>
            <w:vAlign w:val="center"/>
          </w:tcPr>
          <w:p>
            <w:pPr>
              <w:pStyle w:val="72"/>
            </w:pPr>
            <w:r>
              <w:rPr>
                <w:rFonts w:hint="eastAsia"/>
              </w:rPr>
              <w:t>西苑社区</w:t>
            </w:r>
          </w:p>
        </w:tc>
        <w:tc>
          <w:tcPr>
            <w:tcW w:w="1702" w:type="dxa"/>
            <w:vAlign w:val="center"/>
          </w:tcPr>
          <w:p>
            <w:pPr>
              <w:pStyle w:val="72"/>
            </w:pPr>
            <w:r>
              <w:rPr>
                <w:rFonts w:hint="eastAsia"/>
              </w:rPr>
              <w:t>400</w:t>
            </w:r>
          </w:p>
        </w:tc>
        <w:tc>
          <w:tcPr>
            <w:tcW w:w="2988" w:type="dxa"/>
            <w:vAlign w:val="center"/>
          </w:tcPr>
          <w:p>
            <w:pPr>
              <w:pStyle w:val="72"/>
            </w:pPr>
            <w:r>
              <w:rPr>
                <w:rFonts w:hint="eastAsia"/>
              </w:rPr>
              <w:t>80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12</w:t>
            </w:r>
          </w:p>
        </w:tc>
        <w:tc>
          <w:tcPr>
            <w:tcW w:w="4535" w:type="dxa"/>
            <w:vAlign w:val="center"/>
          </w:tcPr>
          <w:p>
            <w:pPr>
              <w:pStyle w:val="72"/>
            </w:pPr>
            <w:r>
              <w:rPr>
                <w:rFonts w:hint="eastAsia"/>
              </w:rPr>
              <w:t>中城小区</w:t>
            </w:r>
          </w:p>
        </w:tc>
        <w:tc>
          <w:tcPr>
            <w:tcW w:w="1702" w:type="dxa"/>
            <w:vAlign w:val="center"/>
          </w:tcPr>
          <w:p>
            <w:pPr>
              <w:pStyle w:val="72"/>
            </w:pPr>
            <w:r>
              <w:rPr>
                <w:rFonts w:hint="eastAsia"/>
              </w:rPr>
              <w:t>780</w:t>
            </w:r>
          </w:p>
        </w:tc>
        <w:tc>
          <w:tcPr>
            <w:tcW w:w="2988" w:type="dxa"/>
            <w:vAlign w:val="center"/>
          </w:tcPr>
          <w:p>
            <w:pPr>
              <w:pStyle w:val="72"/>
            </w:pPr>
            <w:r>
              <w:rPr>
                <w:rFonts w:hint="eastAsia"/>
              </w:rPr>
              <w:t>156</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13</w:t>
            </w:r>
          </w:p>
        </w:tc>
        <w:tc>
          <w:tcPr>
            <w:tcW w:w="4535" w:type="dxa"/>
            <w:vAlign w:val="center"/>
          </w:tcPr>
          <w:p>
            <w:pPr>
              <w:pStyle w:val="72"/>
            </w:pPr>
            <w:r>
              <w:rPr>
                <w:rFonts w:hint="eastAsia"/>
              </w:rPr>
              <w:t>相山区政府对面平台</w:t>
            </w:r>
          </w:p>
        </w:tc>
        <w:tc>
          <w:tcPr>
            <w:tcW w:w="1702" w:type="dxa"/>
            <w:vAlign w:val="center"/>
          </w:tcPr>
          <w:p>
            <w:pPr>
              <w:pStyle w:val="72"/>
            </w:pPr>
            <w:r>
              <w:rPr>
                <w:rFonts w:hint="eastAsia"/>
              </w:rPr>
              <w:t>100</w:t>
            </w:r>
          </w:p>
        </w:tc>
        <w:tc>
          <w:tcPr>
            <w:tcW w:w="2988" w:type="dxa"/>
            <w:vAlign w:val="center"/>
          </w:tcPr>
          <w:p>
            <w:pPr>
              <w:pStyle w:val="72"/>
            </w:pPr>
            <w:r>
              <w:rPr>
                <w:rFonts w:hint="eastAsia"/>
              </w:rPr>
              <w:t>20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PrEx>
        <w:tc>
          <w:tcPr>
            <w:tcW w:w="1101" w:type="dxa"/>
            <w:vAlign w:val="center"/>
          </w:tcPr>
          <w:p>
            <w:pPr>
              <w:pStyle w:val="72"/>
            </w:pPr>
            <w:r>
              <w:rPr>
                <w:rFonts w:hint="eastAsia"/>
              </w:rPr>
              <w:t>14</w:t>
            </w:r>
          </w:p>
        </w:tc>
        <w:tc>
          <w:tcPr>
            <w:tcW w:w="4535" w:type="dxa"/>
            <w:vAlign w:val="center"/>
          </w:tcPr>
          <w:p>
            <w:pPr>
              <w:pStyle w:val="72"/>
            </w:pPr>
            <w:r>
              <w:rPr>
                <w:rFonts w:hint="eastAsia"/>
              </w:rPr>
              <w:t>相山路矿务局宿舍(少年宫对面)平台</w:t>
            </w:r>
          </w:p>
        </w:tc>
        <w:tc>
          <w:tcPr>
            <w:tcW w:w="1702" w:type="dxa"/>
            <w:vAlign w:val="center"/>
          </w:tcPr>
          <w:p>
            <w:pPr>
              <w:pStyle w:val="72"/>
            </w:pPr>
            <w:r>
              <w:rPr>
                <w:rFonts w:hint="eastAsia"/>
              </w:rPr>
              <w:t>144</w:t>
            </w:r>
          </w:p>
        </w:tc>
        <w:tc>
          <w:tcPr>
            <w:tcW w:w="2988" w:type="dxa"/>
            <w:vAlign w:val="center"/>
          </w:tcPr>
          <w:p>
            <w:pPr>
              <w:pStyle w:val="72"/>
            </w:pPr>
            <w:r>
              <w:rPr>
                <w:rFonts w:hint="eastAsia"/>
              </w:rPr>
              <w:t>28.8</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15</w:t>
            </w:r>
          </w:p>
        </w:tc>
        <w:tc>
          <w:tcPr>
            <w:tcW w:w="4535" w:type="dxa"/>
            <w:vAlign w:val="center"/>
          </w:tcPr>
          <w:p>
            <w:pPr>
              <w:pStyle w:val="72"/>
            </w:pPr>
            <w:r>
              <w:rPr>
                <w:rFonts w:hint="eastAsia"/>
              </w:rPr>
              <w:t>天香花园北区平台</w:t>
            </w:r>
          </w:p>
        </w:tc>
        <w:tc>
          <w:tcPr>
            <w:tcW w:w="1702" w:type="dxa"/>
            <w:vAlign w:val="center"/>
          </w:tcPr>
          <w:p>
            <w:pPr>
              <w:pStyle w:val="72"/>
            </w:pPr>
            <w:r>
              <w:rPr>
                <w:rFonts w:hint="eastAsia"/>
              </w:rPr>
              <w:t>144</w:t>
            </w:r>
          </w:p>
        </w:tc>
        <w:tc>
          <w:tcPr>
            <w:tcW w:w="2988" w:type="dxa"/>
            <w:vAlign w:val="center"/>
          </w:tcPr>
          <w:p>
            <w:pPr>
              <w:pStyle w:val="72"/>
            </w:pPr>
            <w:r>
              <w:rPr>
                <w:rFonts w:hint="eastAsia"/>
              </w:rPr>
              <w:t>28.8</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16</w:t>
            </w:r>
          </w:p>
        </w:tc>
        <w:tc>
          <w:tcPr>
            <w:tcW w:w="4535" w:type="dxa"/>
            <w:vAlign w:val="center"/>
          </w:tcPr>
          <w:p>
            <w:pPr>
              <w:pStyle w:val="72"/>
            </w:pPr>
            <w:r>
              <w:rPr>
                <w:rFonts w:hint="eastAsia"/>
              </w:rPr>
              <w:t>惠黎菜市场工厂局宿舍平台</w:t>
            </w:r>
          </w:p>
        </w:tc>
        <w:tc>
          <w:tcPr>
            <w:tcW w:w="1702" w:type="dxa"/>
            <w:vAlign w:val="center"/>
          </w:tcPr>
          <w:p>
            <w:pPr>
              <w:pStyle w:val="72"/>
            </w:pPr>
            <w:r>
              <w:rPr>
                <w:rFonts w:hint="eastAsia"/>
              </w:rPr>
              <w:t>216</w:t>
            </w:r>
          </w:p>
        </w:tc>
        <w:tc>
          <w:tcPr>
            <w:tcW w:w="2988" w:type="dxa"/>
            <w:vAlign w:val="center"/>
          </w:tcPr>
          <w:p>
            <w:pPr>
              <w:pStyle w:val="72"/>
            </w:pPr>
            <w:r>
              <w:rPr>
                <w:rFonts w:hint="eastAsia"/>
              </w:rPr>
              <w:t>43.2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17</w:t>
            </w:r>
          </w:p>
        </w:tc>
        <w:tc>
          <w:tcPr>
            <w:tcW w:w="4535" w:type="dxa"/>
            <w:vAlign w:val="center"/>
          </w:tcPr>
          <w:p>
            <w:pPr>
              <w:pStyle w:val="72"/>
            </w:pPr>
            <w:r>
              <w:rPr>
                <w:rFonts w:hint="eastAsia"/>
              </w:rPr>
              <w:t>洪山路菜市场宿舍平台</w:t>
            </w:r>
          </w:p>
        </w:tc>
        <w:tc>
          <w:tcPr>
            <w:tcW w:w="1702" w:type="dxa"/>
            <w:vAlign w:val="center"/>
          </w:tcPr>
          <w:p>
            <w:pPr>
              <w:pStyle w:val="72"/>
            </w:pPr>
            <w:r>
              <w:rPr>
                <w:rFonts w:hint="eastAsia"/>
              </w:rPr>
              <w:t>24</w:t>
            </w:r>
          </w:p>
        </w:tc>
        <w:tc>
          <w:tcPr>
            <w:tcW w:w="2988" w:type="dxa"/>
            <w:vAlign w:val="center"/>
          </w:tcPr>
          <w:p>
            <w:pPr>
              <w:pStyle w:val="72"/>
            </w:pPr>
            <w:r>
              <w:rPr>
                <w:rFonts w:hint="eastAsia"/>
              </w:rPr>
              <w:t>4.8</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1101" w:type="dxa"/>
            <w:vAlign w:val="center"/>
          </w:tcPr>
          <w:p>
            <w:pPr>
              <w:pStyle w:val="72"/>
            </w:pPr>
            <w:r>
              <w:rPr>
                <w:rFonts w:hint="eastAsia"/>
              </w:rPr>
              <w:t>18</w:t>
            </w:r>
          </w:p>
        </w:tc>
        <w:tc>
          <w:tcPr>
            <w:tcW w:w="4535" w:type="dxa"/>
            <w:vAlign w:val="center"/>
          </w:tcPr>
          <w:p>
            <w:pPr>
              <w:pStyle w:val="72"/>
            </w:pPr>
            <w:r>
              <w:rPr>
                <w:rFonts w:hint="eastAsia"/>
              </w:rPr>
              <w:t>长山路菜市场宿舍平台</w:t>
            </w:r>
          </w:p>
        </w:tc>
        <w:tc>
          <w:tcPr>
            <w:tcW w:w="1702" w:type="dxa"/>
            <w:vAlign w:val="center"/>
          </w:tcPr>
          <w:p>
            <w:pPr>
              <w:pStyle w:val="72"/>
            </w:pPr>
            <w:r>
              <w:rPr>
                <w:rFonts w:hint="eastAsia"/>
              </w:rPr>
              <w:t>108</w:t>
            </w:r>
          </w:p>
        </w:tc>
        <w:tc>
          <w:tcPr>
            <w:tcW w:w="2988" w:type="dxa"/>
            <w:vAlign w:val="center"/>
          </w:tcPr>
          <w:p>
            <w:pPr>
              <w:pStyle w:val="72"/>
            </w:pPr>
            <w:r>
              <w:rPr>
                <w:rFonts w:hint="eastAsia"/>
              </w:rPr>
              <w:t>21.6</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7338" w:type="dxa"/>
            <w:gridSpan w:val="3"/>
            <w:vAlign w:val="center"/>
          </w:tcPr>
          <w:p>
            <w:pPr>
              <w:pStyle w:val="72"/>
            </w:pPr>
            <w:r>
              <w:rPr>
                <w:rFonts w:hint="eastAsia"/>
              </w:rPr>
              <w:t>合计</w:t>
            </w:r>
          </w:p>
        </w:tc>
        <w:tc>
          <w:tcPr>
            <w:tcW w:w="2988" w:type="dxa"/>
            <w:vAlign w:val="center"/>
          </w:tcPr>
          <w:p>
            <w:pPr>
              <w:pStyle w:val="72"/>
            </w:pPr>
            <w:r>
              <w:t>1656.8</w:t>
            </w:r>
          </w:p>
        </w:tc>
      </w:tr>
      <w:bookmarkEnd w:id="459"/>
    </w:tbl>
    <w:p>
      <w:pPr>
        <w:pStyle w:val="3"/>
        <w:spacing w:before="120" w:after="60"/>
        <w:ind w:firstLine="602"/>
        <w:rPr>
          <w:rFonts w:ascii="Times New Roman" w:hAnsi="Times New Roman"/>
        </w:rPr>
      </w:pPr>
      <w:bookmarkStart w:id="460" w:name="_Toc8032663"/>
      <w:r>
        <w:rPr>
          <w:rFonts w:hint="eastAsia" w:ascii="Times New Roman" w:hAnsi="Times New Roman"/>
        </w:rPr>
        <w:t>8</w:t>
      </w:r>
      <w:r>
        <w:rPr>
          <w:rFonts w:ascii="Times New Roman" w:hAnsi="Times New Roman"/>
        </w:rPr>
        <w:t>.</w:t>
      </w:r>
      <w:r>
        <w:rPr>
          <w:rFonts w:hint="eastAsia" w:ascii="Times New Roman" w:hAnsi="Times New Roman"/>
        </w:rPr>
        <w:t>5</w:t>
      </w:r>
      <w:r>
        <w:rPr>
          <w:rFonts w:ascii="Times New Roman" w:hAnsi="Times New Roman"/>
        </w:rPr>
        <w:t xml:space="preserve"> </w:t>
      </w:r>
      <w:r>
        <w:rPr>
          <w:rFonts w:hint="eastAsia" w:ascii="Times New Roman" w:hAnsi="Times New Roman"/>
        </w:rPr>
        <w:t>雨污分流</w:t>
      </w:r>
      <w:r>
        <w:rPr>
          <w:rFonts w:ascii="Times New Roman" w:hAnsi="Times New Roman"/>
        </w:rPr>
        <w:t>改造工程（不计入总投资）</w:t>
      </w:r>
      <w:bookmarkEnd w:id="460"/>
    </w:p>
    <w:p>
      <w:pPr>
        <w:spacing w:before="120" w:line="360" w:lineRule="auto"/>
        <w:ind w:firstLine="482"/>
        <w:jc w:val="center"/>
        <w:rPr>
          <w:b/>
          <w:bCs/>
          <w:sz w:val="24"/>
          <w:szCs w:val="20"/>
        </w:rPr>
      </w:pPr>
      <w:r>
        <w:rPr>
          <w:b/>
          <w:bCs/>
          <w:sz w:val="24"/>
          <w:szCs w:val="20"/>
        </w:rPr>
        <w:t>表</w:t>
      </w:r>
      <w:r>
        <w:rPr>
          <w:rFonts w:hint="eastAsia"/>
          <w:b/>
          <w:bCs/>
          <w:sz w:val="24"/>
          <w:szCs w:val="20"/>
        </w:rPr>
        <w:t>8</w:t>
      </w:r>
      <w:r>
        <w:rPr>
          <w:b/>
          <w:bCs/>
          <w:sz w:val="24"/>
          <w:szCs w:val="20"/>
        </w:rPr>
        <w:t>-</w:t>
      </w:r>
      <w:r>
        <w:rPr>
          <w:rFonts w:hint="eastAsia"/>
          <w:b/>
          <w:bCs/>
          <w:sz w:val="24"/>
          <w:szCs w:val="20"/>
        </w:rPr>
        <w:t>8</w:t>
      </w:r>
      <w:r>
        <w:rPr>
          <w:b/>
          <w:bCs/>
          <w:sz w:val="24"/>
          <w:szCs w:val="20"/>
        </w:rPr>
        <w:t xml:space="preserve">   近期</w:t>
      </w:r>
      <w:r>
        <w:rPr>
          <w:rFonts w:hint="eastAsia"/>
          <w:b/>
          <w:bCs/>
          <w:sz w:val="24"/>
          <w:szCs w:val="20"/>
        </w:rPr>
        <w:t>雨污分流改造</w:t>
      </w:r>
      <w:r>
        <w:rPr>
          <w:b/>
          <w:bCs/>
          <w:sz w:val="24"/>
          <w:szCs w:val="20"/>
        </w:rPr>
        <w:t>工程投资估算表</w:t>
      </w:r>
    </w:p>
    <w:tbl>
      <w:tblPr>
        <w:tblStyle w:val="67"/>
        <w:tblW w:w="9928" w:type="dxa"/>
        <w:tblInd w:w="0" w:type="dxa"/>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Layout w:type="fixed"/>
        <w:tblCellMar>
          <w:top w:w="0" w:type="dxa"/>
          <w:left w:w="0" w:type="dxa"/>
          <w:bottom w:w="0" w:type="dxa"/>
          <w:right w:w="0" w:type="dxa"/>
        </w:tblCellMar>
      </w:tblPr>
      <w:tblGrid>
        <w:gridCol w:w="1168"/>
        <w:gridCol w:w="1753"/>
        <w:gridCol w:w="1623"/>
        <w:gridCol w:w="1762"/>
        <w:gridCol w:w="1800"/>
        <w:gridCol w:w="1822"/>
      </w:tblGrid>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PrEx>
        <w:trPr>
          <w:trHeight w:val="379" w:hRule="exact"/>
        </w:trPr>
        <w:tc>
          <w:tcPr>
            <w:tcW w:w="1168" w:type="dxa"/>
            <w:vAlign w:val="center"/>
          </w:tcPr>
          <w:p>
            <w:pPr>
              <w:pStyle w:val="72"/>
              <w:rPr>
                <w:rFonts w:asciiTheme="minorHAnsi" w:hAnsiTheme="minorHAnsi" w:eastAsiaTheme="minorEastAsia"/>
                <w:szCs w:val="21"/>
              </w:rPr>
            </w:pPr>
            <w:r>
              <w:rPr>
                <w:rFonts w:hint="eastAsia" w:asciiTheme="minorHAnsi" w:hAnsiTheme="minorHAnsi" w:eastAsiaTheme="minorEastAsia"/>
                <w:szCs w:val="21"/>
              </w:rPr>
              <w:t>片区</w:t>
            </w:r>
          </w:p>
        </w:tc>
        <w:tc>
          <w:tcPr>
            <w:tcW w:w="1753" w:type="dxa"/>
            <w:vAlign w:val="center"/>
          </w:tcPr>
          <w:p>
            <w:pPr>
              <w:pStyle w:val="72"/>
              <w:rPr>
                <w:rFonts w:asciiTheme="minorHAnsi" w:hAnsiTheme="minorHAnsi" w:eastAsiaTheme="minorEastAsia"/>
                <w:szCs w:val="21"/>
              </w:rPr>
            </w:pPr>
            <w:r>
              <w:rPr>
                <w:rFonts w:hint="eastAsia" w:asciiTheme="minorHAnsi" w:hAnsiTheme="minorHAnsi" w:eastAsiaTheme="minorEastAsia"/>
                <w:szCs w:val="21"/>
              </w:rPr>
              <w:t>管径</w:t>
            </w:r>
          </w:p>
        </w:tc>
        <w:tc>
          <w:tcPr>
            <w:tcW w:w="1623" w:type="dxa"/>
            <w:vAlign w:val="center"/>
          </w:tcPr>
          <w:p>
            <w:pPr>
              <w:pStyle w:val="72"/>
              <w:rPr>
                <w:rFonts w:asciiTheme="minorHAnsi" w:hAnsiTheme="minorHAnsi" w:eastAsiaTheme="minorEastAsia"/>
                <w:szCs w:val="21"/>
              </w:rPr>
            </w:pPr>
            <w:r>
              <w:rPr>
                <w:rFonts w:hint="eastAsia" w:asciiTheme="minorHAnsi" w:hAnsiTheme="minorHAnsi" w:eastAsiaTheme="minorEastAsia"/>
                <w:szCs w:val="21"/>
              </w:rPr>
              <w:t>管长（km）</w:t>
            </w:r>
          </w:p>
        </w:tc>
        <w:tc>
          <w:tcPr>
            <w:tcW w:w="1762" w:type="dxa"/>
            <w:vAlign w:val="center"/>
          </w:tcPr>
          <w:p>
            <w:pPr>
              <w:pStyle w:val="72"/>
              <w:rPr>
                <w:rFonts w:asciiTheme="minorHAnsi" w:hAnsiTheme="minorHAnsi" w:eastAsiaTheme="minorEastAsia"/>
                <w:szCs w:val="21"/>
              </w:rPr>
            </w:pPr>
            <w:r>
              <w:rPr>
                <w:rFonts w:hint="eastAsia" w:asciiTheme="minorHAnsi" w:hAnsiTheme="minorHAnsi" w:eastAsiaTheme="minorEastAsia"/>
                <w:szCs w:val="21"/>
              </w:rPr>
              <w:t>管材</w:t>
            </w:r>
          </w:p>
        </w:tc>
        <w:tc>
          <w:tcPr>
            <w:tcW w:w="1800" w:type="dxa"/>
            <w:vAlign w:val="center"/>
          </w:tcPr>
          <w:p>
            <w:pPr>
              <w:pStyle w:val="72"/>
              <w:rPr>
                <w:rFonts w:asciiTheme="minorHAnsi" w:hAnsiTheme="minorHAnsi" w:eastAsiaTheme="minorEastAsia"/>
                <w:szCs w:val="21"/>
              </w:rPr>
            </w:pPr>
            <w:r>
              <w:rPr>
                <w:rFonts w:hint="eastAsia" w:asciiTheme="minorHAnsi" w:hAnsiTheme="minorHAnsi" w:eastAsiaTheme="minorEastAsia"/>
                <w:szCs w:val="21"/>
              </w:rPr>
              <w:t>施工方式</w:t>
            </w:r>
          </w:p>
        </w:tc>
        <w:tc>
          <w:tcPr>
            <w:tcW w:w="1822" w:type="dxa"/>
            <w:vAlign w:val="center"/>
          </w:tcPr>
          <w:p>
            <w:pPr>
              <w:pStyle w:val="72"/>
              <w:rPr>
                <w:rFonts w:asciiTheme="minorHAnsi" w:hAnsiTheme="minorHAnsi" w:eastAsiaTheme="minorEastAsia"/>
                <w:szCs w:val="21"/>
              </w:rPr>
            </w:pPr>
            <w:r>
              <w:rPr>
                <w:rFonts w:hint="eastAsia" w:asciiTheme="minorHAnsi" w:hAnsiTheme="minorHAnsi" w:eastAsiaTheme="minorEastAsia"/>
                <w:szCs w:val="21"/>
              </w:rPr>
              <w:t>投资估算（万元）</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PrEx>
        <w:trPr>
          <w:trHeight w:val="379" w:hRule="exact"/>
        </w:trPr>
        <w:tc>
          <w:tcPr>
            <w:tcW w:w="1168" w:type="dxa"/>
            <w:vMerge w:val="restart"/>
            <w:vAlign w:val="center"/>
          </w:tcPr>
          <w:p>
            <w:pPr>
              <w:pStyle w:val="72"/>
              <w:rPr>
                <w:rFonts w:asciiTheme="minorHAnsi" w:hAnsiTheme="minorHAnsi" w:eastAsiaTheme="minorEastAsia"/>
                <w:szCs w:val="21"/>
              </w:rPr>
            </w:pPr>
            <w:r>
              <w:rPr>
                <w:rFonts w:hint="eastAsia" w:asciiTheme="minorHAnsi" w:hAnsiTheme="minorHAnsi" w:eastAsiaTheme="minorEastAsia"/>
                <w:szCs w:val="21"/>
              </w:rPr>
              <w:t>东部片区</w:t>
            </w:r>
          </w:p>
        </w:tc>
        <w:tc>
          <w:tcPr>
            <w:tcW w:w="8760" w:type="dxa"/>
            <w:gridSpan w:val="5"/>
            <w:vAlign w:val="center"/>
          </w:tcPr>
          <w:p>
            <w:pPr>
              <w:pStyle w:val="72"/>
              <w:rPr>
                <w:rFonts w:asciiTheme="minorHAnsi" w:hAnsiTheme="minorHAnsi" w:eastAsiaTheme="minorEastAsia"/>
                <w:szCs w:val="21"/>
              </w:rPr>
            </w:pPr>
            <w:r>
              <w:rPr>
                <w:rFonts w:hint="eastAsia" w:asciiTheme="minorHAnsi" w:hAnsiTheme="minorHAnsi" w:eastAsiaTheme="minorEastAsia"/>
                <w:szCs w:val="21"/>
              </w:rPr>
              <w:t>一、污水工程量</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d400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9.9</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HDPE</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436.5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d400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5.6</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PE</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拉管施工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980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d500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2.7</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PE</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拉管施工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513</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8760" w:type="dxa"/>
            <w:gridSpan w:val="5"/>
            <w:vAlign w:val="center"/>
          </w:tcPr>
          <w:p>
            <w:pPr>
              <w:pStyle w:val="72"/>
              <w:rPr>
                <w:rFonts w:asciiTheme="minorHAnsi" w:hAnsiTheme="minorHAnsi" w:eastAsiaTheme="minorEastAsia"/>
                <w:szCs w:val="21"/>
              </w:rPr>
            </w:pPr>
            <w:r>
              <w:rPr>
                <w:rFonts w:asciiTheme="minorHAnsi" w:hAnsiTheme="minorHAnsi" w:eastAsiaTheme="minorEastAsia"/>
                <w:szCs w:val="21"/>
              </w:rPr>
              <w:t>二、雨水工程量</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d400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0.86</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HDPE</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37.8</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d600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1.2</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钢筋砼</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79.2</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d800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1.11</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钢筋砼</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89.6</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d1000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0.72</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钢筋砼</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72</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d1200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0.74</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钢筋砼</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98.7</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d1400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0.67</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钢筋砼</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116.6</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d1500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0.12</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钢筋砼</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24.3</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d1600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0.2</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钢筋砼</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43.4</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2.0m×1.5m</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0.75</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钢筋砼</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337.5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restart"/>
            <w:vAlign w:val="center"/>
          </w:tcPr>
          <w:p>
            <w:pPr>
              <w:pStyle w:val="72"/>
              <w:rPr>
                <w:rFonts w:asciiTheme="minorHAnsi" w:hAnsiTheme="minorHAnsi" w:eastAsiaTheme="minorEastAsia"/>
                <w:szCs w:val="21"/>
              </w:rPr>
            </w:pPr>
            <w:r>
              <w:rPr>
                <w:rFonts w:asciiTheme="minorHAnsi" w:hAnsiTheme="minorHAnsi" w:eastAsiaTheme="minorEastAsia"/>
                <w:szCs w:val="21"/>
              </w:rPr>
              <w:t>老 城 区</w:t>
            </w:r>
          </w:p>
        </w:tc>
        <w:tc>
          <w:tcPr>
            <w:tcW w:w="8760" w:type="dxa"/>
            <w:gridSpan w:val="5"/>
            <w:vAlign w:val="center"/>
          </w:tcPr>
          <w:p>
            <w:pPr>
              <w:pStyle w:val="72"/>
              <w:rPr>
                <w:rFonts w:asciiTheme="minorHAnsi" w:hAnsiTheme="minorHAnsi" w:eastAsiaTheme="minorEastAsia"/>
                <w:szCs w:val="21"/>
              </w:rPr>
            </w:pPr>
            <w:r>
              <w:rPr>
                <w:rFonts w:asciiTheme="minorHAnsi" w:hAnsiTheme="minorHAnsi" w:eastAsiaTheme="minorEastAsia"/>
                <w:szCs w:val="21"/>
              </w:rPr>
              <w:t>一、污水工程量</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d400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19.5</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PE</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拉管施工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3412.5</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d500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4.7</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PE</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拉管施工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893</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d800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1.3</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“F”型钢承口</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顶管施工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286</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8760" w:type="dxa"/>
            <w:gridSpan w:val="5"/>
            <w:vAlign w:val="center"/>
          </w:tcPr>
          <w:p>
            <w:pPr>
              <w:pStyle w:val="72"/>
              <w:rPr>
                <w:rFonts w:asciiTheme="minorHAnsi" w:hAnsiTheme="minorHAnsi" w:eastAsiaTheme="minorEastAsia"/>
                <w:szCs w:val="21"/>
              </w:rPr>
            </w:pPr>
            <w:r>
              <w:rPr>
                <w:rFonts w:asciiTheme="minorHAnsi" w:hAnsiTheme="minorHAnsi" w:eastAsiaTheme="minorEastAsia"/>
                <w:szCs w:val="21"/>
              </w:rPr>
              <w:t>二、雨水工程</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d400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0.72</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HDPE</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31.7</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d600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2.06</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钢筋砼</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136</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d800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1.12</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钢筋砼</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90.4</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d1000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0.5</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钢筋砼</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50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restart"/>
            <w:vAlign w:val="center"/>
          </w:tcPr>
          <w:p>
            <w:pPr>
              <w:pStyle w:val="72"/>
              <w:rPr>
                <w:rFonts w:asciiTheme="minorHAnsi" w:hAnsiTheme="minorHAnsi" w:eastAsiaTheme="minorEastAsia"/>
                <w:szCs w:val="21"/>
              </w:rPr>
            </w:pPr>
            <w:r>
              <w:rPr>
                <w:rFonts w:asciiTheme="minorHAnsi" w:hAnsiTheme="minorHAnsi" w:eastAsiaTheme="minorEastAsia"/>
                <w:szCs w:val="21"/>
              </w:rPr>
              <w:t>三 堤 口 片 区</w:t>
            </w:r>
          </w:p>
        </w:tc>
        <w:tc>
          <w:tcPr>
            <w:tcW w:w="8760" w:type="dxa"/>
            <w:gridSpan w:val="5"/>
            <w:vAlign w:val="center"/>
          </w:tcPr>
          <w:p>
            <w:pPr>
              <w:pStyle w:val="72"/>
              <w:rPr>
                <w:rFonts w:asciiTheme="minorHAnsi" w:hAnsiTheme="minorHAnsi" w:eastAsiaTheme="minorEastAsia"/>
                <w:szCs w:val="21"/>
              </w:rPr>
            </w:pPr>
            <w:r>
              <w:rPr>
                <w:rFonts w:asciiTheme="minorHAnsi" w:hAnsiTheme="minorHAnsi" w:eastAsiaTheme="minorEastAsia"/>
                <w:szCs w:val="21"/>
              </w:rPr>
              <w:t>一、污水工程量</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d400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2.8</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PE</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拉管施工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499</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d500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1.5</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HDPE</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78</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d500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1.0</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PE</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拉管施工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190</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8760" w:type="dxa"/>
            <w:gridSpan w:val="5"/>
            <w:vAlign w:val="center"/>
          </w:tcPr>
          <w:p>
            <w:pPr>
              <w:pStyle w:val="72"/>
              <w:rPr>
                <w:rFonts w:asciiTheme="minorHAnsi" w:hAnsiTheme="minorHAnsi" w:eastAsiaTheme="minorEastAsia"/>
                <w:szCs w:val="21"/>
              </w:rPr>
            </w:pPr>
            <w:r>
              <w:rPr>
                <w:rFonts w:asciiTheme="minorHAnsi" w:hAnsiTheme="minorHAnsi" w:eastAsiaTheme="minorEastAsia"/>
                <w:szCs w:val="21"/>
              </w:rPr>
              <w:t>二、雨水工程</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d400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0.36</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HDPE</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15.8</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d600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1.32</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钢筋砼</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87.1</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d800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1.9</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钢筋砼</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153.3</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d1000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1.06</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钢筋砼</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106</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d1200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0.64</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钢筋砼</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85.4</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9"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d1400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0.31</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钢筋砼</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54</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CellMar>
            <w:top w:w="0" w:type="dxa"/>
            <w:left w:w="0" w:type="dxa"/>
            <w:bottom w:w="0" w:type="dxa"/>
            <w:right w:w="0" w:type="dxa"/>
          </w:tblCellMar>
        </w:tblPrEx>
        <w:trPr>
          <w:trHeight w:val="377" w:hRule="exact"/>
        </w:trPr>
        <w:tc>
          <w:tcPr>
            <w:tcW w:w="1168" w:type="dxa"/>
            <w:vMerge w:val="continue"/>
            <w:vAlign w:val="center"/>
          </w:tcPr>
          <w:p>
            <w:pPr>
              <w:pStyle w:val="72"/>
              <w:rPr>
                <w:rFonts w:asciiTheme="minorHAnsi" w:hAnsiTheme="minorHAnsi" w:eastAsiaTheme="minorEastAsia"/>
                <w:szCs w:val="21"/>
              </w:rPr>
            </w:pPr>
          </w:p>
        </w:tc>
        <w:tc>
          <w:tcPr>
            <w:tcW w:w="1753" w:type="dxa"/>
            <w:vAlign w:val="center"/>
          </w:tcPr>
          <w:p>
            <w:pPr>
              <w:pStyle w:val="72"/>
              <w:rPr>
                <w:rFonts w:asciiTheme="minorHAnsi" w:hAnsiTheme="minorHAnsi" w:eastAsiaTheme="minorEastAsia"/>
                <w:szCs w:val="21"/>
              </w:rPr>
            </w:pPr>
            <w:r>
              <w:rPr>
                <w:rFonts w:asciiTheme="minorHAnsi" w:hAnsiTheme="minorHAnsi" w:eastAsiaTheme="minorEastAsia"/>
                <w:szCs w:val="21"/>
              </w:rPr>
              <w:t>d1500</w:t>
            </w:r>
          </w:p>
        </w:tc>
        <w:tc>
          <w:tcPr>
            <w:tcW w:w="1623" w:type="dxa"/>
            <w:vAlign w:val="center"/>
          </w:tcPr>
          <w:p>
            <w:pPr>
              <w:pStyle w:val="72"/>
              <w:rPr>
                <w:rFonts w:asciiTheme="minorHAnsi" w:hAnsiTheme="minorHAnsi" w:eastAsiaTheme="minorEastAsia"/>
                <w:szCs w:val="21"/>
              </w:rPr>
            </w:pPr>
            <w:r>
              <w:rPr>
                <w:rFonts w:asciiTheme="minorHAnsi" w:hAnsiTheme="minorHAnsi" w:eastAsiaTheme="minorEastAsia"/>
                <w:szCs w:val="21"/>
              </w:rPr>
              <w:t>0.2</w:t>
            </w:r>
          </w:p>
        </w:tc>
        <w:tc>
          <w:tcPr>
            <w:tcW w:w="1762" w:type="dxa"/>
            <w:vAlign w:val="center"/>
          </w:tcPr>
          <w:p>
            <w:pPr>
              <w:pStyle w:val="72"/>
              <w:rPr>
                <w:rFonts w:asciiTheme="minorHAnsi" w:hAnsiTheme="minorHAnsi" w:eastAsiaTheme="minorEastAsia"/>
                <w:szCs w:val="21"/>
              </w:rPr>
            </w:pPr>
            <w:r>
              <w:rPr>
                <w:rFonts w:asciiTheme="minorHAnsi" w:hAnsiTheme="minorHAnsi" w:eastAsiaTheme="minorEastAsia"/>
                <w:szCs w:val="21"/>
              </w:rPr>
              <w:t>钢筋砼</w:t>
            </w:r>
          </w:p>
        </w:tc>
        <w:tc>
          <w:tcPr>
            <w:tcW w:w="1800" w:type="dxa"/>
            <w:vAlign w:val="center"/>
          </w:tcPr>
          <w:p>
            <w:pPr>
              <w:pStyle w:val="72"/>
              <w:rPr>
                <w:rFonts w:asciiTheme="minorHAnsi" w:hAnsiTheme="minorHAnsi" w:eastAsiaTheme="minorEastAsia"/>
                <w:szCs w:val="21"/>
              </w:rPr>
            </w:pPr>
            <w:r>
              <w:rPr>
                <w:rFonts w:asciiTheme="minorHAnsi" w:hAnsiTheme="minorHAnsi" w:eastAsiaTheme="minorEastAsia"/>
                <w:szCs w:val="21"/>
              </w:rPr>
              <w:t>开挖施工</w:t>
            </w:r>
          </w:p>
        </w:tc>
        <w:tc>
          <w:tcPr>
            <w:tcW w:w="1822" w:type="dxa"/>
            <w:vAlign w:val="center"/>
          </w:tcPr>
          <w:p>
            <w:pPr>
              <w:pStyle w:val="72"/>
              <w:rPr>
                <w:rFonts w:asciiTheme="minorHAnsi" w:hAnsiTheme="minorHAnsi" w:eastAsiaTheme="minorEastAsia"/>
                <w:szCs w:val="21"/>
              </w:rPr>
            </w:pPr>
            <w:r>
              <w:rPr>
                <w:rFonts w:asciiTheme="minorHAnsi" w:hAnsiTheme="minorHAnsi" w:eastAsiaTheme="minorEastAsia"/>
                <w:szCs w:val="21"/>
              </w:rPr>
              <w:t>40.4</w:t>
            </w:r>
          </w:p>
        </w:tc>
      </w:tr>
      <w:tr>
        <w:tblPrEx>
          <w:tblBorders>
            <w:top w:val="single" w:color="000000" w:sz="18" w:space="0"/>
            <w:left w:val="single" w:color="000000" w:sz="18" w:space="0"/>
            <w:bottom w:val="single" w:color="000000" w:sz="18" w:space="0"/>
            <w:right w:val="single" w:color="000000" w:sz="18" w:space="0"/>
            <w:insideH w:val="single" w:color="000000" w:sz="6" w:space="0"/>
            <w:insideV w:val="single" w:color="000000" w:sz="6" w:space="0"/>
          </w:tblBorders>
        </w:tblPrEx>
        <w:trPr>
          <w:trHeight w:val="377" w:hRule="exact"/>
        </w:trPr>
        <w:tc>
          <w:tcPr>
            <w:tcW w:w="8106" w:type="dxa"/>
            <w:gridSpan w:val="5"/>
            <w:vAlign w:val="center"/>
          </w:tcPr>
          <w:p>
            <w:pPr>
              <w:pStyle w:val="72"/>
              <w:rPr>
                <w:rFonts w:asciiTheme="minorHAnsi" w:hAnsiTheme="minorHAnsi" w:eastAsiaTheme="minorEastAsia"/>
                <w:szCs w:val="21"/>
              </w:rPr>
            </w:pPr>
            <w:r>
              <w:rPr>
                <w:rFonts w:hint="eastAsia" w:asciiTheme="minorHAnsi" w:hAnsiTheme="minorHAnsi" w:eastAsiaTheme="minorEastAsia"/>
                <w:szCs w:val="21"/>
              </w:rPr>
              <w:t>总计</w:t>
            </w:r>
          </w:p>
        </w:tc>
        <w:tc>
          <w:tcPr>
            <w:tcW w:w="1822" w:type="dxa"/>
            <w:vAlign w:val="center"/>
          </w:tcPr>
          <w:p>
            <w:pPr>
              <w:pStyle w:val="72"/>
              <w:rPr>
                <w:rFonts w:asciiTheme="minorHAnsi" w:hAnsiTheme="minorHAnsi" w:eastAsiaTheme="minorEastAsia"/>
                <w:szCs w:val="21"/>
              </w:rPr>
            </w:pPr>
            <w:r>
              <w:rPr>
                <w:rFonts w:hint="eastAsia" w:asciiTheme="minorHAnsi" w:hAnsiTheme="minorHAnsi" w:eastAsiaTheme="minorEastAsia"/>
                <w:szCs w:val="21"/>
              </w:rPr>
              <w:t>9837.2</w:t>
            </w:r>
          </w:p>
        </w:tc>
      </w:tr>
    </w:tbl>
    <w:p>
      <w:pPr>
        <w:ind w:firstLine="560"/>
      </w:pPr>
    </w:p>
    <w:p>
      <w:pPr>
        <w:pStyle w:val="3"/>
        <w:spacing w:before="120" w:after="60"/>
        <w:ind w:firstLine="602"/>
        <w:rPr>
          <w:rFonts w:ascii="Times New Roman" w:hAnsi="Times New Roman"/>
        </w:rPr>
      </w:pPr>
      <w:bookmarkStart w:id="461" w:name="_Toc478634517"/>
      <w:bookmarkStart w:id="462" w:name="_Toc8032664"/>
      <w:r>
        <w:rPr>
          <w:rFonts w:ascii="Times New Roman" w:hAnsi="Times New Roman"/>
        </w:rPr>
        <w:t>8.</w:t>
      </w:r>
      <w:r>
        <w:rPr>
          <w:rFonts w:hint="eastAsia" w:ascii="Times New Roman" w:hAnsi="Times New Roman"/>
        </w:rPr>
        <w:t>6</w:t>
      </w:r>
      <w:r>
        <w:rPr>
          <w:rFonts w:ascii="Times New Roman" w:hAnsi="Times New Roman"/>
        </w:rPr>
        <w:t xml:space="preserve"> 远期工程量及投资估算</w:t>
      </w:r>
      <w:bookmarkEnd w:id="461"/>
      <w:bookmarkEnd w:id="462"/>
      <w:r>
        <w:rPr>
          <w:rFonts w:ascii="Times New Roman" w:hAnsi="Times New Roman"/>
        </w:rPr>
        <w:t xml:space="preserve"> </w:t>
      </w:r>
    </w:p>
    <w:p>
      <w:pPr>
        <w:snapToGrid w:val="0"/>
        <w:ind w:right="-134" w:rightChars="-48" w:firstLine="560"/>
      </w:pPr>
      <w:r>
        <w:t>远期项目总投资</w:t>
      </w:r>
      <w:r>
        <w:rPr>
          <w:rFonts w:hint="eastAsia"/>
        </w:rPr>
        <w:t>1.25亿</w:t>
      </w:r>
      <w:r>
        <w:t>元，雨水年利用量新增</w:t>
      </w:r>
      <w:r>
        <w:rPr>
          <w:rFonts w:hint="eastAsia"/>
        </w:rPr>
        <w:t>197.1</w:t>
      </w:r>
      <w:r>
        <w:t>万立方米，污水再生水回用工程总规模达到</w:t>
      </w:r>
      <w:r>
        <w:rPr>
          <w:rFonts w:hint="eastAsia"/>
        </w:rPr>
        <w:t>25</w:t>
      </w:r>
      <w:r>
        <w:t>万立方米/天，</w:t>
      </w:r>
      <w:r>
        <w:rPr>
          <w:rFonts w:hint="eastAsia"/>
        </w:rPr>
        <w:t>新建小区中水回用规模达到 1.5万立方米/天</w:t>
      </w:r>
      <w:r>
        <w:t>。</w:t>
      </w:r>
    </w:p>
    <w:p>
      <w:pPr>
        <w:snapToGrid w:val="0"/>
        <w:ind w:right="-134" w:rightChars="-48" w:firstLine="560"/>
      </w:pPr>
      <w:r>
        <w:t>雨水资源利用工程主要为公园景观工程雨水利用工程、小区雨水利用工程、水系整治工程</w:t>
      </w:r>
      <w:r>
        <w:rPr>
          <w:rFonts w:hint="eastAsia"/>
        </w:rPr>
        <w:t>等</w:t>
      </w:r>
      <w:r>
        <w:t>。</w:t>
      </w:r>
    </w:p>
    <w:p>
      <w:pPr>
        <w:snapToGrid w:val="0"/>
        <w:ind w:right="-134" w:rightChars="-48" w:firstLine="560"/>
      </w:pPr>
      <w:r>
        <w:t>非常规水资源利用工程污水再生回用工程主要为</w:t>
      </w:r>
      <w:r>
        <w:rPr>
          <w:rFonts w:hint="eastAsia"/>
        </w:rPr>
        <w:t>丁楼污水处理厂</w:t>
      </w:r>
      <w:r>
        <w:t>再生水回用工程、</w:t>
      </w:r>
      <w:r>
        <w:rPr>
          <w:rFonts w:hint="eastAsia"/>
        </w:rPr>
        <w:t>龙湖污水处理厂</w:t>
      </w:r>
      <w:r>
        <w:t>再生水回用工程、</w:t>
      </w:r>
      <w:r>
        <w:rPr>
          <w:rFonts w:hint="eastAsia"/>
        </w:rPr>
        <w:t>经济开发区新区</w:t>
      </w:r>
      <w:r>
        <w:t>污水处理厂再生水回用工程</w:t>
      </w:r>
      <w:r>
        <w:rPr>
          <w:rFonts w:hint="eastAsia"/>
        </w:rPr>
        <w:t>，</w:t>
      </w:r>
      <w:r>
        <w:t>回用水总规模达到</w:t>
      </w:r>
      <w:r>
        <w:rPr>
          <w:rFonts w:hint="eastAsia"/>
        </w:rPr>
        <w:t>25</w:t>
      </w:r>
      <w:r>
        <w:t>万立方米/天。</w:t>
      </w:r>
    </w:p>
    <w:p>
      <w:pPr>
        <w:pStyle w:val="3"/>
        <w:spacing w:before="120" w:after="60"/>
        <w:ind w:firstLine="602"/>
        <w:rPr>
          <w:rFonts w:ascii="Times New Roman" w:hAnsi="Times New Roman"/>
        </w:rPr>
      </w:pPr>
      <w:bookmarkStart w:id="463" w:name="_Toc504305615"/>
      <w:bookmarkStart w:id="464" w:name="_Toc8032665"/>
      <w:bookmarkStart w:id="465" w:name="_Toc531180163"/>
      <w:bookmarkStart w:id="466" w:name="_Toc514062636"/>
      <w:bookmarkStart w:id="467" w:name="_Toc504305306"/>
      <w:r>
        <w:rPr>
          <w:rFonts w:ascii="Times New Roman" w:hAnsi="Times New Roman"/>
        </w:rPr>
        <w:t>8.7</w:t>
      </w:r>
      <w:r>
        <w:rPr>
          <w:rFonts w:hint="eastAsia" w:ascii="Times New Roman" w:hAnsi="Times New Roman"/>
        </w:rPr>
        <w:t xml:space="preserve">  </w:t>
      </w:r>
      <w:r>
        <w:rPr>
          <w:rFonts w:ascii="Times New Roman" w:hAnsi="Times New Roman"/>
        </w:rPr>
        <w:t>能力建设工程</w:t>
      </w:r>
      <w:bookmarkEnd w:id="463"/>
      <w:bookmarkEnd w:id="464"/>
      <w:bookmarkEnd w:id="465"/>
      <w:bookmarkEnd w:id="466"/>
      <w:bookmarkEnd w:id="467"/>
    </w:p>
    <w:p>
      <w:pPr>
        <w:snapToGrid w:val="0"/>
        <w:ind w:right="-134" w:rightChars="-48" w:firstLine="560"/>
      </w:pPr>
      <w:r>
        <w:rPr>
          <w:rFonts w:hint="eastAsia"/>
        </w:rPr>
        <w:t>根据节水型城市建设的需要，需强化用水总量、用水效率、纳污总量“三条红线”刚性约束，进一步规范水资源管理，推进管理规范化、标准化、精细化；加快形成简政、高效、协调的水管理体制和科学、稳定、灵活的水利运行机制，发挥政府水行政管理与公共服务职能，实现人水和谐、配置优化、供水可靠、管理科学、运行高效的水利发展目标。</w:t>
      </w:r>
    </w:p>
    <w:p>
      <w:pPr>
        <w:snapToGrid w:val="0"/>
        <w:ind w:right="-134" w:rightChars="-48" w:firstLine="560"/>
      </w:pPr>
      <w:r>
        <w:rPr>
          <w:rFonts w:hint="eastAsia"/>
        </w:rPr>
        <w:t>完成以上任务和目标需要不断强化管理能力建设工程，重点从管理服务能力建设和发展保障能力建设两个方面入手，形成比较完备的法规体系、高效的治理体系、权威的执法体系和严格的监督体系，全面提升水资源管理水平。</w:t>
      </w:r>
    </w:p>
    <w:p>
      <w:pPr>
        <w:pStyle w:val="4"/>
        <w:ind w:left="0" w:leftChars="0" w:firstLine="747" w:firstLineChars="245"/>
      </w:pPr>
      <w:bookmarkStart w:id="468" w:name="_Toc8032666"/>
      <w:bookmarkStart w:id="469" w:name="_Toc514062637"/>
      <w:bookmarkStart w:id="470" w:name="_Toc531180164"/>
      <w:r>
        <w:t>8</w:t>
      </w:r>
      <w:r>
        <w:rPr>
          <w:rFonts w:hint="eastAsia"/>
        </w:rPr>
        <w:t>.</w:t>
      </w:r>
      <w:r>
        <w:t>7</w:t>
      </w:r>
      <w:r>
        <w:rPr>
          <w:rFonts w:hint="eastAsia"/>
        </w:rPr>
        <w:t>.1节水管理服务能力建设工程</w:t>
      </w:r>
      <w:bookmarkEnd w:id="468"/>
      <w:bookmarkEnd w:id="469"/>
      <w:bookmarkEnd w:id="470"/>
    </w:p>
    <w:p>
      <w:pPr>
        <w:snapToGrid w:val="0"/>
        <w:ind w:right="-134" w:rightChars="-48" w:firstLine="560"/>
      </w:pPr>
      <w:r>
        <w:rPr>
          <w:rFonts w:hint="eastAsia"/>
        </w:rPr>
        <w:t>水资源管理：开展水资源综合开发利用规划、非常规水资源利用及水生态修复等规划编制，建成市、区级水资源监测站网，水质及便携式水量测试仪器等专用设备。</w:t>
      </w:r>
    </w:p>
    <w:p>
      <w:pPr>
        <w:snapToGrid w:val="0"/>
        <w:ind w:right="-134" w:rightChars="-48" w:firstLine="560"/>
      </w:pPr>
      <w:r>
        <w:rPr>
          <w:rFonts w:hint="eastAsia"/>
        </w:rPr>
        <w:t>节水工程管理：加强淮北境内非常规水资源利用工程、工业企业节水技改项目的管理维护等。</w:t>
      </w:r>
    </w:p>
    <w:p>
      <w:pPr>
        <w:pStyle w:val="4"/>
        <w:ind w:left="0" w:leftChars="0" w:firstLine="747" w:firstLineChars="245"/>
      </w:pPr>
      <w:bookmarkStart w:id="471" w:name="_Toc531180165"/>
      <w:bookmarkStart w:id="472" w:name="_Toc8032667"/>
      <w:bookmarkStart w:id="473" w:name="_Toc514062638"/>
      <w:r>
        <w:t>8</w:t>
      </w:r>
      <w:r>
        <w:rPr>
          <w:rFonts w:hint="eastAsia"/>
        </w:rPr>
        <w:t>.</w:t>
      </w:r>
      <w:r>
        <w:t>7</w:t>
      </w:r>
      <w:r>
        <w:rPr>
          <w:rFonts w:hint="eastAsia"/>
        </w:rPr>
        <w:t>.2发展保障能力建设</w:t>
      </w:r>
      <w:bookmarkEnd w:id="471"/>
      <w:bookmarkEnd w:id="472"/>
      <w:bookmarkEnd w:id="473"/>
    </w:p>
    <w:p>
      <w:pPr>
        <w:snapToGrid w:val="0"/>
        <w:ind w:right="-134" w:rightChars="-48" w:firstLine="560"/>
      </w:pPr>
      <w:r>
        <w:rPr>
          <w:rFonts w:hint="eastAsia"/>
        </w:rPr>
        <w:t>城市节水执法队伍建设：加强城市节水管理执法队伍建设、积极开展节水法规宣传。</w:t>
      </w:r>
    </w:p>
    <w:p>
      <w:pPr>
        <w:snapToGrid w:val="0"/>
        <w:ind w:right="-134" w:rightChars="-48" w:firstLine="560"/>
      </w:pPr>
      <w:r>
        <w:rPr>
          <w:rFonts w:hint="eastAsia"/>
        </w:rPr>
        <w:t>节水管理队伍建设：积极引进专业人才，加强职工培训，建立人才选用机制。</w:t>
      </w:r>
    </w:p>
    <w:p>
      <w:pPr>
        <w:snapToGrid w:val="0"/>
        <w:ind w:right="-134" w:rightChars="-48" w:firstLine="560"/>
      </w:pPr>
      <w:r>
        <w:rPr>
          <w:rFonts w:hint="eastAsia"/>
        </w:rPr>
        <w:t>节水信息化管理能力建设：推进节水型城市管理信息化配套建设工作、加强节水管理信息化系统建设、完善用水计划和定额管理，非常规水资源利用工程管理信息系统，与淮北市节水管理信息系统对接。与信息系统配套进行对水资源及用水系统</w:t>
      </w:r>
      <w:r>
        <w:t>监测设备改造升级，引进智能水表、电磁流量计、超声波流量计等各种智能计量仪表</w:t>
      </w:r>
      <w:r>
        <w:rPr>
          <w:rFonts w:hint="eastAsia"/>
        </w:rPr>
        <w:t>，对新增和现有取水户年取地表水大于5万m</w:t>
      </w:r>
      <w:r>
        <w:rPr>
          <w:rFonts w:hint="eastAsia"/>
          <w:vertAlign w:val="superscript"/>
        </w:rPr>
        <w:t>3</w:t>
      </w:r>
      <w:r>
        <w:rPr>
          <w:rFonts w:hint="eastAsia"/>
        </w:rPr>
        <w:t>或地下水大于3万m</w:t>
      </w:r>
      <w:r>
        <w:rPr>
          <w:rFonts w:hint="eastAsia"/>
          <w:vertAlign w:val="superscript"/>
        </w:rPr>
        <w:t>3</w:t>
      </w:r>
      <w:r>
        <w:rPr>
          <w:rFonts w:hint="eastAsia"/>
        </w:rPr>
        <w:t>的，纳入市级在线监测系统，对年取水量20万m</w:t>
      </w:r>
      <w:r>
        <w:rPr>
          <w:rFonts w:hint="eastAsia"/>
          <w:vertAlign w:val="superscript"/>
        </w:rPr>
        <w:t>3</w:t>
      </w:r>
      <w:r>
        <w:rPr>
          <w:rFonts w:hint="eastAsia"/>
        </w:rPr>
        <w:t>以上的城市公共供水用水单位建立监测系统实行远程监控管理，以上信息化建设近期投资约200万元，远期投资估算1000万元左右。</w:t>
      </w:r>
    </w:p>
    <w:p>
      <w:pPr>
        <w:snapToGrid w:val="0"/>
        <w:ind w:right="-134" w:rightChars="-48" w:firstLine="560"/>
      </w:pPr>
      <w:bookmarkStart w:id="474" w:name="_Toc397599437"/>
      <w:bookmarkStart w:id="475" w:name="_Toc514062639"/>
      <w:r>
        <w:rPr>
          <w:rFonts w:hint="eastAsia"/>
        </w:rPr>
        <w:t>节水科技推广：加快节水教育基地建设，加强科技成果的推广示范。</w:t>
      </w:r>
    </w:p>
    <w:p>
      <w:pPr>
        <w:snapToGrid w:val="0"/>
        <w:ind w:right="-134" w:rightChars="-48" w:firstLine="560"/>
      </w:pPr>
      <w:r>
        <w:rPr>
          <w:rFonts w:hint="eastAsia"/>
        </w:rPr>
        <w:t>节水专题研究：积极开展节水型城市建设相关专题研究。包括典型结构型缺水地区的水资源管理模式、污水处理及再生利用、水污染防治的监督管理、水生态补偿机制、基于信息化的计划用水管理体系等方面。</w:t>
      </w:r>
    </w:p>
    <w:p>
      <w:pPr>
        <w:pStyle w:val="3"/>
        <w:spacing w:before="120" w:after="60"/>
        <w:ind w:firstLine="602"/>
        <w:rPr>
          <w:rFonts w:ascii="Times New Roman" w:hAnsi="Times New Roman"/>
        </w:rPr>
      </w:pPr>
      <w:bookmarkStart w:id="476" w:name="_Toc8032668"/>
      <w:bookmarkStart w:id="477" w:name="_Toc531180166"/>
      <w:r>
        <w:rPr>
          <w:rFonts w:ascii="Times New Roman" w:hAnsi="Times New Roman"/>
        </w:rPr>
        <w:t>8.8</w:t>
      </w:r>
      <w:r>
        <w:rPr>
          <w:rFonts w:hint="eastAsia" w:ascii="Times New Roman" w:hAnsi="Times New Roman"/>
        </w:rPr>
        <w:t>节水教育建设工程</w:t>
      </w:r>
      <w:bookmarkEnd w:id="476"/>
      <w:bookmarkEnd w:id="477"/>
    </w:p>
    <w:p>
      <w:pPr>
        <w:pStyle w:val="4"/>
        <w:ind w:left="0" w:leftChars="0" w:firstLine="747" w:firstLineChars="245"/>
      </w:pPr>
      <w:bookmarkStart w:id="478" w:name="_Toc8032669"/>
      <w:bookmarkStart w:id="479" w:name="_Toc531180167"/>
      <w:r>
        <w:rPr>
          <w:rFonts w:hint="eastAsia"/>
        </w:rPr>
        <w:t>8.8.1 节水宣传教育</w:t>
      </w:r>
      <w:bookmarkEnd w:id="478"/>
      <w:bookmarkEnd w:id="479"/>
    </w:p>
    <w:p>
      <w:pPr>
        <w:snapToGrid w:val="0"/>
        <w:ind w:right="-134" w:rightChars="-48" w:firstLine="560"/>
      </w:pPr>
      <w:r>
        <w:rPr>
          <w:rFonts w:hint="eastAsia"/>
        </w:rPr>
        <w:t>充分利用</w:t>
      </w:r>
      <w:r>
        <w:t>“</w:t>
      </w:r>
      <w:r>
        <w:rPr>
          <w:rFonts w:hint="eastAsia"/>
        </w:rPr>
        <w:t>世界水日</w:t>
      </w:r>
      <w:r>
        <w:t>”</w:t>
      </w:r>
      <w:r>
        <w:rPr>
          <w:rFonts w:hint="eastAsia"/>
        </w:rPr>
        <w:t>、</w:t>
      </w:r>
      <w:r>
        <w:t>“</w:t>
      </w:r>
      <w:r>
        <w:rPr>
          <w:rFonts w:hint="eastAsia"/>
        </w:rPr>
        <w:t>全国城市节水宣传周</w:t>
      </w:r>
      <w:r>
        <w:t>”</w:t>
      </w:r>
      <w:r>
        <w:rPr>
          <w:rFonts w:hint="eastAsia"/>
        </w:rPr>
        <w:t>和科普、节能宣传周等集中宣传，组织开展节水宣传系列活动，普及节水知识，提高节水意识；创新节水宣传形式，通过广播、电视、新媒体、网络等多种渠道，不断扩大宣传覆盖面和公众参与度。政府节水管理部门每年应投入一定经费加大宣传力度，实现节水宣传长效化。近期投入资金估算400万元，远期投入资金估算1000万元。</w:t>
      </w:r>
    </w:p>
    <w:p>
      <w:pPr>
        <w:pStyle w:val="4"/>
        <w:ind w:left="0" w:leftChars="0" w:firstLine="747" w:firstLineChars="245"/>
      </w:pPr>
      <w:bookmarkStart w:id="480" w:name="_Toc531180168"/>
      <w:bookmarkStart w:id="481" w:name="_Toc8032670"/>
      <w:r>
        <w:rPr>
          <w:rFonts w:hint="eastAsia"/>
        </w:rPr>
        <w:t>8.8.2 中小学节水教育基地建设工程</w:t>
      </w:r>
      <w:bookmarkEnd w:id="480"/>
      <w:bookmarkEnd w:id="481"/>
    </w:p>
    <w:p>
      <w:pPr>
        <w:snapToGrid w:val="0"/>
        <w:ind w:right="-134" w:rightChars="-48" w:firstLine="560"/>
      </w:pPr>
      <w:r>
        <w:rPr>
          <w:rFonts w:hint="eastAsia"/>
        </w:rPr>
        <w:t>为</w:t>
      </w:r>
      <w:r>
        <w:t>宣传节水理念，从小培养</w:t>
      </w:r>
      <w:r>
        <w:rPr>
          <w:rFonts w:hint="eastAsia"/>
        </w:rPr>
        <w:t>中小学生</w:t>
      </w:r>
      <w:r>
        <w:t>的节水意识。</w:t>
      </w:r>
      <w:r>
        <w:rPr>
          <w:rFonts w:hint="eastAsia"/>
        </w:rPr>
        <w:t>淮北</w:t>
      </w:r>
      <w:r>
        <w:t>市</w:t>
      </w:r>
      <w:r>
        <w:rPr>
          <w:rFonts w:hint="eastAsia"/>
        </w:rPr>
        <w:t>“十三五“期间</w:t>
      </w:r>
      <w:r>
        <w:t>，建设中小学教育基地</w:t>
      </w:r>
      <w:r>
        <w:rPr>
          <w:rFonts w:hint="eastAsia"/>
        </w:rPr>
        <w:t>2处</w:t>
      </w:r>
      <w:r>
        <w:t>，投资估算为</w:t>
      </w:r>
      <w:r>
        <w:rPr>
          <w:rFonts w:hint="eastAsia"/>
        </w:rPr>
        <w:t>20万元</w:t>
      </w:r>
      <w:r>
        <w:t>。</w:t>
      </w:r>
      <w:r>
        <w:rPr>
          <w:rFonts w:hint="eastAsia"/>
        </w:rPr>
        <w:t>由于现状节水教育基地规模和教育内容局限，远期应结合科技发展和非常规水资源利用工程项目建设新建节水教育基地3处以上，投资估算为150万元。</w:t>
      </w:r>
    </w:p>
    <w:p>
      <w:pPr>
        <w:snapToGrid w:val="0"/>
        <w:ind w:right="-134" w:rightChars="-48" w:firstLine="560"/>
        <w:rPr>
          <w:color w:val="000000"/>
        </w:rPr>
      </w:pPr>
      <w:r>
        <w:rPr>
          <w:rFonts w:hint="eastAsia"/>
        </w:rPr>
        <w:t>淮北市近期</w:t>
      </w:r>
      <w:r>
        <w:t>中小学教育基地建设项目见表</w:t>
      </w:r>
      <w:r>
        <w:rPr>
          <w:rFonts w:hint="eastAsia"/>
        </w:rPr>
        <w:t>8-10。</w:t>
      </w:r>
    </w:p>
    <w:p>
      <w:pPr>
        <w:pStyle w:val="105"/>
        <w:spacing w:before="120" w:after="72"/>
        <w:rPr>
          <w:color w:val="000000"/>
        </w:rPr>
      </w:pPr>
      <w:r>
        <w:rPr>
          <w:rFonts w:hint="eastAsia"/>
          <w:color w:val="000000"/>
        </w:rPr>
        <w:t>表</w:t>
      </w:r>
      <w:r>
        <w:rPr>
          <w:color w:val="000000"/>
        </w:rPr>
        <w:t>8-</w:t>
      </w:r>
      <w:r>
        <w:rPr>
          <w:rFonts w:hint="eastAsia"/>
          <w:color w:val="000000"/>
        </w:rPr>
        <w:t>10</w:t>
      </w:r>
      <w:r>
        <w:rPr>
          <w:color w:val="000000"/>
        </w:rPr>
        <w:t xml:space="preserve"> </w:t>
      </w:r>
      <w:r>
        <w:rPr>
          <w:rFonts w:hint="eastAsia"/>
          <w:color w:val="000000"/>
        </w:rPr>
        <w:t>淮北市近期中小学</w:t>
      </w:r>
      <w:r>
        <w:rPr>
          <w:color w:val="000000"/>
        </w:rPr>
        <w:t>教育基地建设项目</w:t>
      </w:r>
    </w:p>
    <w:tbl>
      <w:tblPr>
        <w:tblStyle w:val="39"/>
        <w:tblW w:w="10326" w:type="dxa"/>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877"/>
        <w:gridCol w:w="1537"/>
        <w:gridCol w:w="2856"/>
        <w:gridCol w:w="1795"/>
        <w:gridCol w:w="1632"/>
        <w:gridCol w:w="1629"/>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877" w:type="dxa"/>
            <w:shd w:val="clear" w:color="auto" w:fill="auto"/>
            <w:vAlign w:val="center"/>
          </w:tcPr>
          <w:p>
            <w:pPr>
              <w:pStyle w:val="72"/>
            </w:pPr>
            <w:r>
              <w:rPr>
                <w:rFonts w:hint="eastAsia"/>
              </w:rPr>
              <w:t>序号</w:t>
            </w:r>
          </w:p>
        </w:tc>
        <w:tc>
          <w:tcPr>
            <w:tcW w:w="1537" w:type="dxa"/>
            <w:shd w:val="clear" w:color="auto" w:fill="auto"/>
            <w:vAlign w:val="center"/>
          </w:tcPr>
          <w:p>
            <w:pPr>
              <w:pStyle w:val="72"/>
            </w:pPr>
            <w:r>
              <w:rPr>
                <w:rFonts w:hint="eastAsia"/>
              </w:rPr>
              <w:t>项目</w:t>
            </w:r>
            <w:r>
              <w:t>类别</w:t>
            </w:r>
          </w:p>
        </w:tc>
        <w:tc>
          <w:tcPr>
            <w:tcW w:w="2856" w:type="dxa"/>
            <w:shd w:val="clear" w:color="auto" w:fill="auto"/>
            <w:vAlign w:val="center"/>
          </w:tcPr>
          <w:p>
            <w:pPr>
              <w:pStyle w:val="72"/>
            </w:pPr>
            <w:r>
              <w:rPr>
                <w:rFonts w:hint="eastAsia"/>
              </w:rPr>
              <w:t>项目名称</w:t>
            </w:r>
          </w:p>
        </w:tc>
        <w:tc>
          <w:tcPr>
            <w:tcW w:w="1795" w:type="dxa"/>
            <w:shd w:val="clear" w:color="auto" w:fill="auto"/>
            <w:vAlign w:val="center"/>
          </w:tcPr>
          <w:p>
            <w:pPr>
              <w:pStyle w:val="72"/>
            </w:pPr>
            <w:r>
              <w:rPr>
                <w:rFonts w:hint="eastAsia"/>
              </w:rPr>
              <w:t>主要</w:t>
            </w:r>
            <w:r>
              <w:t>建设内容</w:t>
            </w:r>
          </w:p>
        </w:tc>
        <w:tc>
          <w:tcPr>
            <w:tcW w:w="1632" w:type="dxa"/>
            <w:shd w:val="clear" w:color="auto" w:fill="auto"/>
            <w:vAlign w:val="center"/>
          </w:tcPr>
          <w:p>
            <w:pPr>
              <w:pStyle w:val="72"/>
            </w:pPr>
            <w:r>
              <w:rPr>
                <w:rFonts w:hint="eastAsia"/>
              </w:rPr>
              <w:t>建设时间</w:t>
            </w:r>
          </w:p>
        </w:tc>
        <w:tc>
          <w:tcPr>
            <w:tcW w:w="1629" w:type="dxa"/>
            <w:shd w:val="clear" w:color="auto" w:fill="auto"/>
            <w:vAlign w:val="center"/>
          </w:tcPr>
          <w:p>
            <w:pPr>
              <w:pStyle w:val="72"/>
            </w:pPr>
            <w:r>
              <w:rPr>
                <w:rFonts w:hint="eastAsia"/>
              </w:rPr>
              <w:t>投资</w:t>
            </w:r>
            <w:r>
              <w:t>（万元）</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877" w:type="dxa"/>
            <w:shd w:val="clear" w:color="auto" w:fill="auto"/>
            <w:vAlign w:val="center"/>
          </w:tcPr>
          <w:p>
            <w:pPr>
              <w:pStyle w:val="72"/>
            </w:pPr>
            <w:r>
              <w:rPr>
                <w:rFonts w:hint="eastAsia"/>
              </w:rPr>
              <w:t>1</w:t>
            </w:r>
          </w:p>
        </w:tc>
        <w:tc>
          <w:tcPr>
            <w:tcW w:w="1537" w:type="dxa"/>
            <w:shd w:val="clear" w:color="auto" w:fill="auto"/>
            <w:vAlign w:val="center"/>
          </w:tcPr>
          <w:p>
            <w:pPr>
              <w:pStyle w:val="72"/>
            </w:pPr>
            <w:r>
              <w:rPr>
                <w:rFonts w:hint="eastAsia"/>
              </w:rPr>
              <w:t>节水教育基地</w:t>
            </w:r>
          </w:p>
        </w:tc>
        <w:tc>
          <w:tcPr>
            <w:tcW w:w="2856" w:type="dxa"/>
            <w:shd w:val="clear" w:color="auto" w:fill="auto"/>
            <w:vAlign w:val="center"/>
          </w:tcPr>
          <w:p>
            <w:pPr>
              <w:pStyle w:val="72"/>
            </w:pPr>
            <w:r>
              <w:rPr>
                <w:rFonts w:hint="eastAsia"/>
              </w:rPr>
              <w:t>淮北市自来水公司</w:t>
            </w:r>
            <w:r>
              <w:t>中小学节水教育实践基地</w:t>
            </w:r>
          </w:p>
        </w:tc>
        <w:tc>
          <w:tcPr>
            <w:tcW w:w="1795" w:type="dxa"/>
            <w:shd w:val="clear" w:color="auto" w:fill="auto"/>
            <w:vAlign w:val="center"/>
          </w:tcPr>
          <w:p>
            <w:pPr>
              <w:pStyle w:val="72"/>
            </w:pPr>
            <w:r>
              <w:rPr>
                <w:rFonts w:hint="eastAsia"/>
              </w:rPr>
              <w:t>中小学</w:t>
            </w:r>
            <w:r>
              <w:t>教育基础设施</w:t>
            </w:r>
          </w:p>
        </w:tc>
        <w:tc>
          <w:tcPr>
            <w:tcW w:w="1632" w:type="dxa"/>
            <w:shd w:val="clear" w:color="auto" w:fill="auto"/>
            <w:vAlign w:val="center"/>
          </w:tcPr>
          <w:p>
            <w:pPr>
              <w:pStyle w:val="72"/>
            </w:pPr>
            <w:r>
              <w:rPr>
                <w:rFonts w:hint="eastAsia"/>
              </w:rPr>
              <w:t>2018~2020</w:t>
            </w:r>
          </w:p>
        </w:tc>
        <w:tc>
          <w:tcPr>
            <w:tcW w:w="1629" w:type="dxa"/>
            <w:shd w:val="clear" w:color="auto" w:fill="auto"/>
            <w:vAlign w:val="center"/>
          </w:tcPr>
          <w:p>
            <w:pPr>
              <w:pStyle w:val="72"/>
            </w:pPr>
            <w:r>
              <w:rPr>
                <w:rFonts w:hint="eastAsia"/>
              </w:rPr>
              <w:t>10</w:t>
            </w:r>
            <w:r>
              <w:t>.0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877" w:type="dxa"/>
            <w:shd w:val="clear" w:color="auto" w:fill="auto"/>
            <w:vAlign w:val="center"/>
          </w:tcPr>
          <w:p>
            <w:pPr>
              <w:pStyle w:val="72"/>
            </w:pPr>
            <w:r>
              <w:rPr>
                <w:rFonts w:hint="eastAsia"/>
              </w:rPr>
              <w:t>2</w:t>
            </w:r>
          </w:p>
        </w:tc>
        <w:tc>
          <w:tcPr>
            <w:tcW w:w="1537" w:type="dxa"/>
            <w:shd w:val="clear" w:color="auto" w:fill="auto"/>
            <w:vAlign w:val="center"/>
          </w:tcPr>
          <w:p>
            <w:pPr>
              <w:pStyle w:val="72"/>
            </w:pPr>
            <w:r>
              <w:rPr>
                <w:rFonts w:hint="eastAsia"/>
              </w:rPr>
              <w:t>节水教育基地</w:t>
            </w:r>
          </w:p>
        </w:tc>
        <w:tc>
          <w:tcPr>
            <w:tcW w:w="2856" w:type="dxa"/>
            <w:shd w:val="clear" w:color="auto" w:fill="auto"/>
            <w:vAlign w:val="center"/>
          </w:tcPr>
          <w:p>
            <w:pPr>
              <w:pStyle w:val="72"/>
            </w:pPr>
            <w:r>
              <w:rPr>
                <w:rFonts w:hint="eastAsia"/>
              </w:rPr>
              <w:t>淮北市丁楼</w:t>
            </w:r>
            <w:r>
              <w:t>污水处理厂中小学生节水教育基地</w:t>
            </w:r>
          </w:p>
        </w:tc>
        <w:tc>
          <w:tcPr>
            <w:tcW w:w="1795" w:type="dxa"/>
            <w:shd w:val="clear" w:color="auto" w:fill="auto"/>
            <w:vAlign w:val="center"/>
          </w:tcPr>
          <w:p>
            <w:pPr>
              <w:pStyle w:val="72"/>
            </w:pPr>
            <w:r>
              <w:rPr>
                <w:rFonts w:hint="eastAsia"/>
              </w:rPr>
              <w:t>中小学教育基础设施</w:t>
            </w:r>
          </w:p>
        </w:tc>
        <w:tc>
          <w:tcPr>
            <w:tcW w:w="1632" w:type="dxa"/>
            <w:shd w:val="clear" w:color="auto" w:fill="auto"/>
            <w:vAlign w:val="center"/>
          </w:tcPr>
          <w:p>
            <w:pPr>
              <w:pStyle w:val="72"/>
            </w:pPr>
            <w:r>
              <w:rPr>
                <w:rFonts w:hint="eastAsia"/>
              </w:rPr>
              <w:t>2018~2020</w:t>
            </w:r>
          </w:p>
        </w:tc>
        <w:tc>
          <w:tcPr>
            <w:tcW w:w="1629" w:type="dxa"/>
            <w:shd w:val="clear" w:color="auto" w:fill="auto"/>
            <w:vAlign w:val="center"/>
          </w:tcPr>
          <w:p>
            <w:pPr>
              <w:pStyle w:val="72"/>
            </w:pPr>
            <w:r>
              <w:rPr>
                <w:rFonts w:hint="eastAsia"/>
              </w:rPr>
              <w:t>10</w:t>
            </w:r>
            <w:r>
              <w:t>.0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c>
          <w:tcPr>
            <w:tcW w:w="8697" w:type="dxa"/>
            <w:gridSpan w:val="5"/>
            <w:shd w:val="clear" w:color="auto" w:fill="auto"/>
            <w:vAlign w:val="center"/>
          </w:tcPr>
          <w:p>
            <w:pPr>
              <w:pStyle w:val="72"/>
            </w:pPr>
            <w:r>
              <w:rPr>
                <w:rFonts w:hint="eastAsia"/>
              </w:rPr>
              <w:t>合计</w:t>
            </w:r>
          </w:p>
        </w:tc>
        <w:tc>
          <w:tcPr>
            <w:tcW w:w="1629" w:type="dxa"/>
            <w:shd w:val="clear" w:color="auto" w:fill="auto"/>
            <w:vAlign w:val="center"/>
          </w:tcPr>
          <w:p>
            <w:pPr>
              <w:pStyle w:val="72"/>
            </w:pPr>
            <w:r>
              <w:rPr>
                <w:rFonts w:hint="eastAsia"/>
              </w:rPr>
              <w:t>20</w:t>
            </w:r>
          </w:p>
        </w:tc>
      </w:tr>
    </w:tbl>
    <w:p>
      <w:pPr>
        <w:pStyle w:val="3"/>
        <w:spacing w:before="120" w:after="60"/>
        <w:ind w:firstLine="602"/>
        <w:rPr>
          <w:rFonts w:ascii="Times New Roman" w:hAnsi="Times New Roman"/>
        </w:rPr>
      </w:pPr>
      <w:bookmarkStart w:id="482" w:name="_Toc8032672"/>
      <w:bookmarkStart w:id="483" w:name="_Toc531180170"/>
      <w:r>
        <w:rPr>
          <w:rFonts w:ascii="Times New Roman" w:hAnsi="Times New Roman"/>
        </w:rPr>
        <w:t>8.9</w:t>
      </w:r>
      <w:r>
        <w:rPr>
          <w:rFonts w:hint="eastAsia" w:ascii="Times New Roman" w:hAnsi="Times New Roman"/>
        </w:rPr>
        <w:t xml:space="preserve"> 投资</w:t>
      </w:r>
      <w:bookmarkEnd w:id="474"/>
      <w:r>
        <w:rPr>
          <w:rFonts w:hint="eastAsia" w:ascii="Times New Roman" w:hAnsi="Times New Roman"/>
        </w:rPr>
        <w:t>估算</w:t>
      </w:r>
      <w:bookmarkEnd w:id="475"/>
      <w:r>
        <w:rPr>
          <w:rFonts w:hint="eastAsia" w:ascii="Times New Roman" w:hAnsi="Times New Roman"/>
        </w:rPr>
        <w:t>及来源分析</w:t>
      </w:r>
      <w:bookmarkEnd w:id="482"/>
      <w:bookmarkEnd w:id="483"/>
    </w:p>
    <w:p>
      <w:pPr>
        <w:pStyle w:val="4"/>
        <w:ind w:left="0" w:leftChars="0" w:firstLine="747" w:firstLineChars="245"/>
      </w:pPr>
      <w:bookmarkStart w:id="484" w:name="_Toc531180171"/>
      <w:bookmarkStart w:id="485" w:name="_Toc8032673"/>
      <w:bookmarkStart w:id="486" w:name="_Toc514062640"/>
      <w:r>
        <w:t>8.9</w:t>
      </w:r>
      <w:r>
        <w:rPr>
          <w:rFonts w:hint="eastAsia"/>
        </w:rPr>
        <w:t>.1节水投资估算</w:t>
      </w:r>
      <w:bookmarkEnd w:id="484"/>
      <w:bookmarkEnd w:id="485"/>
      <w:bookmarkEnd w:id="486"/>
    </w:p>
    <w:p>
      <w:pPr>
        <w:pStyle w:val="5"/>
        <w:spacing w:before="120"/>
      </w:pPr>
      <w:bookmarkStart w:id="487" w:name="_Toc8032674"/>
      <w:r>
        <w:rPr>
          <w:rFonts w:hint="eastAsia"/>
        </w:rPr>
        <w:t>8.9.1.1 节水投资估算汇总</w:t>
      </w:r>
      <w:bookmarkEnd w:id="487"/>
    </w:p>
    <w:p>
      <w:pPr>
        <w:snapToGrid w:val="0"/>
        <w:ind w:right="-134" w:rightChars="-48" w:firstLine="560"/>
      </w:pPr>
      <w:r>
        <w:rPr>
          <w:rFonts w:hint="eastAsia"/>
        </w:rPr>
        <w:t>根据以上工业节水重点工程、生活节水重点工程、非常规水源利用重点工程、能力建设工程以及节水教育基地建设工程等五个方面投资匡算，投资汇总如下表8-11。</w:t>
      </w:r>
    </w:p>
    <w:p>
      <w:pPr>
        <w:pStyle w:val="105"/>
        <w:spacing w:before="120" w:after="72"/>
        <w:rPr>
          <w:color w:val="000000"/>
        </w:rPr>
      </w:pPr>
      <w:r>
        <w:rPr>
          <w:rFonts w:hint="eastAsia"/>
          <w:color w:val="000000"/>
        </w:rPr>
        <w:t>表</w:t>
      </w:r>
      <w:r>
        <w:rPr>
          <w:color w:val="000000"/>
        </w:rPr>
        <w:t>8-</w:t>
      </w:r>
      <w:r>
        <w:rPr>
          <w:rFonts w:hint="eastAsia"/>
          <w:color w:val="000000"/>
        </w:rPr>
        <w:t xml:space="preserve">11 </w:t>
      </w:r>
      <w:r>
        <w:rPr>
          <w:color w:val="000000"/>
        </w:rPr>
        <w:t xml:space="preserve">  </w:t>
      </w:r>
      <w:r>
        <w:rPr>
          <w:rFonts w:hint="eastAsia"/>
          <w:color w:val="000000"/>
        </w:rPr>
        <w:t>201</w:t>
      </w:r>
      <w:r>
        <w:rPr>
          <w:color w:val="000000"/>
        </w:rPr>
        <w:t>8</w:t>
      </w:r>
      <w:r>
        <w:rPr>
          <w:rFonts w:hint="eastAsia"/>
          <w:color w:val="000000"/>
        </w:rPr>
        <w:t>-2035淮北市城市节水重点工程建设投资汇总分析</w:t>
      </w:r>
    </w:p>
    <w:tbl>
      <w:tblPr>
        <w:tblStyle w:val="39"/>
        <w:tblW w:w="10156" w:type="dxa"/>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0" w:type="dxa"/>
          <w:bottom w:w="0" w:type="dxa"/>
          <w:right w:w="0" w:type="dxa"/>
        </w:tblCellMar>
      </w:tblPr>
      <w:tblGrid>
        <w:gridCol w:w="2952"/>
        <w:gridCol w:w="2882"/>
        <w:gridCol w:w="4322"/>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20" w:hRule="atLeast"/>
        </w:trPr>
        <w:tc>
          <w:tcPr>
            <w:tcW w:w="2952" w:type="dxa"/>
            <w:vMerge w:val="restart"/>
            <w:vAlign w:val="center"/>
          </w:tcPr>
          <w:p>
            <w:pPr>
              <w:pStyle w:val="72"/>
            </w:pPr>
            <w:r>
              <w:t>项目名称</w:t>
            </w:r>
          </w:p>
        </w:tc>
        <w:tc>
          <w:tcPr>
            <w:tcW w:w="7204" w:type="dxa"/>
            <w:gridSpan w:val="2"/>
            <w:vAlign w:val="center"/>
          </w:tcPr>
          <w:p>
            <w:pPr>
              <w:pStyle w:val="72"/>
            </w:pPr>
            <w:r>
              <w:t>投资（</w:t>
            </w:r>
            <w:r>
              <w:rPr>
                <w:rFonts w:hint="eastAsia"/>
              </w:rPr>
              <w:t>万</w:t>
            </w:r>
            <w:r>
              <w:t>元）</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2952" w:type="dxa"/>
            <w:vMerge w:val="continue"/>
            <w:vAlign w:val="center"/>
          </w:tcPr>
          <w:p>
            <w:pPr>
              <w:pStyle w:val="72"/>
            </w:pPr>
          </w:p>
        </w:tc>
        <w:tc>
          <w:tcPr>
            <w:tcW w:w="2882" w:type="dxa"/>
            <w:vAlign w:val="center"/>
          </w:tcPr>
          <w:p>
            <w:pPr>
              <w:pStyle w:val="72"/>
            </w:pPr>
            <w:r>
              <w:rPr>
                <w:rFonts w:hint="eastAsia"/>
              </w:rPr>
              <w:t>2018-2020年</w:t>
            </w:r>
          </w:p>
        </w:tc>
        <w:tc>
          <w:tcPr>
            <w:tcW w:w="4322" w:type="dxa"/>
            <w:vAlign w:val="center"/>
          </w:tcPr>
          <w:p>
            <w:pPr>
              <w:pStyle w:val="72"/>
            </w:pPr>
            <w:r>
              <w:rPr>
                <w:rFonts w:hint="eastAsia"/>
              </w:rPr>
              <w:t>2021-2035年</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00" w:hRule="atLeast"/>
        </w:trPr>
        <w:tc>
          <w:tcPr>
            <w:tcW w:w="2952" w:type="dxa"/>
            <w:vAlign w:val="center"/>
          </w:tcPr>
          <w:p>
            <w:pPr>
              <w:pStyle w:val="72"/>
            </w:pPr>
            <w:r>
              <w:t>工业节水</w:t>
            </w:r>
            <w:r>
              <w:rPr>
                <w:rFonts w:hint="eastAsia"/>
              </w:rPr>
              <w:t>工程</w:t>
            </w:r>
          </w:p>
        </w:tc>
        <w:tc>
          <w:tcPr>
            <w:tcW w:w="2882" w:type="dxa"/>
            <w:vAlign w:val="center"/>
          </w:tcPr>
          <w:p>
            <w:pPr>
              <w:pStyle w:val="72"/>
            </w:pPr>
            <w:r>
              <w:t>560</w:t>
            </w:r>
          </w:p>
        </w:tc>
        <w:tc>
          <w:tcPr>
            <w:tcW w:w="4322" w:type="dxa"/>
            <w:vMerge w:val="restart"/>
            <w:vAlign w:val="center"/>
          </w:tcPr>
          <w:p>
            <w:pPr>
              <w:pStyle w:val="72"/>
            </w:pPr>
            <w:r>
              <w:t>12500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PrEx>
        <w:trPr>
          <w:trHeight w:val="300" w:hRule="atLeast"/>
        </w:trPr>
        <w:tc>
          <w:tcPr>
            <w:tcW w:w="2952" w:type="dxa"/>
            <w:vAlign w:val="center"/>
          </w:tcPr>
          <w:p>
            <w:pPr>
              <w:pStyle w:val="72"/>
            </w:pPr>
            <w:r>
              <w:rPr>
                <w:rFonts w:hint="eastAsia"/>
              </w:rPr>
              <w:t>生活节水工程</w:t>
            </w:r>
          </w:p>
        </w:tc>
        <w:tc>
          <w:tcPr>
            <w:tcW w:w="2882" w:type="dxa"/>
            <w:vAlign w:val="center"/>
          </w:tcPr>
          <w:p>
            <w:pPr>
              <w:pStyle w:val="72"/>
            </w:pPr>
            <w:r>
              <w:rPr>
                <w:rFonts w:hint="eastAsia"/>
              </w:rPr>
              <w:t>3500</w:t>
            </w:r>
          </w:p>
        </w:tc>
        <w:tc>
          <w:tcPr>
            <w:tcW w:w="4322" w:type="dxa"/>
            <w:vMerge w:val="continue"/>
            <w:vAlign w:val="center"/>
          </w:tcPr>
          <w:p>
            <w:pPr>
              <w:pStyle w:val="72"/>
              <w:rPr>
                <w:rStyle w:val="45"/>
                <w:iCs w:val="0"/>
                <w:color w:val="auto"/>
                <w:sz w:val="21"/>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00" w:hRule="atLeast"/>
        </w:trPr>
        <w:tc>
          <w:tcPr>
            <w:tcW w:w="2952" w:type="dxa"/>
            <w:vAlign w:val="center"/>
          </w:tcPr>
          <w:p>
            <w:pPr>
              <w:pStyle w:val="72"/>
            </w:pPr>
            <w:r>
              <w:t>非常规水源利用工</w:t>
            </w:r>
            <w:r>
              <w:rPr>
                <w:rFonts w:hint="eastAsia"/>
              </w:rPr>
              <w:t>程</w:t>
            </w:r>
          </w:p>
        </w:tc>
        <w:tc>
          <w:tcPr>
            <w:tcW w:w="2882" w:type="dxa"/>
            <w:vAlign w:val="center"/>
          </w:tcPr>
          <w:p>
            <w:pPr>
              <w:pStyle w:val="72"/>
            </w:pPr>
            <w:r>
              <w:rPr>
                <w:rFonts w:hint="eastAsia"/>
              </w:rPr>
              <w:t>7249</w:t>
            </w:r>
            <w:r>
              <w:t>.15</w:t>
            </w:r>
          </w:p>
        </w:tc>
        <w:tc>
          <w:tcPr>
            <w:tcW w:w="4322" w:type="dxa"/>
            <w:vMerge w:val="continue"/>
            <w:vAlign w:val="center"/>
          </w:tcPr>
          <w:p>
            <w:pPr>
              <w:pStyle w:val="72"/>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00" w:hRule="atLeast"/>
        </w:trPr>
        <w:tc>
          <w:tcPr>
            <w:tcW w:w="2952" w:type="dxa"/>
            <w:vAlign w:val="center"/>
          </w:tcPr>
          <w:p>
            <w:pPr>
              <w:pStyle w:val="72"/>
            </w:pPr>
            <w:r>
              <w:t>能力建设</w:t>
            </w:r>
            <w:r>
              <w:rPr>
                <w:rFonts w:hint="eastAsia"/>
              </w:rPr>
              <w:t>工程</w:t>
            </w:r>
          </w:p>
        </w:tc>
        <w:tc>
          <w:tcPr>
            <w:tcW w:w="2882" w:type="dxa"/>
            <w:vAlign w:val="center"/>
          </w:tcPr>
          <w:p>
            <w:pPr>
              <w:pStyle w:val="72"/>
            </w:pPr>
            <w:r>
              <w:rPr>
                <w:rFonts w:hint="eastAsia"/>
              </w:rPr>
              <w:t>200</w:t>
            </w:r>
          </w:p>
        </w:tc>
        <w:tc>
          <w:tcPr>
            <w:tcW w:w="4322" w:type="dxa"/>
            <w:vAlign w:val="center"/>
          </w:tcPr>
          <w:p>
            <w:pPr>
              <w:pStyle w:val="72"/>
            </w:pPr>
            <w:r>
              <w:rPr>
                <w:rFonts w:hint="eastAsia"/>
              </w:rPr>
              <w:t>1000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00" w:hRule="atLeast"/>
        </w:trPr>
        <w:tc>
          <w:tcPr>
            <w:tcW w:w="2952" w:type="dxa"/>
            <w:vAlign w:val="center"/>
          </w:tcPr>
          <w:p>
            <w:pPr>
              <w:pStyle w:val="72"/>
            </w:pPr>
            <w:r>
              <w:rPr>
                <w:rFonts w:hint="eastAsia"/>
              </w:rPr>
              <w:t>节水教育工程</w:t>
            </w:r>
          </w:p>
        </w:tc>
        <w:tc>
          <w:tcPr>
            <w:tcW w:w="2882" w:type="dxa"/>
            <w:vAlign w:val="center"/>
          </w:tcPr>
          <w:p>
            <w:pPr>
              <w:pStyle w:val="72"/>
            </w:pPr>
            <w:r>
              <w:rPr>
                <w:rFonts w:hint="eastAsia"/>
              </w:rPr>
              <w:t>420</w:t>
            </w:r>
          </w:p>
        </w:tc>
        <w:tc>
          <w:tcPr>
            <w:tcW w:w="4322" w:type="dxa"/>
            <w:vAlign w:val="center"/>
          </w:tcPr>
          <w:p>
            <w:pPr>
              <w:pStyle w:val="72"/>
            </w:pPr>
            <w:r>
              <w:rPr>
                <w:rFonts w:hint="eastAsia"/>
              </w:rPr>
              <w:t>1150</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0" w:type="dxa"/>
            <w:bottom w:w="0" w:type="dxa"/>
            <w:right w:w="0" w:type="dxa"/>
          </w:tblCellMar>
        </w:tblPrEx>
        <w:trPr>
          <w:trHeight w:val="300" w:hRule="atLeast"/>
        </w:trPr>
        <w:tc>
          <w:tcPr>
            <w:tcW w:w="2952" w:type="dxa"/>
            <w:vAlign w:val="center"/>
          </w:tcPr>
          <w:p>
            <w:pPr>
              <w:pStyle w:val="72"/>
            </w:pPr>
            <w:r>
              <w:t>合</w:t>
            </w:r>
            <w:r>
              <w:tab/>
            </w:r>
            <w:r>
              <w:t>计</w:t>
            </w:r>
          </w:p>
        </w:tc>
        <w:tc>
          <w:tcPr>
            <w:tcW w:w="2882" w:type="dxa"/>
            <w:vAlign w:val="center"/>
          </w:tcPr>
          <w:p>
            <w:pPr>
              <w:pStyle w:val="72"/>
            </w:pPr>
            <w:r>
              <w:rPr>
                <w:rFonts w:hint="eastAsia"/>
              </w:rPr>
              <w:t>11909</w:t>
            </w:r>
            <w:r>
              <w:t>.15</w:t>
            </w:r>
          </w:p>
        </w:tc>
        <w:tc>
          <w:tcPr>
            <w:tcW w:w="4322" w:type="dxa"/>
            <w:vAlign w:val="center"/>
          </w:tcPr>
          <w:p>
            <w:pPr>
              <w:pStyle w:val="72"/>
            </w:pPr>
            <w:r>
              <w:rPr>
                <w:rFonts w:hint="eastAsia"/>
              </w:rPr>
              <w:t>14650</w:t>
            </w:r>
          </w:p>
        </w:tc>
      </w:tr>
    </w:tbl>
    <w:p>
      <w:pPr>
        <w:pStyle w:val="4"/>
        <w:ind w:left="0" w:leftChars="0" w:firstLine="747" w:firstLineChars="245"/>
      </w:pPr>
      <w:bookmarkStart w:id="488" w:name="_Toc514062641"/>
      <w:bookmarkStart w:id="489" w:name="_Toc531180172"/>
      <w:bookmarkStart w:id="490" w:name="_Toc8032675"/>
      <w:r>
        <w:t>8</w:t>
      </w:r>
      <w:r>
        <w:rPr>
          <w:rFonts w:hint="eastAsia"/>
        </w:rPr>
        <w:t>.9.2重点工程资金来源</w:t>
      </w:r>
      <w:bookmarkEnd w:id="488"/>
      <w:bookmarkEnd w:id="489"/>
      <w:bookmarkEnd w:id="490"/>
    </w:p>
    <w:p>
      <w:pPr>
        <w:pStyle w:val="5"/>
        <w:spacing w:before="120"/>
      </w:pPr>
      <w:bookmarkStart w:id="491" w:name="_Toc8032676"/>
      <w:bookmarkStart w:id="492" w:name="_Toc514062642"/>
      <w:r>
        <w:t>8.</w:t>
      </w:r>
      <w:r>
        <w:rPr>
          <w:rFonts w:hint="eastAsia"/>
        </w:rPr>
        <w:t>9</w:t>
      </w:r>
      <w:r>
        <w:t>.</w:t>
      </w:r>
      <w:r>
        <w:rPr>
          <w:rFonts w:hint="eastAsia"/>
        </w:rPr>
        <w:t>2.1</w:t>
      </w:r>
      <w:r>
        <w:t>加大政府投入</w:t>
      </w:r>
      <w:bookmarkEnd w:id="491"/>
      <w:bookmarkEnd w:id="492"/>
    </w:p>
    <w:p>
      <w:pPr>
        <w:snapToGrid w:val="0"/>
        <w:ind w:right="-134" w:rightChars="-48" w:firstLine="560"/>
      </w:pPr>
      <w:r>
        <w:t>国家节水型城市要求，城市节水专项财政投入占本级财政支出的比例≥0.5‰。《城市节水评价标准》中规定，城市节水财政投入占本级财政支出的比例≥0.3‰。政府需建立长效、稳定的节水专项财政来源和投入制度，保障节水专项资金的申请和发放。经费来源应以非居民用水超定额计划累进加价费为基础，部分水资源费、政府财政拨款等，组成节水专项资金，专款专用。</w:t>
      </w:r>
    </w:p>
    <w:p>
      <w:pPr>
        <w:snapToGrid w:val="0"/>
        <w:ind w:right="-134" w:rightChars="-48" w:firstLine="560"/>
      </w:pPr>
      <w:r>
        <w:t>政府要重点支持与节水相关的项目和工作。将节水工作经费列入财政年度预算，明细清晰。包括：</w:t>
      </w:r>
    </w:p>
    <w:p>
      <w:pPr>
        <w:snapToGrid w:val="0"/>
        <w:ind w:right="-134" w:rightChars="-48" w:firstLine="560"/>
      </w:pPr>
      <w:r>
        <w:t>1.节水器具、技术、工艺的研究和推广，节水设施建设补助；</w:t>
      </w:r>
    </w:p>
    <w:p>
      <w:pPr>
        <w:snapToGrid w:val="0"/>
        <w:ind w:right="-134" w:rightChars="-48" w:firstLine="560"/>
      </w:pPr>
      <w:r>
        <w:t>2.再生水、雨水等非传统水资源利用设施建设；</w:t>
      </w:r>
    </w:p>
    <w:p>
      <w:pPr>
        <w:snapToGrid w:val="0"/>
        <w:ind w:right="-134" w:rightChars="-48" w:firstLine="560"/>
      </w:pPr>
      <w:r>
        <w:t>3.节水培训、水平衡测试、用水节水评估、节水专项（编制节水规划、节水信息化建设、新技术推广）；</w:t>
      </w:r>
    </w:p>
    <w:p>
      <w:pPr>
        <w:snapToGrid w:val="0"/>
        <w:ind w:right="-134" w:rightChars="-48" w:firstLine="560"/>
      </w:pPr>
      <w:r>
        <w:t>4.节水宣传教育；</w:t>
      </w:r>
    </w:p>
    <w:p>
      <w:pPr>
        <w:snapToGrid w:val="0"/>
        <w:ind w:right="-134" w:rightChars="-48" w:firstLine="560"/>
      </w:pPr>
      <w:r>
        <w:t>5.节水个人及企业的奖励、补贴；</w:t>
      </w:r>
    </w:p>
    <w:p>
      <w:pPr>
        <w:snapToGrid w:val="0"/>
        <w:ind w:right="-134" w:rightChars="-48" w:firstLine="560"/>
      </w:pPr>
      <w:r>
        <w:t>6.其他与城市节水管理相关的事项。</w:t>
      </w:r>
    </w:p>
    <w:p>
      <w:pPr>
        <w:pStyle w:val="5"/>
        <w:spacing w:before="120"/>
      </w:pPr>
      <w:bookmarkStart w:id="493" w:name="_Toc514062643"/>
      <w:bookmarkStart w:id="494" w:name="_Toc8032677"/>
      <w:r>
        <w:t>8.9.</w:t>
      </w:r>
      <w:r>
        <w:rPr>
          <w:rFonts w:hint="eastAsia"/>
        </w:rPr>
        <w:t>2.2争取上级财政支持</w:t>
      </w:r>
      <w:bookmarkEnd w:id="493"/>
      <w:bookmarkEnd w:id="494"/>
    </w:p>
    <w:p>
      <w:pPr>
        <w:snapToGrid w:val="0"/>
        <w:ind w:right="-134" w:rightChars="-48" w:firstLine="560"/>
      </w:pPr>
      <w:bookmarkStart w:id="495" w:name="_TOC_250009"/>
      <w:bookmarkEnd w:id="495"/>
      <w:r>
        <w:t>国家财政部、住建部、水利部联合先后开展</w:t>
      </w:r>
      <w:r>
        <w:rPr>
          <w:rFonts w:hint="eastAsia"/>
        </w:rPr>
        <w:t>多</w:t>
      </w:r>
      <w:r>
        <w:t>批全国海绵城市试点建设，中央财政对海绵城市建设重点给予专项资金补助，一定三年，具体补助数额按城市规模分档确定，直辖市每年6亿元，省会城市每年5亿元，其他城市每年4亿元。对采用PPP模式达到一定比例的，将按上述补助基数奖励10%。</w:t>
      </w:r>
    </w:p>
    <w:p>
      <w:pPr>
        <w:snapToGrid w:val="0"/>
        <w:ind w:right="-134" w:rightChars="-48" w:firstLine="560"/>
      </w:pPr>
      <w:r>
        <w:t>海绵城市建设</w:t>
      </w:r>
      <w:r>
        <w:rPr>
          <w:rFonts w:hint="eastAsia"/>
        </w:rPr>
        <w:t>和黑臭水体治理</w:t>
      </w:r>
      <w:r>
        <w:t>的很大部分内容与城市节水是息息相关的，因此，</w:t>
      </w:r>
      <w:r>
        <w:rPr>
          <w:rFonts w:hint="eastAsia"/>
        </w:rPr>
        <w:t>淮北市</w:t>
      </w:r>
      <w:r>
        <w:t>各级各部门应通力合作，积极参与下一轮的国家级、省级海绵城市</w:t>
      </w:r>
      <w:r>
        <w:rPr>
          <w:rFonts w:hint="eastAsia"/>
        </w:rPr>
        <w:t>和</w:t>
      </w:r>
      <w:r>
        <w:t>黑臭水体治理示范城市建设试点</w:t>
      </w:r>
      <w:r>
        <w:rPr>
          <w:rFonts w:hint="eastAsia"/>
        </w:rPr>
        <w:t>和</w:t>
      </w:r>
      <w:r>
        <w:t>城市申报，争取国家、省建设相关资金的支持。</w:t>
      </w:r>
    </w:p>
    <w:p>
      <w:pPr>
        <w:snapToGrid w:val="0"/>
        <w:ind w:right="-134" w:rightChars="-48" w:firstLine="560"/>
      </w:pPr>
      <w:r>
        <w:t>同时，还可以通过申请国家节水专项资金</w:t>
      </w:r>
      <w:r>
        <w:rPr>
          <w:rFonts w:hint="eastAsia"/>
        </w:rPr>
        <w:t>和</w:t>
      </w:r>
      <w:r>
        <w:t>省级节水专项资金等进行资金筹措。</w:t>
      </w:r>
    </w:p>
    <w:p>
      <w:pPr>
        <w:pStyle w:val="5"/>
        <w:spacing w:before="120"/>
      </w:pPr>
      <w:bookmarkStart w:id="496" w:name="_TOC_250008"/>
      <w:bookmarkEnd w:id="496"/>
      <w:bookmarkStart w:id="497" w:name="_Toc514062644"/>
      <w:bookmarkStart w:id="498" w:name="_Toc8032678"/>
      <w:r>
        <w:t>8.9.</w:t>
      </w:r>
      <w:r>
        <w:rPr>
          <w:rFonts w:hint="eastAsia"/>
        </w:rPr>
        <w:t>2.3拓宽</w:t>
      </w:r>
      <w:r>
        <w:t>投融资渠道</w:t>
      </w:r>
      <w:bookmarkEnd w:id="497"/>
      <w:bookmarkEnd w:id="498"/>
    </w:p>
    <w:p>
      <w:pPr>
        <w:snapToGrid w:val="0"/>
        <w:ind w:right="-134" w:rightChars="-48" w:firstLine="560"/>
      </w:pPr>
      <w:r>
        <w:t>鼓励金融机构开展绿色信贷，探索运用互联网+供应链金融方式，加大对</w:t>
      </w:r>
      <w:r>
        <w:rPr>
          <w:rFonts w:hint="eastAsia"/>
        </w:rPr>
        <w:t>城市</w:t>
      </w:r>
      <w:r>
        <w:t>节水改造项目的信贷资金支持。有效发挥政策性银行引导作用，以低息贷款、延长信贷周期等方式，优先支持城镇节水改造项目。鼓励金融资本、民间资本、创业与私募股权基金等设立城镇节水改造产业投资基金，财政资金及地方政府投融资平台可通过认购基金股份等方式予以支持。</w:t>
      </w:r>
    </w:p>
    <w:p>
      <w:pPr>
        <w:spacing w:before="120"/>
        <w:ind w:firstLine="560"/>
      </w:pPr>
    </w:p>
    <w:p>
      <w:pPr>
        <w:spacing w:before="120"/>
        <w:ind w:firstLine="560"/>
      </w:pPr>
    </w:p>
    <w:p>
      <w:pPr>
        <w:pStyle w:val="2"/>
        <w:spacing w:before="120"/>
        <w:ind w:firstLine="0" w:firstLineChars="0"/>
      </w:pPr>
      <w:r>
        <w:br w:type="page"/>
      </w:r>
      <w:bookmarkStart w:id="499" w:name="_Toc531180173"/>
      <w:bookmarkStart w:id="500" w:name="_Toc514651548"/>
      <w:bookmarkStart w:id="501" w:name="_Toc8032680"/>
      <w:bookmarkStart w:id="502" w:name="_Toc500787986"/>
      <w:r>
        <w:rPr>
          <w:rFonts w:hint="eastAsia"/>
        </w:rPr>
        <w:t>第九章  实施预期效果及环境影响评价</w:t>
      </w:r>
      <w:bookmarkEnd w:id="499"/>
      <w:bookmarkEnd w:id="500"/>
      <w:bookmarkEnd w:id="501"/>
    </w:p>
    <w:p>
      <w:pPr>
        <w:snapToGrid w:val="0"/>
        <w:ind w:right="-134" w:rightChars="-48" w:firstLine="560"/>
      </w:pPr>
      <w:r>
        <w:rPr>
          <w:rFonts w:hint="eastAsia"/>
        </w:rPr>
        <w:t>水资源是社会经济发展的重要物质基础，控制水资源消耗总量和强度，提高用水效率，是促进地方经济社会可持续发展、实现水资源的可持续利用和生态文明建设的重要途径。《淮北市城市节约用水专项规划（2018-2035）》的编制，通过以节水减污为核心的城市节约用水体系构建，提高本地区用水效率，减少废污水排放，建设水生态文明，促进水资源可持续利用，保障经济社会的持续、协调发展。节水型城市建设的效果主要体现在经济效益、社会效益和生态环境效益三个方面，具体分析如下。</w:t>
      </w:r>
    </w:p>
    <w:p>
      <w:pPr>
        <w:pStyle w:val="3"/>
        <w:spacing w:before="120" w:after="60"/>
        <w:ind w:firstLine="602"/>
        <w:rPr>
          <w:rFonts w:ascii="Times New Roman" w:hAnsi="Times New Roman"/>
        </w:rPr>
      </w:pPr>
      <w:bookmarkStart w:id="503" w:name="_Toc8032681"/>
      <w:bookmarkStart w:id="504" w:name="_Toc20664"/>
      <w:bookmarkStart w:id="505" w:name="_Toc514651549"/>
      <w:bookmarkStart w:id="506" w:name="_Toc531180174"/>
      <w:bookmarkStart w:id="507" w:name="_Toc504305629"/>
      <w:bookmarkStart w:id="508" w:name="_Toc397599440"/>
      <w:bookmarkStart w:id="509" w:name="_Toc504305320"/>
      <w:r>
        <w:rPr>
          <w:rFonts w:hint="eastAsia" w:ascii="Times New Roman" w:hAnsi="Times New Roman"/>
        </w:rPr>
        <w:t>9.1规划实施经济效益评价</w:t>
      </w:r>
      <w:bookmarkEnd w:id="503"/>
      <w:bookmarkEnd w:id="504"/>
      <w:bookmarkEnd w:id="505"/>
      <w:bookmarkEnd w:id="506"/>
      <w:bookmarkEnd w:id="507"/>
      <w:bookmarkEnd w:id="508"/>
      <w:bookmarkEnd w:id="509"/>
    </w:p>
    <w:p>
      <w:pPr>
        <w:snapToGrid w:val="0"/>
        <w:ind w:right="-134" w:rightChars="-48" w:firstLine="560"/>
      </w:pPr>
      <w:r>
        <w:rPr>
          <w:rFonts w:hint="eastAsia"/>
        </w:rPr>
        <w:t>淮北市节约用水规划的实施，有助于大力推动和引领各项节水工作开展，使得水资源利用效率显著提高，</w:t>
      </w:r>
      <w:r>
        <w:t>用水结构逐步优化</w:t>
      </w:r>
      <w:r>
        <w:rPr>
          <w:rFonts w:hint="eastAsia"/>
        </w:rPr>
        <w:t>，缓解水资源严重短缺的状况，减轻大量污水排放对环境造成的巨大压力，大大降低成本，获得良好的经济效益，主要体现在以下方面。</w:t>
      </w:r>
    </w:p>
    <w:p>
      <w:pPr>
        <w:pStyle w:val="4"/>
        <w:ind w:left="0" w:leftChars="0" w:firstLine="747" w:firstLineChars="245"/>
      </w:pPr>
      <w:bookmarkStart w:id="510" w:name="_Toc504305630"/>
      <w:bookmarkStart w:id="511" w:name="_Toc531180175"/>
      <w:bookmarkStart w:id="512" w:name="_Toc8032682"/>
      <w:bookmarkStart w:id="513" w:name="_Toc267324800"/>
      <w:bookmarkStart w:id="514" w:name="_Toc514651550"/>
      <w:bookmarkStart w:id="515" w:name="_Toc504305321"/>
      <w:r>
        <w:rPr>
          <w:rFonts w:hint="eastAsia"/>
        </w:rPr>
        <w:t>9.1.1</w:t>
      </w:r>
      <w:r>
        <w:t>水资源利用效率显著提高</w:t>
      </w:r>
      <w:bookmarkEnd w:id="510"/>
      <w:bookmarkEnd w:id="511"/>
      <w:bookmarkEnd w:id="512"/>
      <w:bookmarkEnd w:id="513"/>
      <w:bookmarkEnd w:id="514"/>
      <w:bookmarkEnd w:id="515"/>
    </w:p>
    <w:p>
      <w:pPr>
        <w:snapToGrid w:val="0"/>
        <w:ind w:right="-134" w:rightChars="-48" w:firstLine="560"/>
      </w:pPr>
      <w:r>
        <w:t>通过</w:t>
      </w:r>
      <w:r>
        <w:rPr>
          <w:rFonts w:hint="eastAsia"/>
        </w:rPr>
        <w:t>淮北市节约用水规划的实施</w:t>
      </w:r>
      <w:r>
        <w:t>，可</w:t>
      </w:r>
      <w:r>
        <w:rPr>
          <w:rFonts w:hint="eastAsia"/>
        </w:rPr>
        <w:t>进一步</w:t>
      </w:r>
      <w:r>
        <w:t>建立健全水资源管理制度</w:t>
      </w:r>
      <w:r>
        <w:rPr>
          <w:rFonts w:hint="eastAsia"/>
        </w:rPr>
        <w:t>，实现水资源优化配置与高效利用，提高水资源利用效率，切实控制用水总量，促进地区发展方式转变及产业结构调整</w:t>
      </w:r>
      <w:r>
        <w:t>。</w:t>
      </w:r>
      <w:r>
        <w:rPr>
          <w:rFonts w:hint="eastAsia"/>
        </w:rPr>
        <w:t>在城市</w:t>
      </w:r>
      <w:r>
        <w:t>工业用水效率方面，通过</w:t>
      </w:r>
      <w:r>
        <w:rPr>
          <w:rFonts w:hint="eastAsia"/>
        </w:rPr>
        <w:t>合理调整工业布局和产业结构</w:t>
      </w:r>
      <w:r>
        <w:t>，</w:t>
      </w:r>
      <w:r>
        <w:rPr>
          <w:rFonts w:hint="eastAsia"/>
        </w:rPr>
        <w:t>改进高耗水行业节水工艺，</w:t>
      </w:r>
      <w:r>
        <w:t>鼓励发展低耗水高产出产业，</w:t>
      </w:r>
      <w:r>
        <w:rPr>
          <w:rFonts w:hint="eastAsia"/>
        </w:rPr>
        <w:t>积极推进工业企业水平衡测试和提高装表计量率，加强以用水定额管理为基础的工业用水计划管理，全面推进“节水型企业”建设，</w:t>
      </w:r>
      <w:r>
        <w:t>用水效率大大提高</w:t>
      </w:r>
      <w:r>
        <w:rPr>
          <w:rFonts w:hint="eastAsia"/>
        </w:rPr>
        <w:t>，2020年和2035年，全市万元</w:t>
      </w:r>
      <w:r>
        <w:t>GDP</w:t>
      </w:r>
      <w:r>
        <w:rPr>
          <w:rFonts w:hint="eastAsia"/>
        </w:rPr>
        <w:t>用水量由现状的13.81</w:t>
      </w:r>
      <w:r>
        <w:t>m³</w:t>
      </w:r>
      <w:r>
        <w:rPr>
          <w:rFonts w:hint="eastAsia"/>
        </w:rPr>
        <w:t>分别降到12</w:t>
      </w:r>
      <w:r>
        <w:t>m³</w:t>
      </w:r>
      <w:r>
        <w:rPr>
          <w:rFonts w:hint="eastAsia"/>
        </w:rPr>
        <w:t>和10</w:t>
      </w:r>
      <w:r>
        <w:t>m³</w:t>
      </w:r>
      <w:r>
        <w:rPr>
          <w:rFonts w:hint="eastAsia"/>
        </w:rPr>
        <w:t>以下，万元工业增加值用水量由现状的12.29</w:t>
      </w:r>
      <w:r>
        <w:t>m³</w:t>
      </w:r>
      <w:r>
        <w:rPr>
          <w:rFonts w:hint="eastAsia"/>
        </w:rPr>
        <w:t>分别降到</w:t>
      </w:r>
      <w:r>
        <w:t>1</w:t>
      </w:r>
      <w:r>
        <w:rPr>
          <w:rFonts w:hint="eastAsia"/>
        </w:rPr>
        <w:t>2</w:t>
      </w:r>
      <w:r>
        <w:t>m³</w:t>
      </w:r>
      <w:r>
        <w:rPr>
          <w:rFonts w:hint="eastAsia"/>
        </w:rPr>
        <w:t>和</w:t>
      </w:r>
      <w:r>
        <w:t>1</w:t>
      </w:r>
      <w:r>
        <w:rPr>
          <w:rFonts w:hint="eastAsia"/>
        </w:rPr>
        <w:t>0</w:t>
      </w:r>
      <w:r>
        <w:t>m³</w:t>
      </w:r>
      <w:r>
        <w:rPr>
          <w:rFonts w:hint="eastAsia"/>
        </w:rPr>
        <w:t>以下，工业用水重复利用率由现状的83.97%提高到2020年的85%和2035年的88%</w:t>
      </w:r>
      <w:r>
        <w:t>。</w:t>
      </w:r>
      <w:r>
        <w:rPr>
          <w:rFonts w:hint="eastAsia"/>
        </w:rPr>
        <w:t>生活用水方面，节水器具的普及、用水计量的推广、居民节水意识的提高、供水管网的更新改造等因素，明显增加城镇生活节水效益，到2020年，城镇供水管网漏损率降至10%，2035年降至8%。</w:t>
      </w:r>
    </w:p>
    <w:p>
      <w:pPr>
        <w:snapToGrid w:val="0"/>
        <w:ind w:right="-134" w:rightChars="-48" w:firstLine="560"/>
      </w:pPr>
      <w:r>
        <w:rPr>
          <w:rFonts w:hint="eastAsia"/>
        </w:rPr>
        <w:t>规划实施有利于水资源消耗总量和强度控制，通过规划实施，一方面有利于严格水资源开发总量控制；另一方面，有利于促进和提高用水效率的提升，减少无效浪费。此外，通过规划实施加强非常规水资源利用，合理配置区域水资源，促进海绵城市建设。</w:t>
      </w:r>
    </w:p>
    <w:p>
      <w:pPr>
        <w:pStyle w:val="4"/>
        <w:ind w:left="0" w:leftChars="0" w:firstLine="747" w:firstLineChars="245"/>
      </w:pPr>
      <w:bookmarkStart w:id="516" w:name="_Toc504305632"/>
      <w:bookmarkStart w:id="517" w:name="_Toc8032683"/>
      <w:bookmarkStart w:id="518" w:name="_Toc504305323"/>
      <w:bookmarkStart w:id="519" w:name="_Toc267324801"/>
      <w:bookmarkStart w:id="520" w:name="_Toc514651551"/>
      <w:bookmarkStart w:id="521" w:name="_Toc531180176"/>
      <w:r>
        <w:rPr>
          <w:rFonts w:hint="eastAsia"/>
        </w:rPr>
        <w:t>9.1.2</w:t>
      </w:r>
      <w:r>
        <w:t>用水结构逐步优化</w:t>
      </w:r>
      <w:bookmarkEnd w:id="516"/>
      <w:bookmarkEnd w:id="517"/>
      <w:bookmarkEnd w:id="518"/>
      <w:bookmarkEnd w:id="519"/>
      <w:bookmarkEnd w:id="520"/>
      <w:bookmarkEnd w:id="521"/>
    </w:p>
    <w:p>
      <w:pPr>
        <w:spacing w:before="120"/>
        <w:ind w:firstLine="560"/>
      </w:pPr>
      <w:r>
        <w:t>通过节水型</w:t>
      </w:r>
      <w:r>
        <w:rPr>
          <w:rFonts w:hint="eastAsia"/>
        </w:rPr>
        <w:t>城市</w:t>
      </w:r>
      <w:r>
        <w:t>建设，统筹生活、生产、生态用水需求，合理优化用水结构，</w:t>
      </w:r>
      <w:r>
        <w:rPr>
          <w:rFonts w:hint="eastAsia"/>
        </w:rPr>
        <w:t>通过引导工业结构调整和工业企业节水技术改造，提高工业用水效率，逐步降低工业用水比例，提高</w:t>
      </w:r>
      <w:r>
        <w:t>三次产业结构</w:t>
      </w:r>
      <w:r>
        <w:rPr>
          <w:rFonts w:hint="eastAsia"/>
        </w:rPr>
        <w:t>比例</w:t>
      </w:r>
      <w:r>
        <w:t>。第三产业稳健发展</w:t>
      </w:r>
      <w:r>
        <w:rPr>
          <w:rFonts w:hint="eastAsia"/>
        </w:rPr>
        <w:t>，有助于</w:t>
      </w:r>
      <w:r>
        <w:t>经济社会保持全面快速协调发展的态势</w:t>
      </w:r>
      <w:r>
        <w:rPr>
          <w:rFonts w:hint="eastAsia"/>
        </w:rPr>
        <w:t>，</w:t>
      </w:r>
      <w:r>
        <w:t>逐渐</w:t>
      </w:r>
      <w:r>
        <w:rPr>
          <w:rFonts w:hint="eastAsia"/>
        </w:rPr>
        <w:t>形成</w:t>
      </w:r>
      <w:r>
        <w:t>水资源低耗高效的社会经济结构体系。</w:t>
      </w:r>
    </w:p>
    <w:p>
      <w:pPr>
        <w:pStyle w:val="3"/>
        <w:spacing w:before="120" w:after="60"/>
        <w:ind w:firstLine="602"/>
        <w:rPr>
          <w:rFonts w:ascii="Times New Roman" w:hAnsi="Times New Roman"/>
        </w:rPr>
      </w:pPr>
      <w:bookmarkStart w:id="522" w:name="_Toc8032684"/>
      <w:bookmarkStart w:id="523" w:name="_Toc514651552"/>
      <w:bookmarkStart w:id="524" w:name="_Toc397599441"/>
      <w:bookmarkStart w:id="525" w:name="_Toc504305324"/>
      <w:bookmarkStart w:id="526" w:name="_Toc504305633"/>
      <w:bookmarkStart w:id="527" w:name="_Toc531180177"/>
      <w:bookmarkStart w:id="528" w:name="_Toc7848"/>
      <w:r>
        <w:rPr>
          <w:rFonts w:hint="eastAsia" w:ascii="Times New Roman" w:hAnsi="Times New Roman"/>
        </w:rPr>
        <w:t>9.2规划实施社会效益评价</w:t>
      </w:r>
      <w:bookmarkEnd w:id="522"/>
      <w:bookmarkEnd w:id="523"/>
      <w:bookmarkEnd w:id="524"/>
      <w:bookmarkEnd w:id="525"/>
      <w:bookmarkEnd w:id="526"/>
      <w:bookmarkEnd w:id="527"/>
      <w:bookmarkEnd w:id="528"/>
    </w:p>
    <w:p>
      <w:pPr>
        <w:snapToGrid w:val="0"/>
        <w:ind w:right="-134" w:rightChars="-48" w:firstLine="560"/>
      </w:pPr>
      <w:r>
        <w:rPr>
          <w:rFonts w:hint="eastAsia"/>
        </w:rPr>
        <w:t>节水型城市建设是社会进步的标志和城市可持续发展的保障，也是现代化的重要标志；节水型城市建设也是促进人水和谐、推进和谐社会建设的重要战略举措。淮北市节水型城市建设为最终实现区域水资源集约高效利用、经济社会快速发展、人与自然和谐相处，走上生产发展、生活富裕、生态良好、社会文明的可持续发展道路奠定坚实的基础。</w:t>
      </w:r>
    </w:p>
    <w:p>
      <w:pPr>
        <w:pStyle w:val="4"/>
        <w:ind w:left="0" w:leftChars="0" w:firstLine="747" w:firstLineChars="245"/>
        <w:rPr>
          <w:rFonts w:eastAsia="华文细黑"/>
          <w:b w:val="0"/>
          <w:bCs w:val="0"/>
          <w:szCs w:val="18"/>
        </w:rPr>
      </w:pPr>
      <w:bookmarkStart w:id="529" w:name="_Toc267324803"/>
      <w:bookmarkStart w:id="530" w:name="_Toc504305325"/>
      <w:bookmarkStart w:id="531" w:name="_Toc531180178"/>
      <w:bookmarkStart w:id="532" w:name="_Toc514651553"/>
      <w:bookmarkStart w:id="533" w:name="_Toc504305634"/>
      <w:bookmarkStart w:id="534" w:name="_Toc8032685"/>
      <w:r>
        <w:rPr>
          <w:rFonts w:hint="eastAsia"/>
        </w:rPr>
        <w:t>9.2.1</w:t>
      </w:r>
      <w:r>
        <w:t>增强民众的</w:t>
      </w:r>
      <w:r>
        <w:rPr>
          <w:rFonts w:hint="eastAsia"/>
        </w:rPr>
        <w:t>节水</w:t>
      </w:r>
      <w:r>
        <w:t>意识，</w:t>
      </w:r>
      <w:bookmarkEnd w:id="529"/>
      <w:r>
        <w:rPr>
          <w:rFonts w:hint="eastAsia"/>
        </w:rPr>
        <w:t>改善生态环境质量</w:t>
      </w:r>
      <w:bookmarkEnd w:id="530"/>
      <w:bookmarkEnd w:id="531"/>
      <w:bookmarkEnd w:id="532"/>
      <w:bookmarkEnd w:id="533"/>
      <w:bookmarkEnd w:id="534"/>
    </w:p>
    <w:p>
      <w:pPr>
        <w:snapToGrid w:val="0"/>
        <w:ind w:right="-134" w:rightChars="-48" w:firstLine="560"/>
      </w:pPr>
      <w:r>
        <w:rPr>
          <w:rFonts w:hint="eastAsia"/>
        </w:rPr>
        <w:t>节水型城市建设</w:t>
      </w:r>
      <w:r>
        <w:t>将进一步增强全民的水资源节约保护意识，形成自觉节水的社会风尚，增进社会文明。首先</w:t>
      </w:r>
      <w:r>
        <w:rPr>
          <w:rFonts w:hint="eastAsia"/>
        </w:rPr>
        <w:t>，</w:t>
      </w:r>
      <w:r>
        <w:t>通过深入宣传节水，公众</w:t>
      </w:r>
      <w:r>
        <w:rPr>
          <w:rFonts w:hint="eastAsia"/>
        </w:rPr>
        <w:t>的</w:t>
      </w:r>
      <w:r>
        <w:t>水权意识和节约资源</w:t>
      </w:r>
      <w:r>
        <w:rPr>
          <w:rFonts w:hint="eastAsia"/>
        </w:rPr>
        <w:t>的意识均</w:t>
      </w:r>
      <w:r>
        <w:t>明显增强，绝大部分老百姓了解本地</w:t>
      </w:r>
      <w:r>
        <w:rPr>
          <w:rFonts w:hint="eastAsia"/>
        </w:rPr>
        <w:t>节约用水</w:t>
      </w:r>
      <w:r>
        <w:t>的意义和成效，关心节水型</w:t>
      </w:r>
      <w:r>
        <w:rPr>
          <w:rFonts w:hint="eastAsia"/>
        </w:rPr>
        <w:t>城市</w:t>
      </w:r>
      <w:r>
        <w:t>建设的进展，并在日常生活中</w:t>
      </w:r>
      <w:r>
        <w:rPr>
          <w:rFonts w:hint="eastAsia"/>
        </w:rPr>
        <w:t>注重</w:t>
      </w:r>
      <w:r>
        <w:t>节水。</w:t>
      </w:r>
    </w:p>
    <w:p>
      <w:pPr>
        <w:snapToGrid w:val="0"/>
        <w:ind w:right="-134" w:rightChars="-48" w:firstLine="560"/>
      </w:pPr>
      <w:r>
        <w:t>其次，节水减排工程的实施，将减少污染物的排放量，</w:t>
      </w:r>
      <w:r>
        <w:rPr>
          <w:rFonts w:hint="eastAsia"/>
        </w:rPr>
        <w:t>有助于生态环境改善，</w:t>
      </w:r>
      <w:r>
        <w:t>有效保障群众用水安全，</w:t>
      </w:r>
      <w:r>
        <w:rPr>
          <w:rFonts w:hint="eastAsia"/>
        </w:rPr>
        <w:t>提供一个更加的人居环境，企业可以通过节水来改善企业形象，广大民众更可以通过节水来培养发自内心地、主动地爱护资源及环境的行为，在心灵深处树立起与自然和谐共存的观念，并以自己的行为去影响他人，这</w:t>
      </w:r>
      <w:r>
        <w:t>对构建和谐社会、保障城乡社会稳定起到</w:t>
      </w:r>
      <w:r>
        <w:rPr>
          <w:rFonts w:hint="eastAsia"/>
        </w:rPr>
        <w:t>了</w:t>
      </w:r>
      <w:r>
        <w:t>重要作用。</w:t>
      </w:r>
    </w:p>
    <w:p>
      <w:pPr>
        <w:pStyle w:val="4"/>
        <w:ind w:left="0" w:leftChars="0" w:firstLine="747" w:firstLineChars="245"/>
        <w:rPr>
          <w:rFonts w:eastAsia="华文细黑"/>
          <w:b w:val="0"/>
          <w:bCs w:val="0"/>
          <w:szCs w:val="18"/>
        </w:rPr>
      </w:pPr>
      <w:bookmarkStart w:id="535" w:name="_Toc504305326"/>
      <w:bookmarkStart w:id="536" w:name="_Toc267324804"/>
      <w:bookmarkStart w:id="537" w:name="_Toc514651554"/>
      <w:bookmarkStart w:id="538" w:name="_Toc504305635"/>
      <w:bookmarkStart w:id="539" w:name="_Toc8032686"/>
      <w:bookmarkStart w:id="540" w:name="_Toc531180179"/>
      <w:r>
        <w:rPr>
          <w:rFonts w:hint="eastAsia"/>
        </w:rPr>
        <w:t>9.2.2</w:t>
      </w:r>
      <w:r>
        <w:t>规范区域用水秩序，加快产业优化升级</w:t>
      </w:r>
      <w:bookmarkEnd w:id="535"/>
      <w:bookmarkEnd w:id="536"/>
      <w:bookmarkEnd w:id="537"/>
      <w:bookmarkEnd w:id="538"/>
      <w:bookmarkEnd w:id="539"/>
      <w:bookmarkEnd w:id="540"/>
    </w:p>
    <w:p>
      <w:pPr>
        <w:snapToGrid w:val="0"/>
        <w:ind w:right="-134" w:rightChars="-48" w:firstLine="560"/>
      </w:pPr>
      <w:r>
        <w:t>随着节水型</w:t>
      </w:r>
      <w:r>
        <w:rPr>
          <w:rFonts w:hint="eastAsia"/>
        </w:rPr>
        <w:t>城市</w:t>
      </w:r>
      <w:r>
        <w:t>建设进程</w:t>
      </w:r>
      <w:r>
        <w:rPr>
          <w:rFonts w:hint="eastAsia"/>
        </w:rPr>
        <w:t>的</w:t>
      </w:r>
      <w:r>
        <w:t>推进，可进一步完善地方性的水资源管理和节水法规，增强水资源管理和计划用水管理能力，提高用水规范化程度，使区域水资源的开发利用更加规范有序。</w:t>
      </w:r>
    </w:p>
    <w:p>
      <w:pPr>
        <w:snapToGrid w:val="0"/>
        <w:ind w:right="-134" w:rightChars="-48" w:firstLine="560"/>
      </w:pPr>
      <w:r>
        <w:t>在区域用水规范化的基础上，严格控制污染物排放标准和准入制度，发展高新技术产业，促进产业优化升级，加大工业污水治理力度，</w:t>
      </w:r>
      <w:r>
        <w:rPr>
          <w:rFonts w:hint="eastAsia"/>
        </w:rPr>
        <w:t>有助于加快</w:t>
      </w:r>
      <w:r>
        <w:t>形成结构优化、节水减污、</w:t>
      </w:r>
      <w:r>
        <w:rPr>
          <w:rFonts w:hint="eastAsia"/>
        </w:rPr>
        <w:t>生态</w:t>
      </w:r>
      <w:r>
        <w:t>环境</w:t>
      </w:r>
      <w:r>
        <w:rPr>
          <w:rFonts w:hint="eastAsia"/>
        </w:rPr>
        <w:t>和谐的“绿色淮北”</w:t>
      </w:r>
      <w:r>
        <w:t>。</w:t>
      </w:r>
    </w:p>
    <w:p>
      <w:pPr>
        <w:pStyle w:val="3"/>
        <w:spacing w:before="120" w:after="60"/>
        <w:ind w:firstLine="602"/>
        <w:rPr>
          <w:rFonts w:ascii="Times New Roman" w:hAnsi="Times New Roman"/>
        </w:rPr>
      </w:pPr>
      <w:bookmarkStart w:id="541" w:name="_Toc504305329"/>
      <w:bookmarkStart w:id="542" w:name="_Toc531180180"/>
      <w:bookmarkStart w:id="543" w:name="_Toc504305638"/>
      <w:bookmarkStart w:id="544" w:name="_Toc8032687"/>
      <w:bookmarkStart w:id="545" w:name="_Toc514651556"/>
      <w:r>
        <w:rPr>
          <w:rFonts w:hint="eastAsia" w:ascii="Times New Roman" w:hAnsi="Times New Roman"/>
        </w:rPr>
        <w:t>9.3规划环境影响评价</w:t>
      </w:r>
      <w:bookmarkEnd w:id="541"/>
      <w:bookmarkEnd w:id="542"/>
      <w:bookmarkEnd w:id="543"/>
      <w:bookmarkEnd w:id="544"/>
      <w:bookmarkEnd w:id="545"/>
    </w:p>
    <w:p>
      <w:pPr>
        <w:snapToGrid w:val="0"/>
        <w:ind w:right="-134" w:rightChars="-48" w:firstLine="560"/>
      </w:pPr>
      <w:r>
        <w:rPr>
          <w:rFonts w:hint="eastAsia"/>
        </w:rPr>
        <w:t>节约用水是解决淮北节水型城市建设和优化水资源配置最根本、最有效的战略举措，是促进淮北市经济社会可持续发展的必然选择。节水型城市的建立，可以从水资源可持续利用和生态环境保护的层面上促进淮北市经济结构和产业布局更加趋于科学合理，实现结构节水，在水资源高效利用的同时有效地保护生态环境。通过节水型城市建设，建立全社会的水资源循环利用体系，将经济发展用水对生态环境的影响降低到最小限度，主要依靠提高水资源利用效率促使经济增长方式的转变。</w:t>
      </w:r>
    </w:p>
    <w:p>
      <w:pPr>
        <w:snapToGrid w:val="0"/>
        <w:ind w:right="-134" w:rightChars="-48" w:firstLine="560"/>
      </w:pPr>
      <w:r>
        <w:rPr>
          <w:rFonts w:hint="eastAsia"/>
        </w:rPr>
        <w:t>规划实施后，可有效提高水资源的利用效率，保障经济社会发展，改善生态环境。其效果体现在以下五个方面：</w:t>
      </w:r>
    </w:p>
    <w:p>
      <w:pPr>
        <w:snapToGrid w:val="0"/>
        <w:ind w:right="-134" w:rightChars="-48" w:firstLine="560"/>
      </w:pPr>
      <w:r>
        <w:rPr>
          <w:rFonts w:hint="eastAsia"/>
        </w:rPr>
        <w:t>1.有效控制需求过度增长，遏制水资源过度开发；</w:t>
      </w:r>
    </w:p>
    <w:p>
      <w:pPr>
        <w:snapToGrid w:val="0"/>
        <w:ind w:right="-134" w:rightChars="-48" w:firstLine="560"/>
      </w:pPr>
      <w:r>
        <w:rPr>
          <w:rFonts w:hint="eastAsia"/>
        </w:rPr>
        <w:t>2.促进经济结构调整和产业优化升级；</w:t>
      </w:r>
    </w:p>
    <w:p>
      <w:pPr>
        <w:snapToGrid w:val="0"/>
        <w:ind w:right="-134" w:rightChars="-48" w:firstLine="560"/>
      </w:pPr>
      <w:r>
        <w:rPr>
          <w:rFonts w:hint="eastAsia"/>
        </w:rPr>
        <w:t>3.部分节水量可供经济社会用水，缓解供需矛盾；</w:t>
      </w:r>
    </w:p>
    <w:p>
      <w:pPr>
        <w:snapToGrid w:val="0"/>
        <w:ind w:right="-134" w:rightChars="-48" w:firstLine="560"/>
      </w:pPr>
      <w:r>
        <w:rPr>
          <w:rFonts w:hint="eastAsia"/>
        </w:rPr>
        <w:t>4.可有效减少污染物排放，保护环境；</w:t>
      </w:r>
    </w:p>
    <w:p>
      <w:pPr>
        <w:snapToGrid w:val="0"/>
        <w:ind w:right="-134" w:rightChars="-48" w:firstLine="560"/>
      </w:pPr>
      <w:r>
        <w:rPr>
          <w:rFonts w:hint="eastAsia"/>
        </w:rPr>
        <w:t>5.部分节水量可供生态系统使用，改善生态环境。</w:t>
      </w:r>
    </w:p>
    <w:p>
      <w:pPr>
        <w:pStyle w:val="4"/>
        <w:ind w:left="0" w:leftChars="0" w:firstLine="747" w:firstLineChars="245"/>
      </w:pPr>
      <w:bookmarkStart w:id="546" w:name="_Toc8032688"/>
      <w:bookmarkStart w:id="547" w:name="_Toc531180181"/>
      <w:bookmarkStart w:id="548" w:name="_Toc514651557"/>
      <w:r>
        <w:rPr>
          <w:rFonts w:hint="eastAsia"/>
        </w:rPr>
        <w:t>9.3.1主要环境影响分析</w:t>
      </w:r>
      <w:bookmarkEnd w:id="546"/>
      <w:bookmarkEnd w:id="547"/>
      <w:bookmarkEnd w:id="548"/>
    </w:p>
    <w:p>
      <w:pPr>
        <w:snapToGrid w:val="0"/>
        <w:ind w:right="-134" w:rightChars="-48" w:firstLine="560"/>
      </w:pPr>
      <w:r>
        <w:rPr>
          <w:rFonts w:hint="eastAsia"/>
        </w:rPr>
        <w:t>规划方案对环境的影响按主要节水工程类型进行划分：</w:t>
      </w:r>
    </w:p>
    <w:p>
      <w:pPr>
        <w:snapToGrid w:val="0"/>
        <w:ind w:right="-134" w:rightChars="-48" w:firstLine="560"/>
      </w:pPr>
      <w:r>
        <w:rPr>
          <w:rFonts w:hint="eastAsia"/>
        </w:rPr>
        <w:t>（1）工业节水防污工程的环境影响</w:t>
      </w:r>
    </w:p>
    <w:p>
      <w:pPr>
        <w:snapToGrid w:val="0"/>
        <w:ind w:right="-134" w:rightChars="-48" w:firstLine="560"/>
      </w:pPr>
      <w:r>
        <w:rPr>
          <w:rFonts w:hint="eastAsia"/>
        </w:rPr>
        <w:t>通过产业结构调整和高耗水行业节水技改，推动高耗水企业向工业园区集中，推广串联式循环用水布局，开展节水诊断、水平衡测试等工作。至2020年和2035年，市区单位工业增加值用水量分别下降至</w:t>
      </w:r>
      <w:r>
        <w:t>12立方米/万元</w:t>
      </w:r>
      <w:r>
        <w:rPr>
          <w:rFonts w:hint="eastAsia"/>
        </w:rPr>
        <w:t>和</w:t>
      </w:r>
      <w:r>
        <w:t>10立方米/万元</w:t>
      </w:r>
      <w:r>
        <w:rPr>
          <w:rFonts w:hint="eastAsia"/>
        </w:rPr>
        <w:t>，工业用水利用重复利用率分别达到85%和88%，对于高耗水行业的用水定额限制，以及用水效率低、污染严重的落后产能淘汰机制，有效推进节能减排，到2020和2035年工业节水量分别达</w:t>
      </w:r>
      <w:r>
        <w:t>55.10</w:t>
      </w:r>
      <w:r>
        <w:rPr>
          <w:rFonts w:hint="eastAsia"/>
        </w:rPr>
        <w:t>万m³和</w:t>
      </w:r>
      <w:r>
        <w:t>902.26</w:t>
      </w:r>
      <w:r>
        <w:rPr>
          <w:rFonts w:hint="eastAsia"/>
        </w:rPr>
        <w:t>万m³，同时相应也将大大减少废水排放，对减少工业用水量和保护水功能区水质影响重大。</w:t>
      </w:r>
    </w:p>
    <w:p>
      <w:pPr>
        <w:snapToGrid w:val="0"/>
        <w:ind w:right="-134" w:rightChars="-48" w:firstLine="560"/>
      </w:pPr>
      <w:r>
        <w:rPr>
          <w:rFonts w:hint="eastAsia"/>
        </w:rPr>
        <w:t>在企业实现园区化的过程中，厂区拆迁和建设过程，存在“三废一噪”污染问题。施工期间排放的生产、生活污水等，如不经处理直接排入河道，会对施工河段水质造成局部污染。来自施工机械、土石方开挖、交通运输产生的废气、扬尘和噪声，将会对工区大气环境、声环境造成一定的污染，可能会对施工人员和当地居民造成一定的影响，如不妥善处置，会污染空气和水，对人群健康产生不利影响。</w:t>
      </w:r>
    </w:p>
    <w:p>
      <w:pPr>
        <w:snapToGrid w:val="0"/>
        <w:ind w:right="-134" w:rightChars="-48" w:firstLine="560"/>
      </w:pPr>
      <w:r>
        <w:rPr>
          <w:rFonts w:hint="eastAsia"/>
        </w:rPr>
        <w:t>（2）生活节水及城市建设的环境影响</w:t>
      </w:r>
    </w:p>
    <w:p>
      <w:pPr>
        <w:snapToGrid w:val="0"/>
        <w:ind w:right="-134" w:rightChars="-48" w:firstLine="560"/>
      </w:pPr>
      <w:r>
        <w:rPr>
          <w:rFonts w:hint="eastAsia"/>
        </w:rPr>
        <w:t>全市实行以区域供水、管网改造、节水型器具推广、限制高耗水服务业等为重点的城市节水减排工程建设，积极推行低影响开发建设模式，加强雨水、中水等非常规水源示范项目建设，强化城镇用水管理、降低城镇供水管网漏损率。到2020年和2035年，城镇管网漏损率分别控制在10%和8%以内，建城区硬化地面可渗透面积达到40%以上，新建一批雨水、中水回用示范工程，建设一批节水教育基地、社区。通过城镇生活节水，到2020和2035年可以分别节约用水118.77万m³和402.12万m³。通过提升居民及机关事业单位人员节水意识，有效减少城市生活用水浪费。同时，提高非常规水资源占总用水量的比例，也可减少新鲜水消耗，近期和远期非常规水资源利用量分别达到</w:t>
      </w:r>
      <w:r>
        <w:t>4720.3</w:t>
      </w:r>
      <w:r>
        <w:rPr>
          <w:rFonts w:hint="eastAsia"/>
        </w:rPr>
        <w:t>万</w:t>
      </w:r>
      <w:r>
        <w:t>m³</w:t>
      </w:r>
      <w:r>
        <w:rPr>
          <w:rFonts w:hint="eastAsia"/>
        </w:rPr>
        <w:t>和</w:t>
      </w:r>
      <w:r>
        <w:t>5289.73</w:t>
      </w:r>
      <w:r>
        <w:rPr>
          <w:rFonts w:hint="eastAsia"/>
        </w:rPr>
        <w:t>万</w:t>
      </w:r>
      <w:r>
        <w:t>m³</w:t>
      </w:r>
      <w:r>
        <w:rPr>
          <w:rFonts w:hint="eastAsia"/>
        </w:rPr>
        <w:t>，一方面有效减少水资源利用总量，另一方面，大大减少污水排放量，保护生态环境。</w:t>
      </w:r>
    </w:p>
    <w:p>
      <w:pPr>
        <w:snapToGrid w:val="0"/>
        <w:ind w:right="-134" w:rightChars="-48" w:firstLine="560"/>
      </w:pPr>
      <w:r>
        <w:rPr>
          <w:rFonts w:hint="eastAsia"/>
        </w:rPr>
        <w:t>城市供水管网更新改造过程中，需要大量的水泥、黄沙、混凝土、新型的供水管道等基建材料，同时需要大量的施工人员，为居民提供了就业机会和增加收入的来源，提升城乡居民生活质量和收入水平。此外，涉及主要供水管道更新可能对供水、主要道路以及交通情况造成影响，给生活、出行带来不便。</w:t>
      </w:r>
    </w:p>
    <w:p>
      <w:pPr>
        <w:snapToGrid w:val="0"/>
        <w:ind w:right="-134" w:rightChars="-48" w:firstLine="560"/>
      </w:pPr>
      <w:r>
        <w:rPr>
          <w:rFonts w:hint="eastAsia"/>
        </w:rPr>
        <w:t>（3）水资源保护工程的环境影响</w:t>
      </w:r>
    </w:p>
    <w:p>
      <w:pPr>
        <w:snapToGrid w:val="0"/>
        <w:ind w:right="-134" w:rightChars="-48" w:firstLine="560"/>
      </w:pPr>
      <w:r>
        <w:rPr>
          <w:rFonts w:hint="eastAsia"/>
        </w:rPr>
        <w:t>水资源保护工程的实施对全市河流、湖泊、水库以及地下水等水资源良性循环意义重大，不仅保障河湖生态健康，优化本地居民生活环境，提高居民用水保障程度及用水安全，同时还可吸引外资投入，促进经济发展。但同时，这些工程会对保护区的生态环境带来一些不利影响，例如河道整治施工期土地开挖、施工弃渣集中堆放等会造成植被的破坏等；饮用水源地建设及保护工程完成后，划入饮用水源地保护区范围内的水源均无法继续水产养殖及其他可能危害水体的人类活动，可能引起水生生物链的变化等。</w:t>
      </w:r>
    </w:p>
    <w:p>
      <w:pPr>
        <w:pStyle w:val="4"/>
        <w:ind w:left="0" w:leftChars="0" w:firstLine="747" w:firstLineChars="245"/>
      </w:pPr>
      <w:bookmarkStart w:id="549" w:name="_Toc531180182"/>
      <w:bookmarkStart w:id="550" w:name="_Toc8032689"/>
      <w:bookmarkStart w:id="551" w:name="_Toc514651558"/>
      <w:r>
        <w:rPr>
          <w:rFonts w:hint="eastAsia"/>
        </w:rPr>
        <w:t>9.3.2环境影响减缓措施</w:t>
      </w:r>
      <w:bookmarkEnd w:id="549"/>
      <w:bookmarkEnd w:id="550"/>
      <w:bookmarkEnd w:id="551"/>
    </w:p>
    <w:p>
      <w:pPr>
        <w:snapToGrid w:val="0"/>
        <w:ind w:right="-134" w:rightChars="-48" w:firstLine="560"/>
      </w:pPr>
      <w:r>
        <w:rPr>
          <w:rFonts w:hint="eastAsia"/>
        </w:rPr>
        <w:t>针对规划实施可能产生的主要不利影响，提出如下主要对策措施：</w:t>
      </w:r>
    </w:p>
    <w:p>
      <w:pPr>
        <w:snapToGrid w:val="0"/>
        <w:ind w:right="-134" w:rightChars="-48" w:firstLine="560"/>
      </w:pPr>
      <w:r>
        <w:rPr>
          <w:rFonts w:hint="eastAsia"/>
        </w:rPr>
        <w:t>（1）加强对河流生态环境和地下水系统的保护。根据最严格水资源管理制度要求，加强水资源节约、保护，严格按照规划要求，实行流域/区域用水总量控制，严格限制水资源过度消耗；做好开源于节流的协调，加强污染治理，维持地区水资源的可持续发展。</w:t>
      </w:r>
    </w:p>
    <w:p>
      <w:pPr>
        <w:snapToGrid w:val="0"/>
        <w:ind w:right="-134" w:rightChars="-48" w:firstLine="560"/>
      </w:pPr>
      <w:r>
        <w:rPr>
          <w:rFonts w:hint="eastAsia"/>
        </w:rPr>
        <w:t>（2）在建设项目前期工作中，重视环境影响评价和环境保护设计工作，制定切实有效的环境保护实施计划，重视工程施工过程中噪声，废水，废气对周围环境的影响；在建设项目施工过程中，保证环境保护的费用，严格执行“三同时”管理制度。</w:t>
      </w:r>
    </w:p>
    <w:p>
      <w:pPr>
        <w:snapToGrid w:val="0"/>
        <w:ind w:right="-134" w:rightChars="-48" w:firstLine="560"/>
      </w:pPr>
      <w:r>
        <w:rPr>
          <w:rFonts w:hint="eastAsia"/>
        </w:rPr>
        <w:t>（3）严格保护土地资源和耕地资源。工程建设要严格贯彻执行《基本农田保护条例》，切实做好基本农田的调整和补偿工作，采取有力措施减少基本农田损失造成的影响。</w:t>
      </w:r>
    </w:p>
    <w:p>
      <w:pPr>
        <w:snapToGrid w:val="0"/>
        <w:ind w:right="-134" w:rightChars="-48" w:firstLine="560"/>
      </w:pPr>
      <w:r>
        <w:rPr>
          <w:rFonts w:hint="eastAsia"/>
        </w:rPr>
        <w:t>（4）加强规划实施的环境风险管理。针对可能发生的重大环境风险问题，包括生态影响，提前进行风险评价，制定突发性环境事件应急预案和风险应急管理措施。</w:t>
      </w:r>
    </w:p>
    <w:p>
      <w:pPr>
        <w:pStyle w:val="4"/>
        <w:ind w:left="0" w:leftChars="0" w:firstLine="747" w:firstLineChars="245"/>
      </w:pPr>
      <w:bookmarkStart w:id="552" w:name="_Toc8032690"/>
      <w:bookmarkStart w:id="553" w:name="_Toc514651559"/>
      <w:bookmarkStart w:id="554" w:name="_Toc531180183"/>
      <w:r>
        <w:rPr>
          <w:rFonts w:hint="eastAsia"/>
        </w:rPr>
        <w:t>9.3.3环境影响评价结论</w:t>
      </w:r>
      <w:bookmarkEnd w:id="552"/>
      <w:bookmarkEnd w:id="553"/>
      <w:bookmarkEnd w:id="554"/>
    </w:p>
    <w:p>
      <w:pPr>
        <w:snapToGrid w:val="0"/>
        <w:ind w:right="-134" w:rightChars="-48" w:firstLine="560"/>
      </w:pPr>
      <w:r>
        <w:rPr>
          <w:rFonts w:hint="eastAsia"/>
        </w:rPr>
        <w:t>淮北市城市节约用水专项规划对于环境的不利影响主要体现在：工业节水技术改造可能造成周围水体在一定时间段内污染加重，产生施工噪音，同时影响周围居民生活环境；城镇供水管网更新改造可能影响一段时间内居民生活及出行；河道综合整治及水源地建设与保护可能造成部分城区环境面貌有所下降，水源地保护区内人员收入来源减少，水生生物种群发生变化等。</w:t>
      </w:r>
    </w:p>
    <w:p>
      <w:pPr>
        <w:snapToGrid w:val="0"/>
        <w:ind w:right="-134" w:rightChars="-48" w:firstLine="560"/>
      </w:pPr>
      <w:r>
        <w:rPr>
          <w:rFonts w:hint="eastAsia"/>
        </w:rPr>
        <w:t>有利方面主要体现在：规划实施将提高全市的用水效率和效益，提高供水保障能力，优化水资源配置，促进区域水资源与经济社会、生态环境的协调发展。为实现规划目标而兴建的各类工程，既是促进区域经济社会、生态环境可持续发展的重要水资源保障工程，也是生态环境保护工程。在规划实施过程中充分重视可能存在的环境影响，根据国家环境保护要求，采取必要的生态环境保护措施，以及根据规划实施的生态环境响应进一步优化调整方案，规划的不利环境影响在很大程度上可以得到有效减免。</w:t>
      </w:r>
    </w:p>
    <w:p>
      <w:pPr>
        <w:snapToGrid w:val="0"/>
        <w:ind w:right="-134" w:rightChars="-48" w:firstLine="560"/>
      </w:pPr>
      <w:r>
        <w:rPr>
          <w:rFonts w:hint="eastAsia"/>
        </w:rPr>
        <w:t>综上所述，规划实施的正面影响远大于负面影响，在严格执行国家环保政策、做好规划实施的生态环境保护工作的前提下，从环境角度评价，规划是可行的。全面开展节水型城市建设，还将有利于推进水生态文明建设，完善水生态保护格局，实现水资源的可持续利用。通过大力开展水资源严格管理、防洪除涝城乡供水能力提升、河湖水环境综合治理、水生态环境保护与修复、水文化培育及宣传等，进一步彰显淮北的独特魅力，构建科学严格的水管理体系、安全可靠的水安全体系、洁净健康的水环境体系、优美和谐的水生态体系、特色鲜明的水文化体系“五大体系”，呈现“山青、水碧、河畅、湖美、岸绿”的美丽场景，展现“城在湖边、水在城中，人在绿中”的优美画卷，实现“人</w:t>
      </w:r>
      <w:r>
        <w:t>-</w:t>
      </w:r>
      <w:r>
        <w:rPr>
          <w:rFonts w:hint="eastAsia"/>
        </w:rPr>
        <w:t>水</w:t>
      </w:r>
      <w:r>
        <w:t>-</w:t>
      </w:r>
      <w:r>
        <w:rPr>
          <w:rFonts w:hint="eastAsia"/>
        </w:rPr>
        <w:t>城相依相伴、和谐共生”的美好愿憬，将淮北市打造成国内领先的水生态文明城市建设示范区标杆。</w:t>
      </w:r>
    </w:p>
    <w:p>
      <w:pPr>
        <w:pStyle w:val="2"/>
        <w:spacing w:before="120"/>
        <w:ind w:firstLine="0" w:firstLineChars="0"/>
      </w:pPr>
      <w:r>
        <w:br w:type="page"/>
      </w:r>
      <w:bookmarkEnd w:id="502"/>
      <w:bookmarkStart w:id="555" w:name="_Toc8032691"/>
      <w:bookmarkStart w:id="556" w:name="_Toc531180184"/>
      <w:r>
        <w:rPr>
          <w:rFonts w:hint="eastAsia"/>
        </w:rPr>
        <w:t>第十章  规划保障措施</w:t>
      </w:r>
      <w:bookmarkEnd w:id="555"/>
      <w:bookmarkEnd w:id="556"/>
    </w:p>
    <w:p>
      <w:pPr>
        <w:snapToGrid w:val="0"/>
        <w:ind w:right="-134" w:rightChars="-48" w:firstLine="560"/>
      </w:pPr>
      <w:r>
        <w:rPr>
          <w:rFonts w:hint="eastAsia"/>
        </w:rPr>
        <w:t>城市节约用水是一项涉及到方方面面的复杂系统工程，因此必须根据全面规划、重点突破的原则，从增强区域经济社会发展的水安全保障能力的高度出发，从组织规划实施、规章制度、投入保障、加强管理、技术创新、监督考核、节水宣传、公众参与等多个方面，有针对性地提出规划实施的保障措施，明确节水型城市建设各部门的重点任务、具体分工和监督考核要求，才能确保各项工作稳步有序推进，确保节水型城市建设规划的目标和任务顺利完成。</w:t>
      </w:r>
    </w:p>
    <w:p>
      <w:pPr>
        <w:pStyle w:val="3"/>
        <w:spacing w:before="120" w:after="60"/>
        <w:ind w:firstLine="602"/>
        <w:rPr>
          <w:rFonts w:ascii="Times New Roman" w:hAnsi="Times New Roman"/>
        </w:rPr>
      </w:pPr>
      <w:bookmarkStart w:id="557" w:name="_Toc531180185"/>
      <w:bookmarkStart w:id="558" w:name="_Toc8032692"/>
      <w:r>
        <w:rPr>
          <w:rFonts w:hint="eastAsia" w:ascii="Times New Roman" w:hAnsi="Times New Roman"/>
        </w:rPr>
        <w:t>10.1加强机构建设，落实目标责任</w:t>
      </w:r>
      <w:bookmarkEnd w:id="557"/>
      <w:bookmarkEnd w:id="558"/>
    </w:p>
    <w:p>
      <w:pPr>
        <w:snapToGrid w:val="0"/>
        <w:ind w:right="-134" w:rightChars="-48" w:firstLine="560"/>
      </w:pPr>
      <w:r>
        <w:t>明确负责城市节水工作的部门，明确管理职能，做到机构落实、制度落实、人员落实和经费落实。</w:t>
      </w:r>
    </w:p>
    <w:p>
      <w:pPr>
        <w:pStyle w:val="4"/>
        <w:ind w:left="0" w:leftChars="0" w:firstLine="747" w:firstLineChars="245"/>
      </w:pPr>
      <w:bookmarkStart w:id="559" w:name="_bookmark134"/>
      <w:bookmarkEnd w:id="559"/>
      <w:bookmarkStart w:id="560" w:name="_Toc8032693"/>
      <w:bookmarkStart w:id="561" w:name="_Toc531180186"/>
      <w:r>
        <w:rPr>
          <w:rFonts w:hint="eastAsia"/>
        </w:rPr>
        <w:t>10.1.1</w:t>
      </w:r>
      <w:r>
        <w:t>加强节水管理机构建设</w:t>
      </w:r>
      <w:bookmarkEnd w:id="560"/>
      <w:bookmarkEnd w:id="561"/>
    </w:p>
    <w:p>
      <w:pPr>
        <w:snapToGrid w:val="0"/>
        <w:ind w:right="-134" w:rightChars="-48" w:firstLine="560"/>
      </w:pPr>
      <w:r>
        <w:rPr>
          <w:rFonts w:hint="eastAsia"/>
        </w:rPr>
        <w:t>2018年</w:t>
      </w:r>
      <w:r>
        <w:t>，</w:t>
      </w:r>
      <w:r>
        <w:rPr>
          <w:rFonts w:hint="eastAsia"/>
        </w:rPr>
        <w:t>为加快推进节水型城市创建，市政府成立由市主要领导担任指挥长的“淮北市创建国家节水型城市指挥部”，指挥部下设办公室，具体负责创建工作的组织、协调和落实，并制定具体实施方案，明确各成员单位责任分工，形成了主要领导研究部署、分管领导组织协调、党政齐抓共管、部门各负其责的工作格局。</w:t>
      </w:r>
    </w:p>
    <w:p>
      <w:pPr>
        <w:snapToGrid w:val="0"/>
        <w:ind w:right="-134" w:rightChars="-48" w:firstLine="560"/>
      </w:pPr>
      <w:r>
        <w:rPr>
          <w:rFonts w:hint="eastAsia"/>
        </w:rPr>
        <w:t>2019年，淮北市住房和城乡建设局</w:t>
      </w:r>
      <w:r>
        <w:t>成立市</w:t>
      </w:r>
      <w:r>
        <w:rPr>
          <w:rFonts w:hint="eastAsia"/>
        </w:rPr>
        <w:t>城市</w:t>
      </w:r>
      <w:r>
        <w:t>节约用水管理办公室</w:t>
      </w:r>
      <w:r>
        <w:rPr>
          <w:rFonts w:hint="eastAsia"/>
        </w:rPr>
        <w:t>，负责全市节约用水的管理</w:t>
      </w:r>
      <w:r>
        <w:t>，</w:t>
      </w:r>
      <w:r>
        <w:rPr>
          <w:rFonts w:hint="eastAsia"/>
        </w:rPr>
        <w:t>但</w:t>
      </w:r>
      <w:r>
        <w:t>目前</w:t>
      </w:r>
      <w:r>
        <w:rPr>
          <w:rFonts w:hint="eastAsia"/>
        </w:rPr>
        <w:t>淮北市城市</w:t>
      </w:r>
      <w:r>
        <w:t>节约用水办公室专职工作人员数量较少，难以满足正常性节水工作需要，非常不利于工作的开展。近期应补充节水工作人员，并加强节水执法队伍建设。为满足节水工作的需要，建议</w:t>
      </w:r>
      <w:r>
        <w:rPr>
          <w:rFonts w:hint="eastAsia"/>
        </w:rPr>
        <w:t>未来市、区加强</w:t>
      </w:r>
      <w:r>
        <w:t>节水管理机构</w:t>
      </w:r>
      <w:r>
        <w:rPr>
          <w:rFonts w:hint="eastAsia"/>
        </w:rPr>
        <w:t>建设</w:t>
      </w:r>
      <w:r>
        <w:t>，落实机构、编制、人员，保证人员充实，职责明确，经费</w:t>
      </w:r>
      <w:r>
        <w:rPr>
          <w:rFonts w:hint="eastAsia"/>
        </w:rPr>
        <w:t>有</w:t>
      </w:r>
      <w:r>
        <w:t>保障。</w:t>
      </w:r>
    </w:p>
    <w:p>
      <w:pPr>
        <w:pStyle w:val="4"/>
        <w:ind w:left="0" w:leftChars="0" w:firstLine="747" w:firstLineChars="245"/>
      </w:pPr>
      <w:bookmarkStart w:id="562" w:name="_bookmark135"/>
      <w:bookmarkEnd w:id="562"/>
      <w:bookmarkStart w:id="563" w:name="_Toc531180187"/>
      <w:bookmarkStart w:id="564" w:name="_Toc8032694"/>
      <w:r>
        <w:rPr>
          <w:rFonts w:hint="eastAsia"/>
        </w:rPr>
        <w:t>10.1.2</w:t>
      </w:r>
      <w:r>
        <w:t>落实节水目标责任</w:t>
      </w:r>
      <w:bookmarkEnd w:id="563"/>
      <w:bookmarkEnd w:id="564"/>
    </w:p>
    <w:p>
      <w:pPr>
        <w:snapToGrid w:val="0"/>
        <w:ind w:right="-134" w:rightChars="-48" w:firstLine="560"/>
      </w:pPr>
      <w:r>
        <w:rPr>
          <w:rFonts w:hint="eastAsia"/>
        </w:rPr>
        <w:t>（1）行政机构</w:t>
      </w:r>
    </w:p>
    <w:p>
      <w:pPr>
        <w:snapToGrid w:val="0"/>
        <w:ind w:right="-134" w:rightChars="-48" w:firstLine="560"/>
      </w:pPr>
      <w:r>
        <w:t>城市人民政府</w:t>
      </w:r>
      <w:r>
        <w:rPr>
          <w:rFonts w:hint="eastAsia"/>
        </w:rPr>
        <w:t>、城市节水管理机构及有关单位</w:t>
      </w:r>
      <w:r>
        <w:t>作为城市节水</w:t>
      </w:r>
      <w:r>
        <w:rPr>
          <w:rFonts w:hint="eastAsia"/>
        </w:rPr>
        <w:t>管理</w:t>
      </w:r>
      <w:r>
        <w:t>的责任主体，应负责制定和完善城市节水制度、办法和标准等，建立水资源管理责任和考核制度，科学分解节水目标和任务，研究制定年度目标落实计划，把节水目标任务分解到区和重点用水企业。每年定期考察节水目标完成情况，节水量是否达到要求；节水措施落实情况，包括企业节水工作组织领导、落实节水目标责任制、执行国家节水标准规范、推动节水技术创新和技术改造、用水统计及计量、开展节水宣传教育等方面。</w:t>
      </w:r>
    </w:p>
    <w:p>
      <w:pPr>
        <w:snapToGrid w:val="0"/>
        <w:ind w:right="-134" w:rightChars="-48" w:firstLine="560"/>
      </w:pPr>
      <w:r>
        <w:rPr>
          <w:rFonts w:hint="eastAsia"/>
        </w:rPr>
        <w:t>（2）</w:t>
      </w:r>
      <w:r>
        <w:t>城市</w:t>
      </w:r>
      <w:r>
        <w:rPr>
          <w:rFonts w:hint="eastAsia"/>
        </w:rPr>
        <w:t>日常</w:t>
      </w:r>
      <w:r>
        <w:t>节水管理机构</w:t>
      </w:r>
    </w:p>
    <w:p>
      <w:pPr>
        <w:snapToGrid w:val="0"/>
        <w:ind w:right="-134" w:rightChars="-48" w:firstLine="560"/>
      </w:pPr>
      <w:r>
        <w:t>宣传贯彻国家和省市有关节约用水的法律法规政策。利用</w:t>
      </w:r>
      <w:r>
        <w:rPr>
          <w:rFonts w:hint="eastAsia"/>
        </w:rPr>
        <w:t>“</w:t>
      </w:r>
      <w:r>
        <w:t>全国城市节水宣传周</w:t>
      </w:r>
      <w:r>
        <w:rPr>
          <w:rFonts w:hint="eastAsia"/>
        </w:rPr>
        <w:t>”</w:t>
      </w:r>
      <w:r>
        <w:t>等加强城市节水集中宣传，坚持集中宣传与日常宣传相结合。通过多形式、多途径、多层次的节水宣传，全面宣传普及节水的法律法规政策，提高全民全社会的节水意识。</w:t>
      </w:r>
    </w:p>
    <w:p>
      <w:pPr>
        <w:snapToGrid w:val="0"/>
        <w:ind w:right="-134" w:rightChars="-48" w:firstLine="560"/>
      </w:pPr>
      <w:r>
        <w:t>按照定额标准，对用水户核定、下达用水计划，并考核。对非居民用户，按照相关用水定额标准、生产生活经营状况等核定用水计划。用水单位依照节水办批准的用水计划用水，对超定额超计划部分收取加价费。用水计划，可按年度下达，按月考核。根据用水户用水情况变化，及时调整用水计划，加强用水计划的动态管理。</w:t>
      </w:r>
    </w:p>
    <w:p>
      <w:pPr>
        <w:snapToGrid w:val="0"/>
        <w:ind w:right="-134" w:rightChars="-48" w:firstLine="560"/>
      </w:pPr>
      <w:r>
        <w:t>对新建、改建、扩建建设项目实行节水</w:t>
      </w:r>
      <w:r>
        <w:rPr>
          <w:rFonts w:hint="eastAsia"/>
        </w:rPr>
        <w:t>“</w:t>
      </w:r>
      <w:r>
        <w:t>三同时</w:t>
      </w:r>
      <w:r>
        <w:rPr>
          <w:rFonts w:hint="eastAsia"/>
        </w:rPr>
        <w:t>”</w:t>
      </w:r>
      <w:r>
        <w:t>管理（同时设计、同时施工、同时投入使用）</w:t>
      </w:r>
      <w:r>
        <w:rPr>
          <w:rFonts w:hint="eastAsia"/>
        </w:rPr>
        <w:t>。</w:t>
      </w:r>
    </w:p>
    <w:p>
      <w:pPr>
        <w:snapToGrid w:val="0"/>
        <w:ind w:right="-134" w:rightChars="-48" w:firstLine="560"/>
      </w:pPr>
      <w:r>
        <w:rPr>
          <w:rFonts w:hint="eastAsia"/>
        </w:rPr>
        <w:t>开展城市</w:t>
      </w:r>
      <w:r>
        <w:t>节水执法、检查、指导和培训。加强开展节水执法检查，依法节水。组织指导水平衡测试、节水型企业（单位）创建和节水业务培训。</w:t>
      </w:r>
    </w:p>
    <w:p>
      <w:pPr>
        <w:snapToGrid w:val="0"/>
        <w:ind w:right="-134" w:rightChars="-48" w:firstLine="560"/>
      </w:pPr>
      <w:r>
        <w:rPr>
          <w:rFonts w:hint="eastAsia"/>
        </w:rPr>
        <w:t>做好</w:t>
      </w:r>
      <w:r>
        <w:t>节水统计工作</w:t>
      </w:r>
      <w:r>
        <w:rPr>
          <w:rFonts w:hint="eastAsia"/>
        </w:rPr>
        <w:t>，负责做好</w:t>
      </w:r>
      <w:r>
        <w:t>节水统计报表，并对用水数据进行分析解读。组织交流推广城市节约用水先进经验和做法。发现和培育节水先进典型，树立节水标杆，发挥典型的影响和带动作用。</w:t>
      </w:r>
    </w:p>
    <w:p>
      <w:pPr>
        <w:snapToGrid w:val="0"/>
        <w:ind w:right="-134" w:rightChars="-48" w:firstLine="560"/>
      </w:pPr>
      <w:r>
        <w:t>推广应用节水新技术、新工艺、新设备和节水器具。指导用水户节水技术改造，淘汰高耗水工艺、设备和产品。</w:t>
      </w:r>
    </w:p>
    <w:p>
      <w:pPr>
        <w:snapToGrid w:val="0"/>
        <w:ind w:right="-134" w:rightChars="-48" w:firstLine="560"/>
      </w:pPr>
      <w:r>
        <w:rPr>
          <w:rFonts w:hint="eastAsia"/>
        </w:rPr>
        <w:t>（3）</w:t>
      </w:r>
      <w:r>
        <w:t>供水企业</w:t>
      </w:r>
    </w:p>
    <w:p>
      <w:pPr>
        <w:snapToGrid w:val="0"/>
        <w:ind w:right="-134" w:rightChars="-48" w:firstLine="560"/>
      </w:pPr>
      <w:r>
        <w:t>对于与供水管网相关的节水工作，城市供水企业要负主体责任。</w:t>
      </w:r>
    </w:p>
    <w:p>
      <w:pPr>
        <w:snapToGrid w:val="0"/>
        <w:ind w:right="-134" w:rightChars="-48" w:firstLine="560"/>
      </w:pPr>
      <w:r>
        <w:t>对辖区内的给水管网进行合理调度。建立管网干线压力自动检测系统，合理调度供水，使供水的流量、压力在合理的经济范围内。</w:t>
      </w:r>
    </w:p>
    <w:p>
      <w:pPr>
        <w:snapToGrid w:val="0"/>
        <w:ind w:right="-134" w:rightChars="-48" w:firstLine="560"/>
      </w:pPr>
      <w:r>
        <w:t>应建立地下管线巡护和隐患排查制度，定期进行检测维修，强化监控预警，发现隐患应及时处理。</w:t>
      </w:r>
    </w:p>
    <w:p>
      <w:pPr>
        <w:snapToGrid w:val="0"/>
        <w:ind w:right="-134" w:rightChars="-48" w:firstLine="560"/>
      </w:pPr>
      <w:r>
        <w:t>做好管线勘察、调研等工作，并组织巡视人员、培养专业的探漏人员，投入资金、配备相关听漏仪等探漏设备，坚持对巡视和探漏人员进行岗位炼兵，实行经济责任制，有效地开展巡视、检漏和修漏工作，提高检漏率。</w:t>
      </w:r>
    </w:p>
    <w:p>
      <w:pPr>
        <w:snapToGrid w:val="0"/>
        <w:ind w:right="-134" w:rightChars="-48" w:firstLine="560"/>
      </w:pPr>
      <w:r>
        <w:t>按抄表周期建立水量抄收数据定期核查制度，对于水表口径、型号与用户用水量不匹配的，应按用户实际用水量和用水规律及时调整计量水表，提高计量精度。</w:t>
      </w:r>
    </w:p>
    <w:p>
      <w:pPr>
        <w:pStyle w:val="3"/>
        <w:spacing w:before="120" w:after="60"/>
        <w:ind w:firstLine="602"/>
        <w:rPr>
          <w:rFonts w:ascii="Times New Roman" w:hAnsi="Times New Roman"/>
        </w:rPr>
      </w:pPr>
      <w:bookmarkStart w:id="565" w:name="_Toc8032695"/>
      <w:bookmarkStart w:id="566" w:name="_Toc531180188"/>
      <w:bookmarkStart w:id="567" w:name="_Toc514651562"/>
      <w:r>
        <w:rPr>
          <w:rFonts w:hint="eastAsia" w:ascii="Times New Roman" w:hAnsi="Times New Roman"/>
        </w:rPr>
        <w:t>10.2加强监督管理，完善考核体系</w:t>
      </w:r>
      <w:bookmarkEnd w:id="565"/>
      <w:bookmarkEnd w:id="566"/>
      <w:bookmarkEnd w:id="567"/>
    </w:p>
    <w:p>
      <w:pPr>
        <w:snapToGrid w:val="0"/>
        <w:ind w:right="-134" w:rightChars="-48" w:firstLine="560"/>
      </w:pPr>
      <w:r>
        <w:rPr>
          <w:rFonts w:hint="eastAsia"/>
        </w:rPr>
        <w:t>为使规划能够切实引领淮北市各项节水工作开展，需加强规划各项措施的落实考核。根据第六章提出的相关政策，一是力促各项政策出台，二是加强政策实施效果考核，完善考核体系。</w:t>
      </w:r>
    </w:p>
    <w:p>
      <w:pPr>
        <w:snapToGrid w:val="0"/>
        <w:ind w:right="-134" w:rightChars="-48" w:firstLine="560"/>
      </w:pPr>
      <w:r>
        <w:rPr>
          <w:rFonts w:hint="eastAsia"/>
        </w:rPr>
        <w:t>建立水资源消耗考核指标体系，对万元GDP用水量、万元工业增加值用水量、工业用水重复利用率、城市供水管网漏损率等指标进行考核，各区要明确本区域水资源消耗水平的年度工作目标。</w:t>
      </w:r>
    </w:p>
    <w:p>
      <w:pPr>
        <w:pStyle w:val="3"/>
        <w:spacing w:before="120" w:after="60"/>
        <w:ind w:firstLine="602"/>
        <w:rPr>
          <w:rFonts w:ascii="Times New Roman" w:hAnsi="Times New Roman"/>
        </w:rPr>
      </w:pPr>
      <w:bookmarkStart w:id="568" w:name="_Toc531180189"/>
      <w:bookmarkStart w:id="569" w:name="_Toc8032696"/>
      <w:r>
        <w:rPr>
          <w:rFonts w:hint="eastAsia" w:ascii="Times New Roman" w:hAnsi="Times New Roman"/>
        </w:rPr>
        <w:t>10.3加强节水宣传，完善参与机制</w:t>
      </w:r>
      <w:bookmarkEnd w:id="568"/>
      <w:bookmarkEnd w:id="569"/>
    </w:p>
    <w:p>
      <w:pPr>
        <w:snapToGrid w:val="0"/>
        <w:ind w:right="-134" w:rightChars="-48" w:firstLine="560"/>
      </w:pPr>
      <w:r>
        <w:rPr>
          <w:rFonts w:hint="eastAsia"/>
        </w:rPr>
        <w:t>节水型城市建设涉及到经济社会发展的不同层次的各个方面，是一场重新认识水资源、转变生产用水方式、改变人们生活用水习惯的建设性革命，需要淮北市各级部门的大力推动、积极引导，群众的广泛参与。</w:t>
      </w:r>
    </w:p>
    <w:p>
      <w:pPr>
        <w:snapToGrid w:val="0"/>
        <w:ind w:right="-134" w:rightChars="-48" w:firstLine="560"/>
      </w:pPr>
      <w:r>
        <w:rPr>
          <w:rFonts w:hint="eastAsia"/>
        </w:rPr>
        <w:t>系统完善节水宣传、教育机制，提高公众节水意识。制定年度节水宣传计划，大力开展群众性节水减排活动。强化水资源节约保护知识在中小学的教育，通过中小学生辐射到社会和家庭，定期评选一批区级“节水模范家庭”和“节水小卫士”，将节水概念和意识贯穿到整个社会层面。继续开展“世界水日”、“中国水周”、“全国城市节水宣传周”、“6.5世界环境日”等不同主题的宣传活动，充分利用海报、广播、电视、互联网、文艺表演等多种形式，大力宣传节约用水的方针、政策、法规和科学知识，加大节水宣传力度，不断提高公众的水资源忧患意识和节约意识，倡导节水的文明生活方式，形成珍惜水、爱护水的道德意识和自我约束意识。同时，继续组织党员、青年志愿者开展节水宣传进家庭、进企业、进机关、进学校的活动，广泛动员全社会力量参与节水型城市建设。</w:t>
      </w:r>
    </w:p>
    <w:p>
      <w:pPr>
        <w:snapToGrid w:val="0"/>
        <w:ind w:right="-134" w:rightChars="-48" w:firstLine="560"/>
      </w:pPr>
      <w:r>
        <w:rPr>
          <w:rFonts w:hint="eastAsia"/>
        </w:rPr>
        <w:t>（1）</w:t>
      </w:r>
      <w:r>
        <w:t>要强化对</w:t>
      </w:r>
      <w:r>
        <w:rPr>
          <w:rFonts w:hint="eastAsia"/>
        </w:rPr>
        <w:t>政府、企业、学校等单位相关管理人员</w:t>
      </w:r>
      <w:r>
        <w:t>法律、政策和理论认识上的宣传，使其树立正确的节约用水的管理观念，在决策中充分重视节约用水。</w:t>
      </w:r>
    </w:p>
    <w:p>
      <w:pPr>
        <w:snapToGrid w:val="0"/>
        <w:ind w:right="-134" w:rightChars="-48" w:firstLine="560"/>
      </w:pPr>
      <w:r>
        <w:rPr>
          <w:rFonts w:hint="eastAsia"/>
        </w:rPr>
        <w:t>（2）</w:t>
      </w:r>
      <w:r>
        <w:t>在各单位中建立节水联系责任人，通过开展各种层次节水培训班等形式，提高其节水意识。通过培训提高各单位部门领导素质和相关节水管理人员技能，使企业尽快拥有自己的懂得政策法规、学会科学管理、掌握节水先进技术的节水骨干技术人员，每年培训供水管理户20%以上。</w:t>
      </w:r>
    </w:p>
    <w:p>
      <w:pPr>
        <w:snapToGrid w:val="0"/>
        <w:ind w:right="-134" w:rightChars="-48" w:firstLine="560"/>
      </w:pPr>
      <w:r>
        <w:rPr>
          <w:rFonts w:hint="eastAsia"/>
        </w:rPr>
        <w:t>（3）</w:t>
      </w:r>
      <w:r>
        <w:t>要面向群众，发动群众，提高节水意识。通过举办专题文艺晚会、知识竞赛、节水成果展览和各种以节约用水为主体的各种群艺活动，并注重运用板报、公益广告、宣传标语、有线广播、电视以及广告互联网等媒体形式坚持长期宣传，以提高公众的节水意识。</w:t>
      </w:r>
    </w:p>
    <w:p>
      <w:pPr>
        <w:snapToGrid w:val="0"/>
        <w:ind w:right="-134" w:rightChars="-48" w:firstLine="560"/>
      </w:pPr>
      <w:r>
        <w:rPr>
          <w:rFonts w:hint="eastAsia"/>
        </w:rPr>
        <w:t>（4）</w:t>
      </w:r>
      <w:r>
        <w:t>要立足长远开展宣传教育活动。应当把</w:t>
      </w:r>
      <w:r>
        <w:rPr>
          <w:rFonts w:hint="eastAsia"/>
        </w:rPr>
        <w:t>淮北现实</w:t>
      </w:r>
      <w:r>
        <w:t>的水环境和水资源状况纳入中、小学教育，使公众从小就接受到水忧患意识的熏陶。经常性地在广大中小学生中间开展主题性质的</w:t>
      </w:r>
      <w:r>
        <w:rPr>
          <w:rFonts w:hint="eastAsia"/>
        </w:rPr>
        <w:t>征文</w:t>
      </w:r>
      <w:r>
        <w:t>、讲座、歌咏比赛、郊游活动，使公民从小就养成良好的节水观念。</w:t>
      </w:r>
    </w:p>
    <w:p>
      <w:pPr>
        <w:snapToGrid w:val="0"/>
        <w:ind w:right="-134" w:rightChars="-48" w:firstLine="560"/>
      </w:pPr>
      <w:r>
        <w:rPr>
          <w:rFonts w:hint="eastAsia"/>
        </w:rPr>
        <w:t>（5）</w:t>
      </w:r>
      <w:r>
        <w:t>加强节水监督，对跑、冒、滴、漏等浪费水行为的</w:t>
      </w:r>
      <w:r>
        <w:rPr>
          <w:rFonts w:hint="eastAsia"/>
        </w:rPr>
        <w:t>，</w:t>
      </w:r>
      <w:r>
        <w:t>舆论媒体</w:t>
      </w:r>
      <w:r>
        <w:rPr>
          <w:rFonts w:hint="eastAsia"/>
        </w:rPr>
        <w:t>要</w:t>
      </w:r>
      <w:r>
        <w:t>及时予以曝光</w:t>
      </w:r>
      <w:r>
        <w:rPr>
          <w:rFonts w:hint="eastAsia"/>
        </w:rPr>
        <w:t>、政府</w:t>
      </w:r>
      <w:r>
        <w:t>有关部门</w:t>
      </w:r>
      <w:r>
        <w:rPr>
          <w:rFonts w:hint="eastAsia"/>
        </w:rPr>
        <w:t>要</w:t>
      </w:r>
      <w:r>
        <w:t>及时</w:t>
      </w:r>
      <w:r>
        <w:rPr>
          <w:rFonts w:hint="eastAsia"/>
        </w:rPr>
        <w:t>予以</w:t>
      </w:r>
      <w:r>
        <w:t>查处，同时开通节水监督专线，呼吁社会对浪费水的行为进行监督，逐步形成全民节水、人人节水、爱水、珍惜水的良好社会道德风尚</w:t>
      </w:r>
      <w:r>
        <w:rPr>
          <w:rFonts w:hint="eastAsia"/>
        </w:rPr>
        <w:t>。</w:t>
      </w:r>
    </w:p>
    <w:p>
      <w:pPr>
        <w:pStyle w:val="3"/>
        <w:spacing w:before="120" w:after="60"/>
        <w:ind w:firstLine="602"/>
        <w:rPr>
          <w:rFonts w:ascii="Times New Roman" w:hAnsi="Times New Roman"/>
        </w:rPr>
      </w:pPr>
      <w:bookmarkStart w:id="570" w:name="_Toc8032697"/>
      <w:bookmarkStart w:id="571" w:name="_Toc531180190"/>
      <w:r>
        <w:rPr>
          <w:rFonts w:hint="eastAsia" w:ascii="Times New Roman" w:hAnsi="Times New Roman"/>
        </w:rPr>
        <w:t>10.4保障资金投入，强化市场调节</w:t>
      </w:r>
      <w:bookmarkEnd w:id="570"/>
      <w:bookmarkEnd w:id="571"/>
    </w:p>
    <w:p>
      <w:pPr>
        <w:pStyle w:val="4"/>
        <w:ind w:left="0" w:leftChars="0" w:firstLine="747" w:firstLineChars="245"/>
      </w:pPr>
      <w:bookmarkStart w:id="572" w:name="_TOC_250010"/>
      <w:bookmarkStart w:id="573" w:name="_Toc8032698"/>
      <w:bookmarkStart w:id="574" w:name="_Toc531180191"/>
      <w:r>
        <w:t>10.4.1</w:t>
      </w:r>
      <w:bookmarkEnd w:id="572"/>
      <w:r>
        <w:t>加大政府投入</w:t>
      </w:r>
      <w:bookmarkEnd w:id="573"/>
      <w:bookmarkEnd w:id="574"/>
    </w:p>
    <w:p>
      <w:pPr>
        <w:snapToGrid w:val="0"/>
        <w:ind w:right="-134" w:rightChars="-48" w:firstLine="560"/>
      </w:pPr>
      <w:r>
        <w:rPr>
          <w:rFonts w:hint="eastAsia"/>
        </w:rPr>
        <w:t>出台《淮北市城市节水财政资金管理办法》，加大财政专项资金投放力度，为创建工作提供充足的财力保障；各成员单位要按照创建要求，加大对节水型设施建设、改造等专项经费筹措；同时建立健全政府导向投入、企业主体投入、社会广泛投入的多元投入机制，调动社会各界参与积极性，整合项目和资金，保证创建各项资金落实到位。</w:t>
      </w:r>
    </w:p>
    <w:p>
      <w:pPr>
        <w:snapToGrid w:val="0"/>
        <w:ind w:right="-134" w:rightChars="-48" w:firstLine="560"/>
      </w:pPr>
      <w:r>
        <w:t>国家节水型城市要求，城市节水专项财政投入占本级财政支出的比例≥0.5‰。《城市节水评价标准》中规定，城市节水财政投入占本级财政支出的比例≥0.3‰。政府需建立长效、稳定的节水专项财政来源和投入制度，保障节水专项资金的申请和发放。经费来源应以非居民用水超定额计划累进加价费为基础，部分水资源费、政府财政拨款等，组成节水专项资金，专款专用。</w:t>
      </w:r>
    </w:p>
    <w:p>
      <w:pPr>
        <w:snapToGrid w:val="0"/>
        <w:ind w:right="-134" w:rightChars="-48" w:firstLine="560"/>
      </w:pPr>
      <w:r>
        <w:rPr>
          <w:rFonts w:hint="eastAsia"/>
        </w:rPr>
        <w:t>无论是宣传教育、加强用水器具管理，还是创建淮北市“节水型企业（单位）”和“节水型小区”等其他非工程性措施，除了要有一定的人力、物力的投入外，还必须有足够的资金投入。只有在做好各项保障措施之后，才能更好的推进淮北市城市节水基础管理工作。</w:t>
      </w:r>
      <w:r>
        <w:t>政府要重点支持与节水相关的项目和工作。将节水工作经费列入财政年度预算，明细清晰。包括：1.节水器具、技术、工艺的研究和推广，节水设施建设补助；2.再生水、雨水等非传统水资源利用设施建设；3.节水培训、水平衡测试、用水节水评估、节水专项（编制节水规划、节水信息化建设、新技术推广）；4.节水宣传教育；5.节水个人及企业的奖励、补贴；6.其他与城市节水管理相关的事项。</w:t>
      </w:r>
    </w:p>
    <w:p>
      <w:pPr>
        <w:pStyle w:val="4"/>
        <w:ind w:left="0" w:leftChars="0" w:firstLine="747" w:firstLineChars="245"/>
      </w:pPr>
      <w:bookmarkStart w:id="575" w:name="_Toc531180192"/>
      <w:bookmarkStart w:id="576" w:name="_Toc8032699"/>
      <w:r>
        <w:rPr>
          <w:rFonts w:hint="eastAsia"/>
        </w:rPr>
        <w:t>10.4.2 企业自筹资金</w:t>
      </w:r>
      <w:bookmarkEnd w:id="575"/>
      <w:bookmarkEnd w:id="576"/>
    </w:p>
    <w:p>
      <w:pPr>
        <w:snapToGrid w:val="0"/>
        <w:ind w:right="-134" w:rightChars="-48" w:firstLine="560"/>
      </w:pPr>
      <w:r>
        <w:rPr>
          <w:rFonts w:hint="eastAsia"/>
        </w:rPr>
        <w:t>对于企业节水技术改造而言，通常既具有节水的社会效益，又会给企业带来良好的经济效益，因此，要根据企业实际情况，以高耗水企业为重点，全面带动工业节水水平提升。以政策为引导，根据企业情况制定相应的节水技术改造方案，通过企业节水投入，提高用水水平同时节约成本。企业投入是工业节水的重要资金投入来源，政府应建立相应配套资金予以补贴和奖励。</w:t>
      </w:r>
    </w:p>
    <w:p>
      <w:pPr>
        <w:pStyle w:val="4"/>
        <w:ind w:left="0" w:leftChars="0" w:firstLine="747" w:firstLineChars="245"/>
      </w:pPr>
      <w:bookmarkStart w:id="577" w:name="_Toc531180193"/>
      <w:bookmarkStart w:id="578" w:name="_Toc8032700"/>
      <w:r>
        <w:rPr>
          <w:rFonts w:hint="eastAsia"/>
        </w:rPr>
        <w:t>10.4.3争取上级财政支持</w:t>
      </w:r>
      <w:bookmarkEnd w:id="577"/>
      <w:bookmarkEnd w:id="578"/>
    </w:p>
    <w:p>
      <w:pPr>
        <w:snapToGrid w:val="0"/>
        <w:ind w:right="-134" w:rightChars="-48" w:firstLine="560"/>
      </w:pPr>
      <w:r>
        <w:t>国家财政部、住建部、水利部联合先后开展</w:t>
      </w:r>
      <w:r>
        <w:rPr>
          <w:rFonts w:hint="eastAsia"/>
        </w:rPr>
        <w:t>数</w:t>
      </w:r>
      <w:r>
        <w:t>批全国海绵城市试点建设，中央财政对海绵城市建设重点给予专项资金补助，一定三年，具体补助数额按城市规模分档确定，直辖市每年6亿元，省会城市每年5亿元，其他城市每年4亿元。对采用PPP模式达到一定比例的，将按上述补助基数奖励10%。</w:t>
      </w:r>
      <w:r>
        <w:rPr>
          <w:rFonts w:hint="eastAsia"/>
        </w:rPr>
        <w:t>安徽</w:t>
      </w:r>
      <w:r>
        <w:t>省住房和城乡建设厅自2016年开始组织开展海绵城市试点建设工作，</w:t>
      </w:r>
      <w:r>
        <w:rPr>
          <w:rFonts w:hint="eastAsia"/>
        </w:rPr>
        <w:t>今后还</w:t>
      </w:r>
      <w:r>
        <w:t>将继续开始省级试点评选，省级财政对试点城市给予专项资金补助，一定三年，具体补助金额按设区市和县（县级市）分档确定。</w:t>
      </w:r>
    </w:p>
    <w:p>
      <w:pPr>
        <w:snapToGrid w:val="0"/>
        <w:ind w:right="-134" w:rightChars="-48" w:firstLine="560"/>
      </w:pPr>
      <w:r>
        <w:t>海绵城市建设的很大部分内容与城市节水是息息相关的，因此，</w:t>
      </w:r>
      <w:r>
        <w:rPr>
          <w:rFonts w:hint="eastAsia"/>
        </w:rPr>
        <w:t>淮北</w:t>
      </w:r>
      <w:r>
        <w:t>市各级各部门应通力合作，积极参与下一轮的国家级、省级海绵城市建设试点城市申报，争取国家、省海绵城市建设相关资金的支持。同时，还可以通过申请国家节水专项资金和省级节水专项资金等进行资金筹措。</w:t>
      </w:r>
    </w:p>
    <w:p>
      <w:pPr>
        <w:pStyle w:val="4"/>
        <w:ind w:left="0" w:leftChars="0" w:firstLine="747" w:firstLineChars="245"/>
        <w:rPr>
          <w:rFonts w:eastAsia="华文细黑"/>
          <w:b w:val="0"/>
          <w:bCs w:val="0"/>
          <w:szCs w:val="18"/>
        </w:rPr>
      </w:pPr>
      <w:bookmarkStart w:id="579" w:name="_Toc8032701"/>
      <w:bookmarkStart w:id="580" w:name="_Toc531180194"/>
      <w:r>
        <w:rPr>
          <w:rFonts w:hint="eastAsia"/>
        </w:rPr>
        <w:t>10.4.4</w:t>
      </w:r>
      <w:r>
        <w:t>拓宽投融资渠道</w:t>
      </w:r>
      <w:bookmarkEnd w:id="579"/>
      <w:bookmarkEnd w:id="580"/>
    </w:p>
    <w:p>
      <w:pPr>
        <w:snapToGrid w:val="0"/>
        <w:ind w:right="-134" w:rightChars="-48" w:firstLine="560"/>
      </w:pPr>
      <w:r>
        <w:t>鼓励金融机构开展绿色信贷，探索运用互联网+供应链金融方式，加大对城镇节水改造项目的信贷资金支持。有效发挥政策性银行引导作用，以低息贷款、延长信贷周期等方式，优先支持城镇节水改造项目。鼓励金融资本、民间资本、创业与私募股权基金等设立城镇节水改造产业投资基金，财政资金及地方政府投融资平台可通过认购基金股份等方式予以支持。</w:t>
      </w:r>
    </w:p>
    <w:p>
      <w:pPr>
        <w:pStyle w:val="4"/>
        <w:ind w:left="0" w:leftChars="0" w:firstLine="747" w:firstLineChars="245"/>
        <w:rPr>
          <w:b w:val="0"/>
        </w:rPr>
      </w:pPr>
      <w:bookmarkStart w:id="581" w:name="_Toc8032703"/>
      <w:bookmarkStart w:id="582" w:name="_Toc531180196"/>
      <w:r>
        <w:rPr>
          <w:rFonts w:hint="eastAsia"/>
        </w:rPr>
        <w:t>10.4.5</w:t>
      </w:r>
      <w:r>
        <w:t>完善激励</w:t>
      </w:r>
      <w:r>
        <w:rPr>
          <w:rFonts w:hint="eastAsia"/>
        </w:rPr>
        <w:t>奖惩</w:t>
      </w:r>
      <w:bookmarkEnd w:id="581"/>
      <w:bookmarkEnd w:id="582"/>
      <w:r>
        <w:rPr>
          <w:rFonts w:hint="eastAsia"/>
        </w:rPr>
        <w:t>机制</w:t>
      </w:r>
    </w:p>
    <w:p>
      <w:pPr>
        <w:snapToGrid w:val="0"/>
        <w:ind w:right="-134" w:rightChars="-48" w:firstLine="560"/>
      </w:pPr>
      <w:r>
        <w:rPr>
          <w:rFonts w:hint="eastAsia"/>
        </w:rPr>
        <w:t>（1）</w:t>
      </w:r>
      <w:r>
        <w:t>制定节水奖励办法</w:t>
      </w:r>
    </w:p>
    <w:p>
      <w:pPr>
        <w:snapToGrid w:val="0"/>
        <w:ind w:right="-134" w:rightChars="-48" w:firstLine="560"/>
      </w:pPr>
      <w:r>
        <w:t>发挥当地财政节水专项资金的杠杆作用，利用节水专项资金作为奖励资金来源，采取以奖代补、直接补贴等形式，撬动企业单位节水资金投入，促进企业用水转型升级。通过制定</w:t>
      </w:r>
      <w:r>
        <w:rPr>
          <w:rFonts w:hint="eastAsia"/>
        </w:rPr>
        <w:t>《淮北市城市节约用水奖励办法》</w:t>
      </w:r>
      <w:r>
        <w:t>，对节水先进单位和企业予以奖励。</w:t>
      </w:r>
      <w:r>
        <w:rPr>
          <w:rFonts w:hint="eastAsia"/>
        </w:rPr>
        <w:t>例如，</w:t>
      </w:r>
      <w:r>
        <w:t>《深圳市节约用水奖励办法》规定：按照单位用户实际投入节水设施建设资金的50%给予奖励，其中获得节水型企业（单位）称号的，最高奖励金额不超过150万元，其他单位用户最高奖励金额不超过100万元；按照单位用户的节约效益水量确定，每1立方米节约效益水量奖励金额为3元，最高奖励金额不超过50万元。</w:t>
      </w:r>
    </w:p>
    <w:p>
      <w:pPr>
        <w:snapToGrid w:val="0"/>
        <w:ind w:right="-134" w:rightChars="-48" w:firstLine="560"/>
      </w:pPr>
      <w:r>
        <w:rPr>
          <w:rFonts w:hint="eastAsia"/>
        </w:rPr>
        <w:t>（2）实施非居民用水户超计划和超定额用水累进加价制度</w:t>
      </w:r>
    </w:p>
    <w:p>
      <w:pPr>
        <w:snapToGrid w:val="0"/>
        <w:ind w:right="-134" w:rightChars="-48" w:firstLine="560"/>
      </w:pPr>
      <w:r>
        <w:t>紧跟节水技术的发展，逐步完善更新</w:t>
      </w:r>
      <w:r>
        <w:rPr>
          <w:rFonts w:hint="eastAsia"/>
        </w:rPr>
        <w:t>非居民用水户</w:t>
      </w:r>
      <w:r>
        <w:t>取水定额标准，对现有</w:t>
      </w:r>
      <w:r>
        <w:rPr>
          <w:rFonts w:hint="eastAsia"/>
        </w:rPr>
        <w:t>非居民用水户用水超计划超定额的实施累进加价收费</w:t>
      </w:r>
      <w:r>
        <w:t>，强制刺激</w:t>
      </w:r>
      <w:r>
        <w:rPr>
          <w:rFonts w:hint="eastAsia"/>
        </w:rPr>
        <w:t>非居民用水户</w:t>
      </w:r>
      <w:r>
        <w:t>投入资金进行节水升级。</w:t>
      </w:r>
    </w:p>
    <w:p>
      <w:pPr>
        <w:snapToGrid w:val="0"/>
        <w:ind w:right="-134" w:rightChars="-48" w:firstLine="560"/>
      </w:pPr>
      <w:r>
        <w:t>另外，减排就是节水。国家通过制定环境保护税法，从根本上解决现行排污费制度存在的执法刚性不足、行政干预较多、强制性和规范性较为缺乏等问题，促进形成治污减排的内在约束机制，倒逼企业进行节水技改，减少排污量。如法国通过提高排污费来促进企业控制水污染,把征收排污费与推动节水减污结合起来,并对采用节水减污措施给予优惠待遇，取得效果显著。</w:t>
      </w:r>
    </w:p>
    <w:p>
      <w:pPr>
        <w:pStyle w:val="3"/>
        <w:spacing w:before="120" w:after="60"/>
        <w:ind w:firstLine="602"/>
        <w:rPr>
          <w:rFonts w:ascii="Times New Roman" w:hAnsi="Times New Roman"/>
        </w:rPr>
      </w:pPr>
      <w:bookmarkStart w:id="583" w:name="_Toc531180197"/>
      <w:bookmarkStart w:id="584" w:name="_Toc8032704"/>
      <w:r>
        <w:rPr>
          <w:rFonts w:hint="eastAsia" w:ascii="Times New Roman" w:hAnsi="Times New Roman"/>
        </w:rPr>
        <w:t>10.5</w:t>
      </w:r>
      <w:bookmarkStart w:id="585" w:name="_TOC_250004"/>
      <w:bookmarkEnd w:id="585"/>
      <w:r>
        <w:rPr>
          <w:rFonts w:hint="eastAsia" w:ascii="Times New Roman" w:hAnsi="Times New Roman"/>
        </w:rPr>
        <w:t>依靠技术创新，强化科技支撑</w:t>
      </w:r>
      <w:bookmarkEnd w:id="583"/>
      <w:bookmarkEnd w:id="584"/>
    </w:p>
    <w:p>
      <w:pPr>
        <w:pStyle w:val="4"/>
        <w:ind w:left="0" w:leftChars="0" w:firstLine="747" w:firstLineChars="245"/>
      </w:pPr>
      <w:bookmarkStart w:id="586" w:name="_Toc8032705"/>
      <w:bookmarkStart w:id="587" w:name="_Toc531180198"/>
      <w:r>
        <w:rPr>
          <w:rFonts w:hint="eastAsia"/>
        </w:rPr>
        <w:t>10.5.1落实</w:t>
      </w:r>
      <w:r>
        <w:t>相关技术标准体系</w:t>
      </w:r>
      <w:bookmarkEnd w:id="586"/>
      <w:bookmarkEnd w:id="587"/>
    </w:p>
    <w:p>
      <w:pPr>
        <w:snapToGrid w:val="0"/>
        <w:ind w:right="-134" w:rightChars="-48" w:firstLine="560"/>
      </w:pPr>
      <w:r>
        <w:rPr>
          <w:rFonts w:hint="eastAsia"/>
        </w:rPr>
        <w:t>（1）落实</w:t>
      </w:r>
      <w:r>
        <w:t>海绵城市建设技术标准体系</w:t>
      </w:r>
      <w:r>
        <w:rPr>
          <w:rFonts w:hint="eastAsia"/>
        </w:rPr>
        <w:t>，加大海绵城市建设力度</w:t>
      </w:r>
    </w:p>
    <w:p>
      <w:pPr>
        <w:snapToGrid w:val="0"/>
        <w:ind w:right="-134" w:rightChars="-48" w:firstLine="560"/>
      </w:pPr>
      <w:r>
        <w:t>针对</w:t>
      </w:r>
      <w:r>
        <w:rPr>
          <w:rFonts w:hint="eastAsia"/>
        </w:rPr>
        <w:t>淮北市</w:t>
      </w:r>
      <w:r>
        <w:t>的建设特征和趋势，应结合气象、水文、地质等本土条件，研究技术本地化特征，进一步研究和制定海绵城市的相关技术指引和标准图集，形成覆盖建设项目规划、设计、施工、维护、审查的技术标准体系。</w:t>
      </w:r>
    </w:p>
    <w:p>
      <w:pPr>
        <w:snapToGrid w:val="0"/>
        <w:ind w:right="-134" w:rightChars="-48" w:firstLine="560"/>
      </w:pPr>
      <w:r>
        <w:rPr>
          <w:rFonts w:hint="eastAsia"/>
        </w:rPr>
        <w:t>淮北市</w:t>
      </w:r>
      <w:r>
        <w:t>应基于海绵城市规划，参考第一、二批试点城市的海绵城市建设经验和成果，指导和促进</w:t>
      </w:r>
      <w:r>
        <w:rPr>
          <w:rFonts w:hint="eastAsia"/>
        </w:rPr>
        <w:t>淮北</w:t>
      </w:r>
      <w:r>
        <w:t>市海绵城市的规划建设。</w:t>
      </w:r>
    </w:p>
    <w:p>
      <w:pPr>
        <w:snapToGrid w:val="0"/>
        <w:ind w:right="-134" w:rightChars="-48" w:firstLine="560"/>
      </w:pPr>
      <w:r>
        <w:t>为了更好地指导不同类型建设项目的海绵设施建设，</w:t>
      </w:r>
      <w:r>
        <w:rPr>
          <w:rFonts w:hint="eastAsia"/>
        </w:rPr>
        <w:t>淮北</w:t>
      </w:r>
      <w:r>
        <w:t>市还应组织编制《</w:t>
      </w:r>
      <w:r>
        <w:rPr>
          <w:rFonts w:hint="eastAsia"/>
        </w:rPr>
        <w:t>淮北</w:t>
      </w:r>
      <w:r>
        <w:t>市海绵城市建设技术指南》，对海绵型道路与广场、海绵型公园与绿地、海绵型建筑与小区、海绵型水务等不同类型的建设项目分类提出海绵城市规划指引、设计要点与审批流程。</w:t>
      </w:r>
    </w:p>
    <w:p>
      <w:pPr>
        <w:snapToGrid w:val="0"/>
        <w:ind w:right="-134" w:rightChars="-48" w:firstLine="560"/>
      </w:pPr>
      <w:r>
        <w:rPr>
          <w:rFonts w:hint="eastAsia"/>
        </w:rPr>
        <w:t>（2）</w:t>
      </w:r>
      <w:r>
        <w:t>其他节水技术标准体系</w:t>
      </w:r>
    </w:p>
    <w:p>
      <w:pPr>
        <w:snapToGrid w:val="0"/>
        <w:ind w:right="-134" w:rightChars="-48" w:firstLine="560"/>
      </w:pPr>
      <w:bookmarkStart w:id="588" w:name="_TOC_250003"/>
      <w:bookmarkEnd w:id="588"/>
      <w:bookmarkStart w:id="589" w:name="_Toc8032706"/>
      <w:bookmarkStart w:id="590" w:name="_Toc531180199"/>
      <w:r>
        <w:t>结合国家和省级政府的要求</w:t>
      </w:r>
      <w:r>
        <w:rPr>
          <w:rFonts w:hint="eastAsia"/>
        </w:rPr>
        <w:t>以及淮北</w:t>
      </w:r>
      <w:r>
        <w:t>市的建设条件和经济发展趋势等，</w:t>
      </w:r>
      <w:r>
        <w:rPr>
          <w:rFonts w:hint="eastAsia"/>
        </w:rPr>
        <w:t>制定和</w:t>
      </w:r>
      <w:r>
        <w:t>完善《</w:t>
      </w:r>
      <w:r>
        <w:rPr>
          <w:rFonts w:hint="eastAsia"/>
        </w:rPr>
        <w:t>淮北</w:t>
      </w:r>
      <w:r>
        <w:t>市</w:t>
      </w:r>
      <w:r>
        <w:rPr>
          <w:rFonts w:hint="eastAsia"/>
        </w:rPr>
        <w:t>行业</w:t>
      </w:r>
      <w:r>
        <w:t>用水定额》</w:t>
      </w:r>
      <w:r>
        <w:rPr>
          <w:rFonts w:hint="eastAsia"/>
        </w:rPr>
        <w:t>。</w:t>
      </w:r>
    </w:p>
    <w:p>
      <w:pPr>
        <w:pStyle w:val="4"/>
        <w:ind w:left="0" w:leftChars="0" w:firstLine="747" w:firstLineChars="245"/>
      </w:pPr>
      <w:r>
        <w:rPr>
          <w:rFonts w:hint="eastAsia"/>
        </w:rPr>
        <w:t>10.5.2</w:t>
      </w:r>
      <w:r>
        <w:t>提高节水科技创新能力</w:t>
      </w:r>
      <w:bookmarkEnd w:id="589"/>
      <w:bookmarkEnd w:id="590"/>
    </w:p>
    <w:p>
      <w:pPr>
        <w:snapToGrid w:val="0"/>
        <w:ind w:right="-134" w:rightChars="-48" w:firstLine="560"/>
      </w:pPr>
      <w:r>
        <w:t>不断依靠科技的进步，开发并推广节水新技术、新工艺和新产品，改造并淘汰老旧节水器具，降低管网漏损率、提高非常规水资源利用率、提高工业用水重复利用率等等。</w:t>
      </w:r>
    </w:p>
    <w:p>
      <w:pPr>
        <w:snapToGrid w:val="0"/>
        <w:ind w:right="-134" w:rightChars="-48" w:firstLine="560"/>
      </w:pPr>
      <w:r>
        <w:t>积极开展节水先进经验和节水科技的学术交流活动，学习和吸收国外先进的节水技术管理经验，提高节水管理、技术人员的科技水平，推进节水技术进步。</w:t>
      </w:r>
    </w:p>
    <w:p>
      <w:pPr>
        <w:snapToGrid w:val="0"/>
        <w:ind w:right="-134" w:rightChars="-48" w:firstLine="560"/>
      </w:pPr>
      <w:r>
        <w:t>在企业单位内部等成立节水试点，通过积累并分析实际运行过程中的数据，不断提高工业用水重复利用率，研发适合企业工艺的冷却节水技术和废水处理技术等，改善节水效果，提高节水技术水平。积极开展重点节水技术研究开发项目，如高</w:t>
      </w:r>
      <w:r>
        <w:rPr>
          <w:rFonts w:hint="eastAsia"/>
        </w:rPr>
        <w:t>灵敏</w:t>
      </w:r>
      <w:r>
        <w:t>度检测仪器、工业废水治理和中水回用新工艺、新设备、管网漏损探测新设备等。</w:t>
      </w:r>
    </w:p>
    <w:p>
      <w:pPr>
        <w:pStyle w:val="4"/>
        <w:ind w:left="0" w:leftChars="0" w:firstLine="747" w:firstLineChars="245"/>
      </w:pPr>
      <w:bookmarkStart w:id="591" w:name="_TOC_250002"/>
      <w:bookmarkEnd w:id="591"/>
      <w:bookmarkStart w:id="592" w:name="_Toc8032707"/>
      <w:bookmarkStart w:id="593" w:name="_Toc531180200"/>
      <w:r>
        <w:rPr>
          <w:rFonts w:hint="eastAsia"/>
        </w:rPr>
        <w:t>10.5.3</w:t>
      </w:r>
      <w:r>
        <w:t>完善节水信息化管理平台</w:t>
      </w:r>
      <w:bookmarkEnd w:id="592"/>
      <w:bookmarkEnd w:id="593"/>
    </w:p>
    <w:p>
      <w:pPr>
        <w:snapToGrid w:val="0"/>
        <w:ind w:right="-134" w:rightChars="-48" w:firstLine="560"/>
      </w:pPr>
      <w:r>
        <w:t>利用城市供水管网技术档案，逐步建立供水管网地理信息系统(GIS)，建立资料完善、数据准确、更新及时的节水信息化管理平台，满足城市规划、建设、运行和应急等工作需要。推进管线信息系统与数字化城市管理系统、智慧城市融合。</w:t>
      </w:r>
    </w:p>
    <w:p>
      <w:pPr>
        <w:snapToGrid w:val="0"/>
        <w:ind w:right="-134" w:rightChars="-48" w:firstLine="560"/>
      </w:pPr>
      <w:r>
        <w:t>要与供水企业建立用水量信息共享机制，实现实时监控；完善用户管理台账，具备“一本帐（用水台账）、一张图（管网图）、一本书（水平衡测试报告书）”，建立完善的节水信息数据库，并在此基础上，对全市各行业用水、节水指标进行分类统计，并加强节水信息的发布与交流，建立节水数据管理的权威性。</w:t>
      </w:r>
    </w:p>
    <w:p>
      <w:pPr>
        <w:snapToGrid w:val="0"/>
        <w:ind w:right="-134" w:rightChars="-48" w:firstLine="560"/>
      </w:pPr>
      <w:r>
        <w:t>该信息平台除对居民生活用水、厂矿企业用水进行监测外，还需对地表水、雨水、污水进行监测，从宏观上对全市的节水工作进行全面的管理和引导。</w:t>
      </w:r>
    </w:p>
    <w:p>
      <w:pPr>
        <w:snapToGrid w:val="0"/>
        <w:ind w:right="-134" w:rightChars="-48" w:firstLine="560"/>
      </w:pPr>
    </w:p>
    <w:p>
      <w:pPr>
        <w:snapToGrid w:val="0"/>
        <w:ind w:right="-134" w:rightChars="-48" w:firstLine="560"/>
      </w:pPr>
    </w:p>
    <w:p>
      <w:pPr>
        <w:spacing w:line="240" w:lineRule="auto"/>
        <w:ind w:firstLine="0" w:firstLineChars="0"/>
        <w:rPr>
          <w:highlight w:val="yellow"/>
        </w:rPr>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pPr>
    </w:p>
    <w:p>
      <w:pPr>
        <w:spacing w:line="240" w:lineRule="auto"/>
        <w:ind w:firstLine="0" w:firstLineChars="0"/>
        <w:rPr>
          <w:highlight w:val="yellow"/>
        </w:rPr>
      </w:pPr>
      <w:r>
        <w:rPr>
          <w:rFonts w:hint="eastAsia"/>
        </w:rPr>
        <w:drawing>
          <wp:inline distT="0" distB="0" distL="0" distR="0">
            <wp:extent cx="5530215" cy="8371205"/>
            <wp:effectExtent l="19050" t="0" r="0" b="0"/>
            <wp:docPr id="6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2"/>
                    <pic:cNvPicPr>
                      <a:picLocks noChangeAspect="1" noChangeArrowheads="1"/>
                    </pic:cNvPicPr>
                  </pic:nvPicPr>
                  <pic:blipFill>
                    <a:blip r:embed="rId94"/>
                    <a:srcRect/>
                    <a:stretch>
                      <a:fillRect/>
                    </a:stretch>
                  </pic:blipFill>
                  <pic:spPr>
                    <a:xfrm>
                      <a:off x="0" y="0"/>
                      <a:ext cx="5529465" cy="8370168"/>
                    </a:xfrm>
                    <a:prstGeom prst="rect">
                      <a:avLst/>
                    </a:prstGeom>
                    <a:noFill/>
                    <a:ln w="9525">
                      <a:noFill/>
                      <a:miter lim="800000"/>
                      <a:headEnd/>
                      <a:tailEnd/>
                    </a:ln>
                  </pic:spPr>
                </pic:pic>
              </a:graphicData>
            </a:graphic>
          </wp:inline>
        </w:drawing>
      </w:r>
      <w:r>
        <w:rPr>
          <w:rFonts w:hint="eastAsia"/>
          <w:highlight w:val="yellow"/>
        </w:rPr>
        <w:t xml:space="preserve"> </w:t>
      </w:r>
      <w:r>
        <w:rPr>
          <w:rFonts w:hint="eastAsia"/>
        </w:rPr>
        <w:drawing>
          <wp:inline distT="0" distB="0" distL="0" distR="0">
            <wp:extent cx="5664835" cy="8497570"/>
            <wp:effectExtent l="19050" t="0" r="0" b="0"/>
            <wp:docPr id="6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5"/>
                    <pic:cNvPicPr>
                      <a:picLocks noChangeAspect="1" noChangeArrowheads="1"/>
                    </pic:cNvPicPr>
                  </pic:nvPicPr>
                  <pic:blipFill>
                    <a:blip r:embed="rId95"/>
                    <a:srcRect/>
                    <a:stretch>
                      <a:fillRect/>
                    </a:stretch>
                  </pic:blipFill>
                  <pic:spPr>
                    <a:xfrm>
                      <a:off x="0" y="0"/>
                      <a:ext cx="5666278" cy="8499763"/>
                    </a:xfrm>
                    <a:prstGeom prst="rect">
                      <a:avLst/>
                    </a:prstGeom>
                    <a:noFill/>
                    <a:ln w="9525">
                      <a:noFill/>
                      <a:miter lim="800000"/>
                      <a:headEnd/>
                      <a:tailEnd/>
                    </a:ln>
                  </pic:spPr>
                </pic:pic>
              </a:graphicData>
            </a:graphic>
          </wp:inline>
        </w:drawing>
      </w:r>
      <w:r>
        <w:rPr>
          <w:rFonts w:hint="eastAsia"/>
          <w:highlight w:val="yellow"/>
        </w:rPr>
        <w:t xml:space="preserve"> </w:t>
      </w:r>
      <w:r>
        <w:rPr>
          <w:rFonts w:hint="eastAsia"/>
        </w:rPr>
        <w:drawing>
          <wp:inline distT="0" distB="0" distL="0" distR="0">
            <wp:extent cx="5814060" cy="7856220"/>
            <wp:effectExtent l="19050" t="0" r="0" b="0"/>
            <wp:docPr id="6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
                    <pic:cNvPicPr>
                      <a:picLocks noChangeAspect="1" noChangeArrowheads="1"/>
                    </pic:cNvPicPr>
                  </pic:nvPicPr>
                  <pic:blipFill>
                    <a:blip r:embed="rId96"/>
                    <a:srcRect/>
                    <a:stretch>
                      <a:fillRect/>
                    </a:stretch>
                  </pic:blipFill>
                  <pic:spPr>
                    <a:xfrm>
                      <a:off x="0" y="0"/>
                      <a:ext cx="5817290" cy="7860981"/>
                    </a:xfrm>
                    <a:prstGeom prst="rect">
                      <a:avLst/>
                    </a:prstGeom>
                    <a:noFill/>
                    <a:ln w="9525">
                      <a:noFill/>
                      <a:miter lim="800000"/>
                      <a:headEnd/>
                      <a:tailEnd/>
                    </a:ln>
                  </pic:spPr>
                </pic:pic>
              </a:graphicData>
            </a:graphic>
          </wp:inline>
        </w:drawing>
      </w:r>
      <w:r>
        <w:rPr>
          <w:rFonts w:hint="eastAsia"/>
          <w:highlight w:val="yellow"/>
        </w:rPr>
        <w:t xml:space="preserve"> </w:t>
      </w:r>
      <w:r>
        <w:rPr>
          <w:rFonts w:hint="eastAsia"/>
        </w:rPr>
        <w:drawing>
          <wp:inline distT="0" distB="0" distL="0" distR="0">
            <wp:extent cx="5340985" cy="8102600"/>
            <wp:effectExtent l="19050" t="0" r="0" b="0"/>
            <wp:docPr id="25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31"/>
                    <pic:cNvPicPr>
                      <a:picLocks noChangeAspect="1" noChangeArrowheads="1"/>
                    </pic:cNvPicPr>
                  </pic:nvPicPr>
                  <pic:blipFill>
                    <a:blip r:embed="rId97"/>
                    <a:srcRect/>
                    <a:stretch>
                      <a:fillRect/>
                    </a:stretch>
                  </pic:blipFill>
                  <pic:spPr>
                    <a:xfrm>
                      <a:off x="0" y="0"/>
                      <a:ext cx="5341210" cy="8102956"/>
                    </a:xfrm>
                    <a:prstGeom prst="rect">
                      <a:avLst/>
                    </a:prstGeom>
                    <a:noFill/>
                    <a:ln w="9525">
                      <a:noFill/>
                      <a:miter lim="800000"/>
                      <a:headEnd/>
                      <a:tailEnd/>
                    </a:ln>
                  </pic:spPr>
                </pic:pic>
              </a:graphicData>
            </a:graphic>
          </wp:inline>
        </w:drawing>
      </w:r>
      <w:r>
        <w:rPr>
          <w:rFonts w:hint="eastAsia"/>
          <w:highlight w:val="yellow"/>
        </w:rPr>
        <w:t xml:space="preserve"> </w:t>
      </w:r>
      <w:r>
        <w:rPr>
          <w:rFonts w:hint="eastAsia"/>
        </w:rPr>
        <w:drawing>
          <wp:inline distT="0" distB="0" distL="0" distR="0">
            <wp:extent cx="5987415" cy="8863965"/>
            <wp:effectExtent l="19050" t="0" r="0" b="0"/>
            <wp:docPr id="25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34"/>
                    <pic:cNvPicPr>
                      <a:picLocks noChangeAspect="1" noChangeArrowheads="1"/>
                    </pic:cNvPicPr>
                  </pic:nvPicPr>
                  <pic:blipFill>
                    <a:blip r:embed="rId98"/>
                    <a:srcRect/>
                    <a:stretch>
                      <a:fillRect/>
                    </a:stretch>
                  </pic:blipFill>
                  <pic:spPr>
                    <a:xfrm>
                      <a:off x="0" y="0"/>
                      <a:ext cx="5987612" cy="8864099"/>
                    </a:xfrm>
                    <a:prstGeom prst="rect">
                      <a:avLst/>
                    </a:prstGeom>
                    <a:noFill/>
                    <a:ln w="9525">
                      <a:noFill/>
                      <a:miter lim="800000"/>
                      <a:headEnd/>
                      <a:tailEnd/>
                    </a:ln>
                  </pic:spPr>
                </pic:pic>
              </a:graphicData>
            </a:graphic>
          </wp:inline>
        </w:drawing>
      </w:r>
    </w:p>
    <w:sectPr>
      <w:headerReference r:id="rId17" w:type="default"/>
      <w:type w:val="continuous"/>
      <w:pgSz w:w="23820" w:h="16840" w:orient="landscape"/>
      <w:pgMar w:top="1440" w:right="1440" w:bottom="1440" w:left="1440" w:header="885" w:footer="1281" w:gutter="0"/>
      <w:cols w:space="720" w:num="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仿宋">
    <w:panose1 w:val="02010609060101010101"/>
    <w:charset w:val="86"/>
    <w:family w:val="modern"/>
    <w:pitch w:val="default"/>
    <w:sig w:usb0="800002BF" w:usb1="38CF7CFA" w:usb2="00000016" w:usb3="00000000" w:csb0="00040001" w:csb1="00000000"/>
  </w:font>
  <w:font w:name="华文细黑">
    <w:panose1 w:val="02010600040101010101"/>
    <w:charset w:val="86"/>
    <w:family w:val="auto"/>
    <w:pitch w:val="default"/>
    <w:sig w:usb0="00000287" w:usb1="080F0000" w:usb2="00000000" w:usb3="00000000" w:csb0="0004009F" w:csb1="DFD7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Microsoft YaHei UI">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Century">
    <w:panose1 w:val="02040604050505020304"/>
    <w:charset w:val="00"/>
    <w:family w:val="roman"/>
    <w:pitch w:val="default"/>
    <w:sig w:usb0="00000287" w:usb1="00000000" w:usb2="00000000" w:usb3="00000000" w:csb0="2000009F" w:csb1="DFD70000"/>
  </w:font>
  <w:font w:name="Romantic">
    <w:altName w:val="Segoe Print"/>
    <w:panose1 w:val="00000400000000000000"/>
    <w:charset w:val="02"/>
    <w:family w:val="auto"/>
    <w:pitch w:val="default"/>
    <w:sig w:usb0="00000000" w:usb1="00000000" w:usb2="00000000" w:usb3="00000000" w:csb0="80000000" w:csb1="00000000"/>
  </w:font>
  <w:font w:name="Segoe Print">
    <w:panose1 w:val="02000600000000000000"/>
    <w:charset w:val="00"/>
    <w:family w:val="auto"/>
    <w:pitch w:val="default"/>
    <w:sig w:usb0="0000028F" w:usb1="00000000" w:usb2="00000000" w:usb3="00000000" w:csb0="2000009F" w:csb1="47010000"/>
  </w:font>
  <w:font w:name="??_GB2312">
    <w:altName w:val="Times New Roman"/>
    <w:panose1 w:val="00000000000000000000"/>
    <w:charset w:val="00"/>
    <w:family w:val="auto"/>
    <w:pitch w:val="default"/>
    <w:sig w:usb0="00000000" w:usb1="00000000" w:usb2="00000000" w:usb3="00000000" w:csb0="00000001" w:csb1="00000000"/>
  </w:font>
  <w:font w:name="方正小标宋简体">
    <w:panose1 w:val="02010601030101010101"/>
    <w:charset w:val="86"/>
    <w:family w:val="script"/>
    <w:pitch w:val="default"/>
    <w:sig w:usb0="00000001" w:usb1="080E0000" w:usb2="00000000" w:usb3="00000000" w:csb0="00040000" w:csb1="00000000"/>
  </w:font>
  <w:font w:name="华文楷体">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kinsoku w:val="0"/>
      <w:overflowPunct w:val="0"/>
      <w:spacing w:line="14" w:lineRule="auto"/>
      <w:ind w:firstLine="560"/>
      <w:rPr>
        <w:rFonts w:cs="Times New Roman"/>
        <w:sz w:val="20"/>
        <w:szCs w:val="20"/>
      </w:rPr>
    </w:pPr>
    <w:r>
      <mc:AlternateContent>
        <mc:Choice Requires="wps">
          <w:drawing>
            <wp:anchor distT="0" distB="0" distL="114300" distR="114300" simplePos="0" relativeHeight="251662336" behindDoc="1" locked="0" layoutInCell="0" allowOverlap="1">
              <wp:simplePos x="0" y="0"/>
              <wp:positionH relativeFrom="page">
                <wp:posOffset>10239375</wp:posOffset>
              </wp:positionH>
              <wp:positionV relativeFrom="page">
                <wp:posOffset>9744075</wp:posOffset>
              </wp:positionV>
              <wp:extent cx="3927475" cy="231140"/>
              <wp:effectExtent l="0" t="0" r="0" b="0"/>
              <wp:wrapNone/>
              <wp:docPr id="30" name="文本框 3"/>
              <wp:cNvGraphicFramePr/>
              <a:graphic xmlns:a="http://schemas.openxmlformats.org/drawingml/2006/main">
                <a:graphicData uri="http://schemas.microsoft.com/office/word/2010/wordprocessingShape">
                  <wps:wsp>
                    <wps:cNvSpPr txBox="1"/>
                    <wps:spPr>
                      <a:xfrm>
                        <a:off x="0" y="0"/>
                        <a:ext cx="3927475" cy="231140"/>
                      </a:xfrm>
                      <a:prstGeom prst="rect">
                        <a:avLst/>
                      </a:prstGeom>
                      <a:noFill/>
                      <a:ln>
                        <a:noFill/>
                      </a:ln>
                    </wps:spPr>
                    <wps:txbx>
                      <w:txbxContent>
                        <w:p>
                          <w:pPr>
                            <w:pStyle w:val="16"/>
                            <w:kinsoku w:val="0"/>
                            <w:overflowPunct w:val="0"/>
                            <w:spacing w:line="231" w:lineRule="exact"/>
                            <w:ind w:firstLine="3287" w:firstLineChars="1596"/>
                            <w:rPr>
                              <w:sz w:val="21"/>
                              <w:szCs w:val="21"/>
                            </w:rPr>
                          </w:pPr>
                          <w:r>
                            <w:rPr>
                              <w:rFonts w:hint="eastAsia"/>
                              <w:spacing w:val="-2"/>
                              <w:sz w:val="21"/>
                              <w:szCs w:val="21"/>
                            </w:rPr>
                            <w:t xml:space="preserve">安徽省城乡规划设计研究院 </w:t>
                          </w:r>
                        </w:p>
                      </w:txbxContent>
                    </wps:txbx>
                    <wps:bodyPr lIns="0" tIns="0" rIns="0" bIns="0" upright="1"/>
                  </wps:wsp>
                </a:graphicData>
              </a:graphic>
            </wp:anchor>
          </w:drawing>
        </mc:Choice>
        <mc:Fallback>
          <w:pict>
            <v:shape id="文本框 3" o:spid="_x0000_s1026" o:spt="202" type="#_x0000_t202" style="position:absolute;left:0pt;margin-left:806.25pt;margin-top:767.25pt;height:18.2pt;width:309.25pt;mso-position-horizontal-relative:page;mso-position-vertical-relative:page;z-index:-251654144;mso-width-relative:page;mso-height-relative:page;" filled="f" stroked="f" coordsize="21600,21600" o:allowincell="f" o:gfxdata="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e1gsUdoAAAAPAQAADwAAAAAAAAABACAAAAAiAAAAZHJzL2Rvd25yZXYueG1s&#10;UEsBAhQAFAAAAAgAh07iQJRwqY69AQAAcwMAAA4AAAAAAAAAAQAgAAAAKQEAAGRycy9lMm9Eb2Mu&#10;eG1sUEsFBgAAAAAGAAYAWQEAAFgFAAAAAA==&#10;">
              <v:fill on="f" focussize="0,0"/>
              <v:stroke on="f"/>
              <v:imagedata o:title=""/>
              <o:lock v:ext="edit" aspectratio="f"/>
              <v:textbox inset="0mm,0mm,0mm,0mm">
                <w:txbxContent>
                  <w:p>
                    <w:pPr>
                      <w:pStyle w:val="16"/>
                      <w:kinsoku w:val="0"/>
                      <w:overflowPunct w:val="0"/>
                      <w:spacing w:line="231" w:lineRule="exact"/>
                      <w:ind w:firstLine="3287" w:firstLineChars="1596"/>
                      <w:rPr>
                        <w:sz w:val="21"/>
                        <w:szCs w:val="21"/>
                      </w:rPr>
                    </w:pPr>
                    <w:r>
                      <w:rPr>
                        <w:rFonts w:hint="eastAsia"/>
                        <w:spacing w:val="-2"/>
                        <w:sz w:val="21"/>
                        <w:szCs w:val="21"/>
                      </w:rPr>
                      <w:t xml:space="preserve">安徽省城乡规划设计研究院 </w:t>
                    </w:r>
                  </w:p>
                </w:txbxContent>
              </v:textbox>
            </v:shape>
          </w:pict>
        </mc:Fallback>
      </mc:AlternateContent>
    </w:r>
    <w:r>
      <mc:AlternateContent>
        <mc:Choice Requires="wps">
          <w:drawing>
            <wp:anchor distT="0" distB="0" distL="114300" distR="114300" simplePos="0" relativeHeight="251661312" behindDoc="1" locked="0" layoutInCell="0" allowOverlap="1">
              <wp:simplePos x="0" y="0"/>
              <wp:positionH relativeFrom="page">
                <wp:posOffset>7506335</wp:posOffset>
              </wp:positionH>
              <wp:positionV relativeFrom="page">
                <wp:posOffset>9738360</wp:posOffset>
              </wp:positionV>
              <wp:extent cx="107950" cy="139700"/>
              <wp:effectExtent l="0" t="0" r="0" b="0"/>
              <wp:wrapNone/>
              <wp:docPr id="26" name="文本框 2"/>
              <wp:cNvGraphicFramePr/>
              <a:graphic xmlns:a="http://schemas.openxmlformats.org/drawingml/2006/main">
                <a:graphicData uri="http://schemas.microsoft.com/office/word/2010/wordprocessingShape">
                  <wps:wsp>
                    <wps:cNvSpPr txBox="1"/>
                    <wps:spPr>
                      <a:xfrm>
                        <a:off x="0" y="0"/>
                        <a:ext cx="107950" cy="139700"/>
                      </a:xfrm>
                      <a:prstGeom prst="rect">
                        <a:avLst/>
                      </a:prstGeom>
                      <a:noFill/>
                      <a:ln>
                        <a:noFill/>
                      </a:ln>
                    </wps:spPr>
                    <wps:txbx>
                      <w:txbxContent>
                        <w:p>
                          <w:pPr>
                            <w:pStyle w:val="16"/>
                            <w:kinsoku w:val="0"/>
                            <w:overflowPunct w:val="0"/>
                            <w:spacing w:line="204" w:lineRule="exact"/>
                            <w:ind w:left="40" w:firstLine="360"/>
                            <w:rPr>
                              <w:rFonts w:cs="Times New Roman"/>
                              <w:sz w:val="18"/>
                              <w:szCs w:val="18"/>
                            </w:rPr>
                          </w:pPr>
                          <w:r>
                            <w:rPr>
                              <w:rFonts w:cs="Times New Roman"/>
                              <w:sz w:val="18"/>
                              <w:szCs w:val="18"/>
                            </w:rPr>
                            <w:fldChar w:fldCharType="begin"/>
                          </w:r>
                          <w:r>
                            <w:rPr>
                              <w:rFonts w:cs="Times New Roman"/>
                              <w:sz w:val="18"/>
                              <w:szCs w:val="18"/>
                            </w:rPr>
                            <w:instrText xml:space="preserve"> PAGE </w:instrText>
                          </w:r>
                          <w:r>
                            <w:rPr>
                              <w:rFonts w:cs="Times New Roman"/>
                              <w:sz w:val="18"/>
                              <w:szCs w:val="18"/>
                            </w:rPr>
                            <w:fldChar w:fldCharType="separate"/>
                          </w:r>
                          <w:r>
                            <w:rPr>
                              <w:rFonts w:cs="Times New Roman"/>
                              <w:sz w:val="18"/>
                              <w:szCs w:val="18"/>
                            </w:rPr>
                            <w:t>V</w:t>
                          </w:r>
                          <w:r>
                            <w:rPr>
                              <w:rFonts w:cs="Times New Roman"/>
                              <w:sz w:val="18"/>
                              <w:szCs w:val="18"/>
                            </w:rPr>
                            <w:fldChar w:fldCharType="end"/>
                          </w:r>
                        </w:p>
                      </w:txbxContent>
                    </wps:txbx>
                    <wps:bodyPr lIns="0" tIns="0" rIns="0" bIns="0" upright="1"/>
                  </wps:wsp>
                </a:graphicData>
              </a:graphic>
            </wp:anchor>
          </w:drawing>
        </mc:Choice>
        <mc:Fallback>
          <w:pict>
            <v:shape id="文本框 2" o:spid="_x0000_s1026" o:spt="202" type="#_x0000_t202" style="position:absolute;left:0pt;margin-left:591.05pt;margin-top:766.8pt;height:11pt;width:8.5pt;mso-position-horizontal-relative:page;mso-position-vertical-relative:page;z-index:-251655168;mso-width-relative:page;mso-height-relative:page;" filled="f" stroked="f" coordsize="21600,21600" o:allowincell="f" o:gfxdata="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H0tSuzbAAAADwEAAA8AAAAAAAAAAQAgAAAAIgAAAGRycy9kb3ducmV2LnhtbFBL&#10;AQIUABQAAAAIAIdO4kBk8Y4OugEAAHIDAAAOAAAAAAAAAAEAIAAAACoBAABkcnMvZTJvRG9jLnht&#10;bFBLBQYAAAAABgAGAFkBAABWBQAAAAA=&#10;">
              <v:fill on="f" focussize="0,0"/>
              <v:stroke on="f"/>
              <v:imagedata o:title=""/>
              <o:lock v:ext="edit" aspectratio="f"/>
              <v:textbox inset="0mm,0mm,0mm,0mm">
                <w:txbxContent>
                  <w:p>
                    <w:pPr>
                      <w:pStyle w:val="16"/>
                      <w:kinsoku w:val="0"/>
                      <w:overflowPunct w:val="0"/>
                      <w:spacing w:line="204" w:lineRule="exact"/>
                      <w:ind w:left="40" w:firstLine="360"/>
                      <w:rPr>
                        <w:rFonts w:cs="Times New Roman"/>
                        <w:sz w:val="18"/>
                        <w:szCs w:val="18"/>
                      </w:rPr>
                    </w:pPr>
                    <w:r>
                      <w:rPr>
                        <w:rFonts w:cs="Times New Roman"/>
                        <w:sz w:val="18"/>
                        <w:szCs w:val="18"/>
                      </w:rPr>
                      <w:fldChar w:fldCharType="begin"/>
                    </w:r>
                    <w:r>
                      <w:rPr>
                        <w:rFonts w:cs="Times New Roman"/>
                        <w:sz w:val="18"/>
                        <w:szCs w:val="18"/>
                      </w:rPr>
                      <w:instrText xml:space="preserve"> PAGE </w:instrText>
                    </w:r>
                    <w:r>
                      <w:rPr>
                        <w:rFonts w:cs="Times New Roman"/>
                        <w:sz w:val="18"/>
                        <w:szCs w:val="18"/>
                      </w:rPr>
                      <w:fldChar w:fldCharType="separate"/>
                    </w:r>
                    <w:r>
                      <w:rPr>
                        <w:rFonts w:cs="Times New Roman"/>
                        <w:sz w:val="18"/>
                        <w:szCs w:val="18"/>
                      </w:rPr>
                      <w:t>V</w:t>
                    </w:r>
                    <w:r>
                      <w:rPr>
                        <w:rFonts w:cs="Times New Roman"/>
                        <w:sz w:val="18"/>
                        <w:szCs w:val="18"/>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6739633"/>
    </w:sdtPr>
    <w:sdtContent>
      <w:p>
        <w:pPr>
          <w:pStyle w:val="26"/>
          <w:ind w:firstLine="360"/>
          <w:jc w:val="center"/>
        </w:pPr>
        <w:r>
          <w:rPr>
            <w:rFonts w:hint="eastAsia"/>
          </w:rPr>
          <w:t xml:space="preserve">                                                                                                                                                   </w:t>
        </w:r>
        <w:r>
          <w:fldChar w:fldCharType="begin"/>
        </w:r>
        <w:r>
          <w:instrText xml:space="preserve"> PAGE   \* MERGEFORMAT </w:instrText>
        </w:r>
        <w:r>
          <w:fldChar w:fldCharType="separate"/>
        </w:r>
        <w:r>
          <w:rPr>
            <w:lang w:val="zh-CN"/>
          </w:rPr>
          <w:t>64</w:t>
        </w:r>
        <w:r>
          <w:rPr>
            <w:lang w:val="zh-CN"/>
          </w:rPr>
          <w:fldChar w:fldCharType="end"/>
        </w:r>
        <w:r>
          <w:rPr>
            <w:rFonts w:hint="eastAsia"/>
          </w:rPr>
          <w:t xml:space="preserve">                                                                                                                           安徽省城乡规划设计研究院</w: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560"/>
      </w:pPr>
      <w:r>
        <w:separator/>
      </w:r>
    </w:p>
  </w:footnote>
  <w:footnote w:type="continuationSeparator" w:id="1">
    <w:p>
      <w:pPr>
        <w:spacing w:line="24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kinsoku w:val="0"/>
      <w:overflowPunct w:val="0"/>
      <w:spacing w:line="14" w:lineRule="auto"/>
      <w:ind w:firstLine="560"/>
      <w:rPr>
        <w:rFonts w:cs="Times New Roman"/>
        <w:sz w:val="20"/>
        <w:szCs w:val="20"/>
      </w:rPr>
    </w:pPr>
    <w:r>
      <mc:AlternateContent>
        <mc:Choice Requires="wps">
          <w:drawing>
            <wp:anchor distT="0" distB="0" distL="114300" distR="114300" simplePos="0" relativeHeight="251660288" behindDoc="1" locked="0" layoutInCell="0" allowOverlap="1">
              <wp:simplePos x="0" y="0"/>
              <wp:positionH relativeFrom="page">
                <wp:posOffset>887730</wp:posOffset>
              </wp:positionH>
              <wp:positionV relativeFrom="page">
                <wp:posOffset>535940</wp:posOffset>
              </wp:positionV>
              <wp:extent cx="13345160" cy="167005"/>
              <wp:effectExtent l="0" t="0" r="0" b="0"/>
              <wp:wrapNone/>
              <wp:docPr id="23" name="文本框 1"/>
              <wp:cNvGraphicFramePr/>
              <a:graphic xmlns:a="http://schemas.openxmlformats.org/drawingml/2006/main">
                <a:graphicData uri="http://schemas.microsoft.com/office/word/2010/wordprocessingShape">
                  <wps:wsp>
                    <wps:cNvSpPr txBox="1"/>
                    <wps:spPr>
                      <a:xfrm>
                        <a:off x="0" y="0"/>
                        <a:ext cx="13345160" cy="167005"/>
                      </a:xfrm>
                      <a:prstGeom prst="rect">
                        <a:avLst/>
                      </a:prstGeom>
                      <a:noFill/>
                      <a:ln>
                        <a:noFill/>
                      </a:ln>
                    </wps:spPr>
                    <wps:txbx>
                      <w:txbxContent>
                        <w:p>
                          <w:pPr>
                            <w:pStyle w:val="16"/>
                            <w:tabs>
                              <w:tab w:val="left" w:pos="16051"/>
                            </w:tabs>
                            <w:kinsoku w:val="0"/>
                            <w:overflowPunct w:val="0"/>
                            <w:spacing w:line="247" w:lineRule="exact"/>
                            <w:ind w:left="20" w:firstLine="420"/>
                            <w:rPr>
                              <w:sz w:val="21"/>
                              <w:szCs w:val="21"/>
                            </w:rPr>
                          </w:pPr>
                          <w:r>
                            <w:rPr>
                              <w:rFonts w:cs="Times New Roman"/>
                              <w:sz w:val="21"/>
                              <w:szCs w:val="21"/>
                              <w:u w:val="single"/>
                            </w:rPr>
                            <w:t xml:space="preserve"> </w:t>
                          </w:r>
                          <w:r>
                            <w:rPr>
                              <w:rFonts w:hint="eastAsia" w:cs="Times New Roman"/>
                              <w:sz w:val="21"/>
                              <w:szCs w:val="21"/>
                              <w:u w:val="single"/>
                            </w:rPr>
                            <w:t xml:space="preserve">                                                                                                                                                                                                                                                                                                  </w:t>
                          </w:r>
                          <w:r>
                            <w:rPr>
                              <w:rFonts w:hint="eastAsia"/>
                              <w:spacing w:val="-2"/>
                              <w:sz w:val="21"/>
                              <w:szCs w:val="21"/>
                              <w:u w:val="single"/>
                            </w:rPr>
                            <w:t>淮北市城市节约用水专项规划（</w:t>
                          </w:r>
                          <w:r>
                            <w:rPr>
                              <w:rFonts w:cs="Times New Roman"/>
                              <w:spacing w:val="-2"/>
                              <w:sz w:val="21"/>
                              <w:szCs w:val="21"/>
                              <w:u w:val="single"/>
                            </w:rPr>
                            <w:t>201</w:t>
                          </w:r>
                          <w:r>
                            <w:rPr>
                              <w:rFonts w:hint="eastAsia" w:cs="Times New Roman"/>
                              <w:spacing w:val="-2"/>
                              <w:sz w:val="21"/>
                              <w:szCs w:val="21"/>
                              <w:u w:val="single"/>
                            </w:rPr>
                            <w:t>8</w:t>
                          </w:r>
                          <w:r>
                            <w:rPr>
                              <w:rFonts w:cs="Times New Roman"/>
                              <w:spacing w:val="-2"/>
                              <w:sz w:val="21"/>
                              <w:szCs w:val="21"/>
                              <w:u w:val="single"/>
                            </w:rPr>
                            <w:t>~203</w:t>
                          </w:r>
                          <w:r>
                            <w:rPr>
                              <w:rFonts w:hint="eastAsia" w:cs="Times New Roman"/>
                              <w:spacing w:val="-2"/>
                              <w:sz w:val="21"/>
                              <w:szCs w:val="21"/>
                              <w:u w:val="single"/>
                            </w:rPr>
                            <w:t>5</w:t>
                          </w:r>
                          <w:r>
                            <w:rPr>
                              <w:rFonts w:hint="eastAsia"/>
                              <w:spacing w:val="-2"/>
                              <w:sz w:val="21"/>
                              <w:szCs w:val="21"/>
                              <w:u w:val="single"/>
                            </w:rPr>
                            <w:t>）</w:t>
                          </w:r>
                          <w:r>
                            <w:rPr>
                              <w:spacing w:val="103"/>
                              <w:sz w:val="21"/>
                              <w:szCs w:val="21"/>
                              <w:u w:val="single"/>
                            </w:rPr>
                            <w:t xml:space="preserve"> </w:t>
                          </w:r>
                          <w:r>
                            <w:rPr>
                              <w:rFonts w:hint="eastAsia"/>
                              <w:spacing w:val="-2"/>
                              <w:sz w:val="21"/>
                              <w:szCs w:val="21"/>
                              <w:u w:val="single"/>
                            </w:rPr>
                            <w:t>说明书</w:t>
                          </w:r>
                        </w:p>
                      </w:txbxContent>
                    </wps:txbx>
                    <wps:bodyPr lIns="0" tIns="0" rIns="0" bIns="0" upright="1"/>
                  </wps:wsp>
                </a:graphicData>
              </a:graphic>
            </wp:anchor>
          </w:drawing>
        </mc:Choice>
        <mc:Fallback>
          <w:pict>
            <v:shape id="文本框 1" o:spid="_x0000_s1026" o:spt="202" type="#_x0000_t202" style="position:absolute;left:0pt;margin-left:69.9pt;margin-top:42.2pt;height:13.15pt;width:1050.8pt;mso-position-horizontal-relative:page;mso-position-vertical-relative:page;z-index:-251656192;mso-width-relative:page;mso-height-relative:page;" filled="f" stroked="f" coordsize="21600,21600" o:allowincell="f" o:gfxdata="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lgwLk9kAAAALAQAADwAAAAAAAAABACAAAAAiAAAAZHJzL2Rvd25yZXYueG1sUEsB&#10;AhQAFAAAAAgAh07iQLNmec67AQAAdAMAAA4AAAAAAAAAAQAgAAAAKAEAAGRycy9lMm9Eb2MueG1s&#10;UEsFBgAAAAAGAAYAWQEAAFUFAAAAAA==&#10;">
              <v:fill on="f" focussize="0,0"/>
              <v:stroke on="f"/>
              <v:imagedata o:title=""/>
              <o:lock v:ext="edit" aspectratio="f"/>
              <v:textbox inset="0mm,0mm,0mm,0mm">
                <w:txbxContent>
                  <w:p>
                    <w:pPr>
                      <w:pStyle w:val="16"/>
                      <w:tabs>
                        <w:tab w:val="left" w:pos="16051"/>
                      </w:tabs>
                      <w:kinsoku w:val="0"/>
                      <w:overflowPunct w:val="0"/>
                      <w:spacing w:line="247" w:lineRule="exact"/>
                      <w:ind w:left="20" w:firstLine="420"/>
                      <w:rPr>
                        <w:sz w:val="21"/>
                        <w:szCs w:val="21"/>
                      </w:rPr>
                    </w:pPr>
                    <w:r>
                      <w:rPr>
                        <w:rFonts w:cs="Times New Roman"/>
                        <w:sz w:val="21"/>
                        <w:szCs w:val="21"/>
                        <w:u w:val="single"/>
                      </w:rPr>
                      <w:t xml:space="preserve"> </w:t>
                    </w:r>
                    <w:r>
                      <w:rPr>
                        <w:rFonts w:hint="eastAsia" w:cs="Times New Roman"/>
                        <w:sz w:val="21"/>
                        <w:szCs w:val="21"/>
                        <w:u w:val="single"/>
                      </w:rPr>
                      <w:t xml:space="preserve">                                                                                                                                                                                                                                                                                                  </w:t>
                    </w:r>
                    <w:r>
                      <w:rPr>
                        <w:rFonts w:hint="eastAsia"/>
                        <w:spacing w:val="-2"/>
                        <w:sz w:val="21"/>
                        <w:szCs w:val="21"/>
                        <w:u w:val="single"/>
                      </w:rPr>
                      <w:t>淮北市城市节约用水专项规划（</w:t>
                    </w:r>
                    <w:r>
                      <w:rPr>
                        <w:rFonts w:cs="Times New Roman"/>
                        <w:spacing w:val="-2"/>
                        <w:sz w:val="21"/>
                        <w:szCs w:val="21"/>
                        <w:u w:val="single"/>
                      </w:rPr>
                      <w:t>201</w:t>
                    </w:r>
                    <w:r>
                      <w:rPr>
                        <w:rFonts w:hint="eastAsia" w:cs="Times New Roman"/>
                        <w:spacing w:val="-2"/>
                        <w:sz w:val="21"/>
                        <w:szCs w:val="21"/>
                        <w:u w:val="single"/>
                      </w:rPr>
                      <w:t>8</w:t>
                    </w:r>
                    <w:r>
                      <w:rPr>
                        <w:rFonts w:cs="Times New Roman"/>
                        <w:spacing w:val="-2"/>
                        <w:sz w:val="21"/>
                        <w:szCs w:val="21"/>
                        <w:u w:val="single"/>
                      </w:rPr>
                      <w:t>~203</w:t>
                    </w:r>
                    <w:r>
                      <w:rPr>
                        <w:rFonts w:hint="eastAsia" w:cs="Times New Roman"/>
                        <w:spacing w:val="-2"/>
                        <w:sz w:val="21"/>
                        <w:szCs w:val="21"/>
                        <w:u w:val="single"/>
                      </w:rPr>
                      <w:t>5</w:t>
                    </w:r>
                    <w:r>
                      <w:rPr>
                        <w:rFonts w:hint="eastAsia"/>
                        <w:spacing w:val="-2"/>
                        <w:sz w:val="21"/>
                        <w:szCs w:val="21"/>
                        <w:u w:val="single"/>
                      </w:rPr>
                      <w:t>）</w:t>
                    </w:r>
                    <w:r>
                      <w:rPr>
                        <w:spacing w:val="103"/>
                        <w:sz w:val="21"/>
                        <w:szCs w:val="21"/>
                        <w:u w:val="single"/>
                      </w:rPr>
                      <w:t xml:space="preserve"> </w:t>
                    </w:r>
                    <w:r>
                      <w:rPr>
                        <w:rFonts w:hint="eastAsia"/>
                        <w:spacing w:val="-2"/>
                        <w:sz w:val="21"/>
                        <w:szCs w:val="21"/>
                        <w:u w:val="single"/>
                      </w:rPr>
                      <w:t>说明书</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bottom w:val="none" w:color="auto" w:sz="0" w:space="0"/>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420"/>
      <w:jc w:val="right"/>
      <w:rPr>
        <w:sz w:val="21"/>
        <w:szCs w:val="21"/>
      </w:rPr>
    </w:pPr>
    <w:r>
      <w:rPr>
        <w:rFonts w:hint="eastAsia"/>
        <w:sz w:val="21"/>
        <w:szCs w:val="21"/>
      </w:rPr>
      <w:t>淮北市城市节约用水专项规划（2018-2035）说明书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right="420" w:firstLine="14574" w:firstLineChars="6940"/>
      <w:jc w:val="left"/>
      <w:rPr>
        <w:sz w:val="21"/>
        <w:szCs w:val="21"/>
      </w:rPr>
    </w:pPr>
    <w:r>
      <w:rPr>
        <w:rFonts w:hint="eastAsia"/>
        <w:sz w:val="21"/>
        <w:szCs w:val="21"/>
      </w:rPr>
      <w:t>淮北市城市节约用水专项规划（2018-2035）说明书</w:t>
    </w:r>
  </w:p>
  <w:p>
    <w:pPr>
      <w:pStyle w:val="16"/>
      <w:kinsoku w:val="0"/>
      <w:overflowPunct w:val="0"/>
      <w:spacing w:line="14" w:lineRule="auto"/>
      <w:ind w:firstLine="0" w:firstLineChars="0"/>
      <w:rPr>
        <w:rFonts w:cs="Times New Roman"/>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390542B"/>
    <w:multiLevelType w:val="multilevel"/>
    <w:tmpl w:val="0390542B"/>
    <w:lvl w:ilvl="0" w:tentative="0">
      <w:start w:val="1"/>
      <w:numFmt w:val="decimal"/>
      <w:lvlText w:val="（%1）"/>
      <w:lvlJc w:val="left"/>
      <w:pPr>
        <w:ind w:left="1672" w:hanging="1080"/>
      </w:pPr>
      <w:rPr>
        <w:rFonts w:hint="default"/>
      </w:rPr>
    </w:lvl>
    <w:lvl w:ilvl="1" w:tentative="0">
      <w:start w:val="1"/>
      <w:numFmt w:val="lowerLetter"/>
      <w:lvlText w:val="%2)"/>
      <w:lvlJc w:val="left"/>
      <w:pPr>
        <w:ind w:left="1432" w:hanging="420"/>
      </w:pPr>
    </w:lvl>
    <w:lvl w:ilvl="2" w:tentative="0">
      <w:start w:val="1"/>
      <w:numFmt w:val="lowerRoman"/>
      <w:lvlText w:val="%3."/>
      <w:lvlJc w:val="right"/>
      <w:pPr>
        <w:ind w:left="1852" w:hanging="420"/>
      </w:pPr>
    </w:lvl>
    <w:lvl w:ilvl="3" w:tentative="0">
      <w:start w:val="1"/>
      <w:numFmt w:val="decimal"/>
      <w:lvlText w:val="%4."/>
      <w:lvlJc w:val="left"/>
      <w:pPr>
        <w:ind w:left="2272" w:hanging="420"/>
      </w:pPr>
    </w:lvl>
    <w:lvl w:ilvl="4" w:tentative="0">
      <w:start w:val="1"/>
      <w:numFmt w:val="lowerLetter"/>
      <w:lvlText w:val="%5)"/>
      <w:lvlJc w:val="left"/>
      <w:pPr>
        <w:ind w:left="2692" w:hanging="420"/>
      </w:pPr>
    </w:lvl>
    <w:lvl w:ilvl="5" w:tentative="0">
      <w:start w:val="1"/>
      <w:numFmt w:val="lowerRoman"/>
      <w:lvlText w:val="%6."/>
      <w:lvlJc w:val="right"/>
      <w:pPr>
        <w:ind w:left="3112" w:hanging="420"/>
      </w:pPr>
    </w:lvl>
    <w:lvl w:ilvl="6" w:tentative="0">
      <w:start w:val="1"/>
      <w:numFmt w:val="decimal"/>
      <w:lvlText w:val="%7."/>
      <w:lvlJc w:val="left"/>
      <w:pPr>
        <w:ind w:left="3532" w:hanging="420"/>
      </w:pPr>
    </w:lvl>
    <w:lvl w:ilvl="7" w:tentative="0">
      <w:start w:val="1"/>
      <w:numFmt w:val="lowerLetter"/>
      <w:lvlText w:val="%8)"/>
      <w:lvlJc w:val="left"/>
      <w:pPr>
        <w:ind w:left="3952" w:hanging="420"/>
      </w:pPr>
    </w:lvl>
    <w:lvl w:ilvl="8" w:tentative="0">
      <w:start w:val="1"/>
      <w:numFmt w:val="lowerRoman"/>
      <w:lvlText w:val="%9."/>
      <w:lvlJc w:val="right"/>
      <w:pPr>
        <w:ind w:left="4372" w:hanging="420"/>
      </w:pPr>
    </w:lvl>
  </w:abstractNum>
  <w:abstractNum w:abstractNumId="1">
    <w:nsid w:val="41B5109A"/>
    <w:multiLevelType w:val="multilevel"/>
    <w:tmpl w:val="41B5109A"/>
    <w:lvl w:ilvl="0" w:tentative="0">
      <w:start w:val="1"/>
      <w:numFmt w:val="decimal"/>
      <w:lvlText w:val="（%1）"/>
      <w:lvlJc w:val="left"/>
      <w:pPr>
        <w:ind w:left="1280" w:hanging="7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
    <w:nsid w:val="7CBF6F50"/>
    <w:multiLevelType w:val="multilevel"/>
    <w:tmpl w:val="7CBF6F50"/>
    <w:lvl w:ilvl="0" w:tentative="0">
      <w:start w:val="1"/>
      <w:numFmt w:val="decimal"/>
      <w:lvlText w:val="%1."/>
      <w:lvlJc w:val="left"/>
      <w:pPr>
        <w:ind w:left="920" w:hanging="36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4"/>
  <w:embedSystemFonts/>
  <w:bordersDoNotSurroundHeader w:val="1"/>
  <w:bordersDoNotSurroundFooter w:val="1"/>
  <w:hideSpellingErrors/>
  <w:documentProtection w:enforcement="0"/>
  <w:defaultTabStop w:val="720"/>
  <w:drawingGridHorizontalSpacing w:val="120"/>
  <w:drawingGridVerticalSpacing w:val="120"/>
  <w:displayHorizontalDrawingGridEvery w:val="0"/>
  <w:displayVerticalDrawingGridEvery w:val="3"/>
  <w:doNotShadeFormData w:val="1"/>
  <w:characterSpacingControl w:val="doNotCompress"/>
  <w:doNotValidateAgainstSchema/>
  <w:doNotDemarcateInvalidXml/>
  <w:hdrShapeDefaults>
    <o:shapelayout v:ext="edit">
      <o:idmap v:ext="edit" data="2"/>
    </o:shapelayout>
  </w:hdrShapeDefaults>
  <w:footnotePr>
    <w:footnote w:id="0"/>
    <w:footnote w:id="1"/>
  </w:footnotePr>
  <w:endnotePr>
    <w:endnote w:id="0"/>
    <w:endnote w:id="1"/>
  </w:endnotePr>
  <w:compat>
    <w:spaceForUL/>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U5YTk2NWU3OTRhNTU0YjZlNWE0ODExMjY4YzM0MTgifQ=="/>
  </w:docVars>
  <w:rsids>
    <w:rsidRoot w:val="00674BAF"/>
    <w:rsid w:val="000001BF"/>
    <w:rsid w:val="000005FD"/>
    <w:rsid w:val="00000B6D"/>
    <w:rsid w:val="00001279"/>
    <w:rsid w:val="000018FB"/>
    <w:rsid w:val="00004200"/>
    <w:rsid w:val="00005B7C"/>
    <w:rsid w:val="00005E58"/>
    <w:rsid w:val="0000693A"/>
    <w:rsid w:val="00006E0C"/>
    <w:rsid w:val="00007A00"/>
    <w:rsid w:val="00007ED0"/>
    <w:rsid w:val="000103F0"/>
    <w:rsid w:val="00011AC5"/>
    <w:rsid w:val="00012218"/>
    <w:rsid w:val="0001265C"/>
    <w:rsid w:val="000131BB"/>
    <w:rsid w:val="00013458"/>
    <w:rsid w:val="0001554C"/>
    <w:rsid w:val="0001593D"/>
    <w:rsid w:val="00015B41"/>
    <w:rsid w:val="0001627F"/>
    <w:rsid w:val="000164B8"/>
    <w:rsid w:val="00016E63"/>
    <w:rsid w:val="00017AB4"/>
    <w:rsid w:val="0002091E"/>
    <w:rsid w:val="00022E4A"/>
    <w:rsid w:val="00023214"/>
    <w:rsid w:val="000236A2"/>
    <w:rsid w:val="000237B6"/>
    <w:rsid w:val="00024AB3"/>
    <w:rsid w:val="00025277"/>
    <w:rsid w:val="00025BB7"/>
    <w:rsid w:val="00025DAD"/>
    <w:rsid w:val="00025F29"/>
    <w:rsid w:val="000272BE"/>
    <w:rsid w:val="0003118C"/>
    <w:rsid w:val="00031E52"/>
    <w:rsid w:val="00033BD3"/>
    <w:rsid w:val="00034A4D"/>
    <w:rsid w:val="00035170"/>
    <w:rsid w:val="000352C6"/>
    <w:rsid w:val="00035F45"/>
    <w:rsid w:val="000376F7"/>
    <w:rsid w:val="00040F09"/>
    <w:rsid w:val="000416B2"/>
    <w:rsid w:val="00041A0F"/>
    <w:rsid w:val="00041AFD"/>
    <w:rsid w:val="00041BEF"/>
    <w:rsid w:val="00042CF5"/>
    <w:rsid w:val="00043050"/>
    <w:rsid w:val="00043599"/>
    <w:rsid w:val="00043B43"/>
    <w:rsid w:val="00043E2F"/>
    <w:rsid w:val="00045FE9"/>
    <w:rsid w:val="0004680B"/>
    <w:rsid w:val="00047EEC"/>
    <w:rsid w:val="00050A71"/>
    <w:rsid w:val="000516EB"/>
    <w:rsid w:val="00052254"/>
    <w:rsid w:val="0005351E"/>
    <w:rsid w:val="000542F5"/>
    <w:rsid w:val="000553D1"/>
    <w:rsid w:val="000574ED"/>
    <w:rsid w:val="00057EAC"/>
    <w:rsid w:val="00061469"/>
    <w:rsid w:val="00061F0B"/>
    <w:rsid w:val="00062520"/>
    <w:rsid w:val="000625D3"/>
    <w:rsid w:val="00062AC3"/>
    <w:rsid w:val="00063061"/>
    <w:rsid w:val="00063587"/>
    <w:rsid w:val="00065A75"/>
    <w:rsid w:val="00065FB2"/>
    <w:rsid w:val="00066983"/>
    <w:rsid w:val="00066DEC"/>
    <w:rsid w:val="00067781"/>
    <w:rsid w:val="00067946"/>
    <w:rsid w:val="00067C4B"/>
    <w:rsid w:val="00067E6C"/>
    <w:rsid w:val="000704C3"/>
    <w:rsid w:val="00072535"/>
    <w:rsid w:val="00073383"/>
    <w:rsid w:val="000738F4"/>
    <w:rsid w:val="00073ADC"/>
    <w:rsid w:val="000741B9"/>
    <w:rsid w:val="000741EB"/>
    <w:rsid w:val="00074B4D"/>
    <w:rsid w:val="000750C9"/>
    <w:rsid w:val="00075E5F"/>
    <w:rsid w:val="000763DE"/>
    <w:rsid w:val="000768DF"/>
    <w:rsid w:val="00076F5B"/>
    <w:rsid w:val="00080A44"/>
    <w:rsid w:val="0008116E"/>
    <w:rsid w:val="0008242F"/>
    <w:rsid w:val="00084A47"/>
    <w:rsid w:val="00085494"/>
    <w:rsid w:val="00086E78"/>
    <w:rsid w:val="00087FAF"/>
    <w:rsid w:val="00090554"/>
    <w:rsid w:val="000910C3"/>
    <w:rsid w:val="00092540"/>
    <w:rsid w:val="000931E3"/>
    <w:rsid w:val="00093907"/>
    <w:rsid w:val="0009398C"/>
    <w:rsid w:val="00093E0D"/>
    <w:rsid w:val="00095203"/>
    <w:rsid w:val="00095447"/>
    <w:rsid w:val="00095DEC"/>
    <w:rsid w:val="00095FF6"/>
    <w:rsid w:val="000968F2"/>
    <w:rsid w:val="00096960"/>
    <w:rsid w:val="000976CC"/>
    <w:rsid w:val="00097B06"/>
    <w:rsid w:val="000A0D5B"/>
    <w:rsid w:val="000A15FA"/>
    <w:rsid w:val="000A24D0"/>
    <w:rsid w:val="000A27C0"/>
    <w:rsid w:val="000A35B6"/>
    <w:rsid w:val="000A3A02"/>
    <w:rsid w:val="000A3BBD"/>
    <w:rsid w:val="000A3BC0"/>
    <w:rsid w:val="000A421C"/>
    <w:rsid w:val="000A4D6C"/>
    <w:rsid w:val="000A4ECD"/>
    <w:rsid w:val="000A62F3"/>
    <w:rsid w:val="000A63F9"/>
    <w:rsid w:val="000A70DC"/>
    <w:rsid w:val="000A7974"/>
    <w:rsid w:val="000A7BED"/>
    <w:rsid w:val="000B188B"/>
    <w:rsid w:val="000B1F83"/>
    <w:rsid w:val="000B227B"/>
    <w:rsid w:val="000B30EF"/>
    <w:rsid w:val="000B318C"/>
    <w:rsid w:val="000B3C72"/>
    <w:rsid w:val="000B42E8"/>
    <w:rsid w:val="000B4584"/>
    <w:rsid w:val="000B4C9D"/>
    <w:rsid w:val="000B5611"/>
    <w:rsid w:val="000B5ED5"/>
    <w:rsid w:val="000B7807"/>
    <w:rsid w:val="000C0604"/>
    <w:rsid w:val="000C11EB"/>
    <w:rsid w:val="000C12EF"/>
    <w:rsid w:val="000C14F6"/>
    <w:rsid w:val="000C263C"/>
    <w:rsid w:val="000C3542"/>
    <w:rsid w:val="000C49C4"/>
    <w:rsid w:val="000C5782"/>
    <w:rsid w:val="000C6126"/>
    <w:rsid w:val="000C6A24"/>
    <w:rsid w:val="000C75BD"/>
    <w:rsid w:val="000C78A0"/>
    <w:rsid w:val="000D0018"/>
    <w:rsid w:val="000D191F"/>
    <w:rsid w:val="000D197D"/>
    <w:rsid w:val="000D3087"/>
    <w:rsid w:val="000D3B0D"/>
    <w:rsid w:val="000D3D6A"/>
    <w:rsid w:val="000D434D"/>
    <w:rsid w:val="000D4D84"/>
    <w:rsid w:val="000D582E"/>
    <w:rsid w:val="000D652B"/>
    <w:rsid w:val="000D6877"/>
    <w:rsid w:val="000D79BC"/>
    <w:rsid w:val="000D7DD3"/>
    <w:rsid w:val="000E0097"/>
    <w:rsid w:val="000E063A"/>
    <w:rsid w:val="000E0C09"/>
    <w:rsid w:val="000E0C6F"/>
    <w:rsid w:val="000E1E1E"/>
    <w:rsid w:val="000E1F3A"/>
    <w:rsid w:val="000E2F3B"/>
    <w:rsid w:val="000E43C2"/>
    <w:rsid w:val="000E49AC"/>
    <w:rsid w:val="000E4CBD"/>
    <w:rsid w:val="000E5B93"/>
    <w:rsid w:val="000E5D01"/>
    <w:rsid w:val="000E7613"/>
    <w:rsid w:val="000E7DA2"/>
    <w:rsid w:val="000F1796"/>
    <w:rsid w:val="000F1B89"/>
    <w:rsid w:val="000F28AE"/>
    <w:rsid w:val="000F43A7"/>
    <w:rsid w:val="000F4F42"/>
    <w:rsid w:val="000F667B"/>
    <w:rsid w:val="001002D3"/>
    <w:rsid w:val="00100FF5"/>
    <w:rsid w:val="00102907"/>
    <w:rsid w:val="001035D4"/>
    <w:rsid w:val="00104A47"/>
    <w:rsid w:val="00105E37"/>
    <w:rsid w:val="0011010A"/>
    <w:rsid w:val="0011040B"/>
    <w:rsid w:val="0011090F"/>
    <w:rsid w:val="00110CCB"/>
    <w:rsid w:val="001131C6"/>
    <w:rsid w:val="00113BDF"/>
    <w:rsid w:val="0011553B"/>
    <w:rsid w:val="00116183"/>
    <w:rsid w:val="00120967"/>
    <w:rsid w:val="001212E0"/>
    <w:rsid w:val="00122CA0"/>
    <w:rsid w:val="001230ED"/>
    <w:rsid w:val="00123476"/>
    <w:rsid w:val="001234F6"/>
    <w:rsid w:val="00124792"/>
    <w:rsid w:val="001247F7"/>
    <w:rsid w:val="001270C8"/>
    <w:rsid w:val="00130831"/>
    <w:rsid w:val="00130A82"/>
    <w:rsid w:val="0013122A"/>
    <w:rsid w:val="00131D64"/>
    <w:rsid w:val="0013213F"/>
    <w:rsid w:val="001325F5"/>
    <w:rsid w:val="0013278E"/>
    <w:rsid w:val="00132FC1"/>
    <w:rsid w:val="00133856"/>
    <w:rsid w:val="00134264"/>
    <w:rsid w:val="001352A4"/>
    <w:rsid w:val="001355CD"/>
    <w:rsid w:val="00135EFD"/>
    <w:rsid w:val="00136974"/>
    <w:rsid w:val="00137C3E"/>
    <w:rsid w:val="00137CB5"/>
    <w:rsid w:val="00137CB6"/>
    <w:rsid w:val="00140217"/>
    <w:rsid w:val="001418CA"/>
    <w:rsid w:val="00142A08"/>
    <w:rsid w:val="00143219"/>
    <w:rsid w:val="001433BA"/>
    <w:rsid w:val="00144446"/>
    <w:rsid w:val="00144E20"/>
    <w:rsid w:val="001453EE"/>
    <w:rsid w:val="00145A0E"/>
    <w:rsid w:val="00146CD3"/>
    <w:rsid w:val="00147A1A"/>
    <w:rsid w:val="0015088A"/>
    <w:rsid w:val="00150DBC"/>
    <w:rsid w:val="00150F9C"/>
    <w:rsid w:val="0015121A"/>
    <w:rsid w:val="001527A8"/>
    <w:rsid w:val="001528CA"/>
    <w:rsid w:val="001529C2"/>
    <w:rsid w:val="00154B76"/>
    <w:rsid w:val="00155F15"/>
    <w:rsid w:val="001618D1"/>
    <w:rsid w:val="00162399"/>
    <w:rsid w:val="00162A4A"/>
    <w:rsid w:val="00163832"/>
    <w:rsid w:val="0016530D"/>
    <w:rsid w:val="001657F2"/>
    <w:rsid w:val="00165DF3"/>
    <w:rsid w:val="001707BC"/>
    <w:rsid w:val="0017111B"/>
    <w:rsid w:val="00171645"/>
    <w:rsid w:val="00173372"/>
    <w:rsid w:val="001738C4"/>
    <w:rsid w:val="00173B2F"/>
    <w:rsid w:val="00174986"/>
    <w:rsid w:val="00174DAC"/>
    <w:rsid w:val="00175704"/>
    <w:rsid w:val="00176BC4"/>
    <w:rsid w:val="00180AB0"/>
    <w:rsid w:val="0018193E"/>
    <w:rsid w:val="00183217"/>
    <w:rsid w:val="0018348A"/>
    <w:rsid w:val="00183CE3"/>
    <w:rsid w:val="001852D4"/>
    <w:rsid w:val="00186B40"/>
    <w:rsid w:val="00187464"/>
    <w:rsid w:val="001875A4"/>
    <w:rsid w:val="00191491"/>
    <w:rsid w:val="00191646"/>
    <w:rsid w:val="0019201C"/>
    <w:rsid w:val="001921FB"/>
    <w:rsid w:val="00194AB7"/>
    <w:rsid w:val="00195D6E"/>
    <w:rsid w:val="001965FF"/>
    <w:rsid w:val="0019664B"/>
    <w:rsid w:val="001A0B0C"/>
    <w:rsid w:val="001A2ABD"/>
    <w:rsid w:val="001A2B24"/>
    <w:rsid w:val="001A350D"/>
    <w:rsid w:val="001A3D3E"/>
    <w:rsid w:val="001B0658"/>
    <w:rsid w:val="001B1028"/>
    <w:rsid w:val="001B1358"/>
    <w:rsid w:val="001B1E28"/>
    <w:rsid w:val="001B2137"/>
    <w:rsid w:val="001B22DD"/>
    <w:rsid w:val="001B2AF2"/>
    <w:rsid w:val="001B6153"/>
    <w:rsid w:val="001B67D0"/>
    <w:rsid w:val="001C0209"/>
    <w:rsid w:val="001C0CC0"/>
    <w:rsid w:val="001C3104"/>
    <w:rsid w:val="001C45D5"/>
    <w:rsid w:val="001C47D6"/>
    <w:rsid w:val="001C5238"/>
    <w:rsid w:val="001C5422"/>
    <w:rsid w:val="001C5A7D"/>
    <w:rsid w:val="001C649B"/>
    <w:rsid w:val="001C66F6"/>
    <w:rsid w:val="001D02D7"/>
    <w:rsid w:val="001D06A0"/>
    <w:rsid w:val="001D280E"/>
    <w:rsid w:val="001D3B67"/>
    <w:rsid w:val="001D4A86"/>
    <w:rsid w:val="001D593F"/>
    <w:rsid w:val="001D78BE"/>
    <w:rsid w:val="001E089E"/>
    <w:rsid w:val="001E21E9"/>
    <w:rsid w:val="001E2416"/>
    <w:rsid w:val="001E36B3"/>
    <w:rsid w:val="001E36D4"/>
    <w:rsid w:val="001E3F44"/>
    <w:rsid w:val="001E473F"/>
    <w:rsid w:val="001E523D"/>
    <w:rsid w:val="001E6983"/>
    <w:rsid w:val="001F047E"/>
    <w:rsid w:val="001F12CB"/>
    <w:rsid w:val="001F1E59"/>
    <w:rsid w:val="001F2995"/>
    <w:rsid w:val="001F2FFF"/>
    <w:rsid w:val="001F330C"/>
    <w:rsid w:val="001F4064"/>
    <w:rsid w:val="001F4621"/>
    <w:rsid w:val="001F5587"/>
    <w:rsid w:val="001F5C8B"/>
    <w:rsid w:val="001F643D"/>
    <w:rsid w:val="001F6770"/>
    <w:rsid w:val="001F7D5C"/>
    <w:rsid w:val="00200881"/>
    <w:rsid w:val="00200E4F"/>
    <w:rsid w:val="002018AE"/>
    <w:rsid w:val="00201BC5"/>
    <w:rsid w:val="00202040"/>
    <w:rsid w:val="00202DDA"/>
    <w:rsid w:val="00202F2A"/>
    <w:rsid w:val="0020330F"/>
    <w:rsid w:val="00203BC2"/>
    <w:rsid w:val="00205085"/>
    <w:rsid w:val="002054BE"/>
    <w:rsid w:val="00206362"/>
    <w:rsid w:val="00206CE6"/>
    <w:rsid w:val="002076E4"/>
    <w:rsid w:val="0020787E"/>
    <w:rsid w:val="002105F7"/>
    <w:rsid w:val="00210742"/>
    <w:rsid w:val="002111EC"/>
    <w:rsid w:val="002136F8"/>
    <w:rsid w:val="00213A6F"/>
    <w:rsid w:val="00215212"/>
    <w:rsid w:val="002155ED"/>
    <w:rsid w:val="00215DD7"/>
    <w:rsid w:val="00216553"/>
    <w:rsid w:val="00216892"/>
    <w:rsid w:val="00217CB8"/>
    <w:rsid w:val="00217F79"/>
    <w:rsid w:val="00220EFD"/>
    <w:rsid w:val="00221E2A"/>
    <w:rsid w:val="00221FC5"/>
    <w:rsid w:val="0022210A"/>
    <w:rsid w:val="00222541"/>
    <w:rsid w:val="002228D7"/>
    <w:rsid w:val="002247DB"/>
    <w:rsid w:val="00224FF8"/>
    <w:rsid w:val="0023113E"/>
    <w:rsid w:val="002312F9"/>
    <w:rsid w:val="002314F6"/>
    <w:rsid w:val="00231C51"/>
    <w:rsid w:val="00232405"/>
    <w:rsid w:val="002325FB"/>
    <w:rsid w:val="00232C11"/>
    <w:rsid w:val="00232DB0"/>
    <w:rsid w:val="00232F07"/>
    <w:rsid w:val="0023325D"/>
    <w:rsid w:val="00233FE3"/>
    <w:rsid w:val="0023513B"/>
    <w:rsid w:val="002351D8"/>
    <w:rsid w:val="00236E00"/>
    <w:rsid w:val="0024062C"/>
    <w:rsid w:val="00241912"/>
    <w:rsid w:val="00241987"/>
    <w:rsid w:val="00241BD1"/>
    <w:rsid w:val="00241BE2"/>
    <w:rsid w:val="00242039"/>
    <w:rsid w:val="002423D8"/>
    <w:rsid w:val="0024246E"/>
    <w:rsid w:val="00242B7E"/>
    <w:rsid w:val="002430E3"/>
    <w:rsid w:val="00243271"/>
    <w:rsid w:val="00243789"/>
    <w:rsid w:val="002446B8"/>
    <w:rsid w:val="00244C31"/>
    <w:rsid w:val="00245774"/>
    <w:rsid w:val="00247300"/>
    <w:rsid w:val="002476E6"/>
    <w:rsid w:val="00247DB9"/>
    <w:rsid w:val="00252015"/>
    <w:rsid w:val="00252AD6"/>
    <w:rsid w:val="00253C6E"/>
    <w:rsid w:val="00253FAC"/>
    <w:rsid w:val="0025453E"/>
    <w:rsid w:val="002548DC"/>
    <w:rsid w:val="00254D56"/>
    <w:rsid w:val="0025697B"/>
    <w:rsid w:val="00256DBE"/>
    <w:rsid w:val="00256E30"/>
    <w:rsid w:val="00257231"/>
    <w:rsid w:val="00257A3E"/>
    <w:rsid w:val="00257C90"/>
    <w:rsid w:val="00260763"/>
    <w:rsid w:val="00261DE0"/>
    <w:rsid w:val="002644CE"/>
    <w:rsid w:val="00264944"/>
    <w:rsid w:val="002668BE"/>
    <w:rsid w:val="00266A63"/>
    <w:rsid w:val="00267C4D"/>
    <w:rsid w:val="00267E79"/>
    <w:rsid w:val="002707CA"/>
    <w:rsid w:val="0027124D"/>
    <w:rsid w:val="0027285D"/>
    <w:rsid w:val="0027360D"/>
    <w:rsid w:val="0027434B"/>
    <w:rsid w:val="002749EF"/>
    <w:rsid w:val="00275009"/>
    <w:rsid w:val="002750A9"/>
    <w:rsid w:val="002750CD"/>
    <w:rsid w:val="002754A1"/>
    <w:rsid w:val="00275593"/>
    <w:rsid w:val="002801DC"/>
    <w:rsid w:val="00280307"/>
    <w:rsid w:val="00281034"/>
    <w:rsid w:val="00281EC6"/>
    <w:rsid w:val="002820BC"/>
    <w:rsid w:val="00282148"/>
    <w:rsid w:val="00283358"/>
    <w:rsid w:val="002833F3"/>
    <w:rsid w:val="002837CE"/>
    <w:rsid w:val="00284F60"/>
    <w:rsid w:val="0028512F"/>
    <w:rsid w:val="002859DB"/>
    <w:rsid w:val="00286239"/>
    <w:rsid w:val="00290CA6"/>
    <w:rsid w:val="00291D65"/>
    <w:rsid w:val="002921FF"/>
    <w:rsid w:val="00292954"/>
    <w:rsid w:val="00293F1B"/>
    <w:rsid w:val="00293F67"/>
    <w:rsid w:val="002963F3"/>
    <w:rsid w:val="00296B3D"/>
    <w:rsid w:val="00297676"/>
    <w:rsid w:val="00297E8B"/>
    <w:rsid w:val="002A014D"/>
    <w:rsid w:val="002A0A5B"/>
    <w:rsid w:val="002A1947"/>
    <w:rsid w:val="002A1B95"/>
    <w:rsid w:val="002A2AB1"/>
    <w:rsid w:val="002A3A61"/>
    <w:rsid w:val="002A3BE6"/>
    <w:rsid w:val="002A49D1"/>
    <w:rsid w:val="002A4AA1"/>
    <w:rsid w:val="002A53E7"/>
    <w:rsid w:val="002A57A3"/>
    <w:rsid w:val="002A6AE3"/>
    <w:rsid w:val="002B06B9"/>
    <w:rsid w:val="002B1CB4"/>
    <w:rsid w:val="002B2C44"/>
    <w:rsid w:val="002B2DC2"/>
    <w:rsid w:val="002B35D8"/>
    <w:rsid w:val="002B5313"/>
    <w:rsid w:val="002B5E0D"/>
    <w:rsid w:val="002B6131"/>
    <w:rsid w:val="002B68ED"/>
    <w:rsid w:val="002B6EF0"/>
    <w:rsid w:val="002B715E"/>
    <w:rsid w:val="002B736B"/>
    <w:rsid w:val="002B75AB"/>
    <w:rsid w:val="002B7BE4"/>
    <w:rsid w:val="002C0988"/>
    <w:rsid w:val="002C173C"/>
    <w:rsid w:val="002C2F35"/>
    <w:rsid w:val="002C3C88"/>
    <w:rsid w:val="002C40D7"/>
    <w:rsid w:val="002C4338"/>
    <w:rsid w:val="002C5FD4"/>
    <w:rsid w:val="002C6559"/>
    <w:rsid w:val="002C6D76"/>
    <w:rsid w:val="002C78BB"/>
    <w:rsid w:val="002C7C96"/>
    <w:rsid w:val="002D164B"/>
    <w:rsid w:val="002D2A88"/>
    <w:rsid w:val="002D3C37"/>
    <w:rsid w:val="002D41DB"/>
    <w:rsid w:val="002D4511"/>
    <w:rsid w:val="002D7349"/>
    <w:rsid w:val="002D7A77"/>
    <w:rsid w:val="002E14E0"/>
    <w:rsid w:val="002E1FEE"/>
    <w:rsid w:val="002E3AA0"/>
    <w:rsid w:val="002E5DD5"/>
    <w:rsid w:val="002E72B0"/>
    <w:rsid w:val="002F0CAA"/>
    <w:rsid w:val="002F15DA"/>
    <w:rsid w:val="002F1AB5"/>
    <w:rsid w:val="002F28D2"/>
    <w:rsid w:val="002F2D0C"/>
    <w:rsid w:val="002F48D1"/>
    <w:rsid w:val="002F5E41"/>
    <w:rsid w:val="002F6BE2"/>
    <w:rsid w:val="00300266"/>
    <w:rsid w:val="003008F3"/>
    <w:rsid w:val="00300AAD"/>
    <w:rsid w:val="0030104E"/>
    <w:rsid w:val="00301DB9"/>
    <w:rsid w:val="003051C7"/>
    <w:rsid w:val="003053CC"/>
    <w:rsid w:val="00305881"/>
    <w:rsid w:val="0030671F"/>
    <w:rsid w:val="00306940"/>
    <w:rsid w:val="00307273"/>
    <w:rsid w:val="003100AB"/>
    <w:rsid w:val="00312466"/>
    <w:rsid w:val="003127A6"/>
    <w:rsid w:val="00313977"/>
    <w:rsid w:val="00313A83"/>
    <w:rsid w:val="0031469E"/>
    <w:rsid w:val="00314B1E"/>
    <w:rsid w:val="00314BF1"/>
    <w:rsid w:val="00314D60"/>
    <w:rsid w:val="0031513B"/>
    <w:rsid w:val="00315883"/>
    <w:rsid w:val="00315E7E"/>
    <w:rsid w:val="00315EB1"/>
    <w:rsid w:val="0031691A"/>
    <w:rsid w:val="0031699F"/>
    <w:rsid w:val="00316AA6"/>
    <w:rsid w:val="00317A13"/>
    <w:rsid w:val="00317A17"/>
    <w:rsid w:val="00317B6D"/>
    <w:rsid w:val="003220B2"/>
    <w:rsid w:val="00322BC3"/>
    <w:rsid w:val="00324F63"/>
    <w:rsid w:val="0032517A"/>
    <w:rsid w:val="003272AB"/>
    <w:rsid w:val="00327EDE"/>
    <w:rsid w:val="003320CC"/>
    <w:rsid w:val="003322C8"/>
    <w:rsid w:val="00334356"/>
    <w:rsid w:val="003350E1"/>
    <w:rsid w:val="00335178"/>
    <w:rsid w:val="00336738"/>
    <w:rsid w:val="00337AD3"/>
    <w:rsid w:val="0034107D"/>
    <w:rsid w:val="003417A4"/>
    <w:rsid w:val="003420D4"/>
    <w:rsid w:val="00343191"/>
    <w:rsid w:val="003432F3"/>
    <w:rsid w:val="003434CC"/>
    <w:rsid w:val="00345FAD"/>
    <w:rsid w:val="003464E1"/>
    <w:rsid w:val="00346560"/>
    <w:rsid w:val="00346767"/>
    <w:rsid w:val="003469E3"/>
    <w:rsid w:val="00347C53"/>
    <w:rsid w:val="003501B9"/>
    <w:rsid w:val="003506FF"/>
    <w:rsid w:val="0035229F"/>
    <w:rsid w:val="00353017"/>
    <w:rsid w:val="003532E2"/>
    <w:rsid w:val="00354314"/>
    <w:rsid w:val="003560E6"/>
    <w:rsid w:val="003561BB"/>
    <w:rsid w:val="00356319"/>
    <w:rsid w:val="00356B91"/>
    <w:rsid w:val="00357C70"/>
    <w:rsid w:val="003608A4"/>
    <w:rsid w:val="00360DCC"/>
    <w:rsid w:val="003635A3"/>
    <w:rsid w:val="00363F0D"/>
    <w:rsid w:val="00365E76"/>
    <w:rsid w:val="0036781D"/>
    <w:rsid w:val="00370CA6"/>
    <w:rsid w:val="00371C45"/>
    <w:rsid w:val="0037309F"/>
    <w:rsid w:val="003750A1"/>
    <w:rsid w:val="003752DE"/>
    <w:rsid w:val="00375361"/>
    <w:rsid w:val="00375A91"/>
    <w:rsid w:val="0037703A"/>
    <w:rsid w:val="00377336"/>
    <w:rsid w:val="00380902"/>
    <w:rsid w:val="00380D58"/>
    <w:rsid w:val="00380E72"/>
    <w:rsid w:val="003811F5"/>
    <w:rsid w:val="00382018"/>
    <w:rsid w:val="00382C86"/>
    <w:rsid w:val="003831F0"/>
    <w:rsid w:val="003834B9"/>
    <w:rsid w:val="0038354A"/>
    <w:rsid w:val="00383B8C"/>
    <w:rsid w:val="00384107"/>
    <w:rsid w:val="003846B6"/>
    <w:rsid w:val="003858D4"/>
    <w:rsid w:val="0038678E"/>
    <w:rsid w:val="00387763"/>
    <w:rsid w:val="00390285"/>
    <w:rsid w:val="00390541"/>
    <w:rsid w:val="00392AAC"/>
    <w:rsid w:val="00393E2D"/>
    <w:rsid w:val="003954CF"/>
    <w:rsid w:val="003959D3"/>
    <w:rsid w:val="00396CB9"/>
    <w:rsid w:val="003A1D6D"/>
    <w:rsid w:val="003A2984"/>
    <w:rsid w:val="003A3BA0"/>
    <w:rsid w:val="003A3D00"/>
    <w:rsid w:val="003A3E6C"/>
    <w:rsid w:val="003A6708"/>
    <w:rsid w:val="003A6F28"/>
    <w:rsid w:val="003A77E9"/>
    <w:rsid w:val="003A7906"/>
    <w:rsid w:val="003B0648"/>
    <w:rsid w:val="003B0671"/>
    <w:rsid w:val="003B097E"/>
    <w:rsid w:val="003B0F7E"/>
    <w:rsid w:val="003B39E4"/>
    <w:rsid w:val="003B49F2"/>
    <w:rsid w:val="003B50FF"/>
    <w:rsid w:val="003C0C0E"/>
    <w:rsid w:val="003C1027"/>
    <w:rsid w:val="003C311E"/>
    <w:rsid w:val="003C3235"/>
    <w:rsid w:val="003C3653"/>
    <w:rsid w:val="003C378B"/>
    <w:rsid w:val="003C39D3"/>
    <w:rsid w:val="003C3D21"/>
    <w:rsid w:val="003C4660"/>
    <w:rsid w:val="003C60A2"/>
    <w:rsid w:val="003C6678"/>
    <w:rsid w:val="003C6A04"/>
    <w:rsid w:val="003C6B64"/>
    <w:rsid w:val="003C72C0"/>
    <w:rsid w:val="003C734F"/>
    <w:rsid w:val="003C7D71"/>
    <w:rsid w:val="003D167E"/>
    <w:rsid w:val="003D1C1A"/>
    <w:rsid w:val="003D362B"/>
    <w:rsid w:val="003D3CB3"/>
    <w:rsid w:val="003D4D5E"/>
    <w:rsid w:val="003D5338"/>
    <w:rsid w:val="003D555D"/>
    <w:rsid w:val="003D6715"/>
    <w:rsid w:val="003D6C3C"/>
    <w:rsid w:val="003E0008"/>
    <w:rsid w:val="003E0383"/>
    <w:rsid w:val="003E1D24"/>
    <w:rsid w:val="003E251C"/>
    <w:rsid w:val="003E4EDF"/>
    <w:rsid w:val="003E5E8D"/>
    <w:rsid w:val="003E5F2A"/>
    <w:rsid w:val="003E60A3"/>
    <w:rsid w:val="003E6D52"/>
    <w:rsid w:val="003E7005"/>
    <w:rsid w:val="003F04B2"/>
    <w:rsid w:val="003F2637"/>
    <w:rsid w:val="003F5BCF"/>
    <w:rsid w:val="003F6BA8"/>
    <w:rsid w:val="003F76F6"/>
    <w:rsid w:val="00400092"/>
    <w:rsid w:val="0040097F"/>
    <w:rsid w:val="00401C85"/>
    <w:rsid w:val="00402678"/>
    <w:rsid w:val="004027E0"/>
    <w:rsid w:val="00402CA1"/>
    <w:rsid w:val="00403A5B"/>
    <w:rsid w:val="00404E1C"/>
    <w:rsid w:val="0040530D"/>
    <w:rsid w:val="00405DCA"/>
    <w:rsid w:val="00406DFB"/>
    <w:rsid w:val="00407391"/>
    <w:rsid w:val="0040788D"/>
    <w:rsid w:val="004101CB"/>
    <w:rsid w:val="00410DD6"/>
    <w:rsid w:val="00411024"/>
    <w:rsid w:val="00411114"/>
    <w:rsid w:val="00411167"/>
    <w:rsid w:val="004113A1"/>
    <w:rsid w:val="004134D4"/>
    <w:rsid w:val="00414F6D"/>
    <w:rsid w:val="00415271"/>
    <w:rsid w:val="004154A2"/>
    <w:rsid w:val="00415A7D"/>
    <w:rsid w:val="00416C22"/>
    <w:rsid w:val="00420452"/>
    <w:rsid w:val="00421334"/>
    <w:rsid w:val="0042175E"/>
    <w:rsid w:val="00421B88"/>
    <w:rsid w:val="00421C7B"/>
    <w:rsid w:val="00421CC0"/>
    <w:rsid w:val="00422117"/>
    <w:rsid w:val="00423101"/>
    <w:rsid w:val="00423CE6"/>
    <w:rsid w:val="00425F07"/>
    <w:rsid w:val="00426F51"/>
    <w:rsid w:val="0042761D"/>
    <w:rsid w:val="0042771A"/>
    <w:rsid w:val="00427DE8"/>
    <w:rsid w:val="004305E0"/>
    <w:rsid w:val="00430685"/>
    <w:rsid w:val="00430B5B"/>
    <w:rsid w:val="00430F19"/>
    <w:rsid w:val="0043274E"/>
    <w:rsid w:val="00433269"/>
    <w:rsid w:val="00434EC5"/>
    <w:rsid w:val="00435241"/>
    <w:rsid w:val="00435E0C"/>
    <w:rsid w:val="004376B7"/>
    <w:rsid w:val="00437842"/>
    <w:rsid w:val="0044006D"/>
    <w:rsid w:val="00440501"/>
    <w:rsid w:val="004408E6"/>
    <w:rsid w:val="0044121C"/>
    <w:rsid w:val="00442456"/>
    <w:rsid w:val="00444FF5"/>
    <w:rsid w:val="00445326"/>
    <w:rsid w:val="00445FBA"/>
    <w:rsid w:val="0044605B"/>
    <w:rsid w:val="00447246"/>
    <w:rsid w:val="00447C3A"/>
    <w:rsid w:val="00451988"/>
    <w:rsid w:val="00451D57"/>
    <w:rsid w:val="00451E28"/>
    <w:rsid w:val="00453D97"/>
    <w:rsid w:val="004547F9"/>
    <w:rsid w:val="00454FB0"/>
    <w:rsid w:val="0045760C"/>
    <w:rsid w:val="00457DA3"/>
    <w:rsid w:val="004620EC"/>
    <w:rsid w:val="00463136"/>
    <w:rsid w:val="00463B79"/>
    <w:rsid w:val="00463CFD"/>
    <w:rsid w:val="0046441F"/>
    <w:rsid w:val="00464B17"/>
    <w:rsid w:val="00464E31"/>
    <w:rsid w:val="00465290"/>
    <w:rsid w:val="00466859"/>
    <w:rsid w:val="00470625"/>
    <w:rsid w:val="00470914"/>
    <w:rsid w:val="004712E1"/>
    <w:rsid w:val="0047185C"/>
    <w:rsid w:val="00471888"/>
    <w:rsid w:val="00471A40"/>
    <w:rsid w:val="00471C0A"/>
    <w:rsid w:val="00472CDE"/>
    <w:rsid w:val="00473EB8"/>
    <w:rsid w:val="00474315"/>
    <w:rsid w:val="00474591"/>
    <w:rsid w:val="00474981"/>
    <w:rsid w:val="0047499A"/>
    <w:rsid w:val="00474C0C"/>
    <w:rsid w:val="00476CBB"/>
    <w:rsid w:val="0047736D"/>
    <w:rsid w:val="00477575"/>
    <w:rsid w:val="00477CF5"/>
    <w:rsid w:val="00481969"/>
    <w:rsid w:val="0048257D"/>
    <w:rsid w:val="0048268C"/>
    <w:rsid w:val="00484AA7"/>
    <w:rsid w:val="00484E66"/>
    <w:rsid w:val="004857B7"/>
    <w:rsid w:val="00486030"/>
    <w:rsid w:val="00486234"/>
    <w:rsid w:val="00491040"/>
    <w:rsid w:val="00491547"/>
    <w:rsid w:val="00491DFD"/>
    <w:rsid w:val="00492767"/>
    <w:rsid w:val="00492E1E"/>
    <w:rsid w:val="00494742"/>
    <w:rsid w:val="00494BFA"/>
    <w:rsid w:val="00494EDA"/>
    <w:rsid w:val="004962DE"/>
    <w:rsid w:val="00496E2C"/>
    <w:rsid w:val="00496E78"/>
    <w:rsid w:val="00496EF9"/>
    <w:rsid w:val="00497076"/>
    <w:rsid w:val="00497278"/>
    <w:rsid w:val="00497490"/>
    <w:rsid w:val="004A01C2"/>
    <w:rsid w:val="004A0777"/>
    <w:rsid w:val="004A1B9E"/>
    <w:rsid w:val="004A21F3"/>
    <w:rsid w:val="004A3B16"/>
    <w:rsid w:val="004A43B1"/>
    <w:rsid w:val="004A509B"/>
    <w:rsid w:val="004A5134"/>
    <w:rsid w:val="004A66D8"/>
    <w:rsid w:val="004A6D13"/>
    <w:rsid w:val="004A7AC8"/>
    <w:rsid w:val="004B022B"/>
    <w:rsid w:val="004B1086"/>
    <w:rsid w:val="004B2E4F"/>
    <w:rsid w:val="004B3666"/>
    <w:rsid w:val="004B4999"/>
    <w:rsid w:val="004B4A52"/>
    <w:rsid w:val="004B632F"/>
    <w:rsid w:val="004B6757"/>
    <w:rsid w:val="004B68A8"/>
    <w:rsid w:val="004C06E9"/>
    <w:rsid w:val="004C0E59"/>
    <w:rsid w:val="004C128F"/>
    <w:rsid w:val="004C21BC"/>
    <w:rsid w:val="004C2A42"/>
    <w:rsid w:val="004C33B6"/>
    <w:rsid w:val="004C471D"/>
    <w:rsid w:val="004C4D79"/>
    <w:rsid w:val="004C4FFD"/>
    <w:rsid w:val="004C5C84"/>
    <w:rsid w:val="004C626B"/>
    <w:rsid w:val="004C651E"/>
    <w:rsid w:val="004C65ED"/>
    <w:rsid w:val="004C6765"/>
    <w:rsid w:val="004C6B9E"/>
    <w:rsid w:val="004D04A8"/>
    <w:rsid w:val="004D0847"/>
    <w:rsid w:val="004D2FE4"/>
    <w:rsid w:val="004D3D78"/>
    <w:rsid w:val="004D3E05"/>
    <w:rsid w:val="004D4D2C"/>
    <w:rsid w:val="004D5AF2"/>
    <w:rsid w:val="004D5C32"/>
    <w:rsid w:val="004D6774"/>
    <w:rsid w:val="004D69CA"/>
    <w:rsid w:val="004D6CB0"/>
    <w:rsid w:val="004D6E19"/>
    <w:rsid w:val="004D7A2B"/>
    <w:rsid w:val="004D7B49"/>
    <w:rsid w:val="004E02DE"/>
    <w:rsid w:val="004E64DF"/>
    <w:rsid w:val="004E72AA"/>
    <w:rsid w:val="004E7ACF"/>
    <w:rsid w:val="004E7C7D"/>
    <w:rsid w:val="004F00E3"/>
    <w:rsid w:val="004F342F"/>
    <w:rsid w:val="004F4011"/>
    <w:rsid w:val="004F59A4"/>
    <w:rsid w:val="004F6042"/>
    <w:rsid w:val="004F6E3C"/>
    <w:rsid w:val="004F782B"/>
    <w:rsid w:val="004F7BC6"/>
    <w:rsid w:val="0050034C"/>
    <w:rsid w:val="00500D9C"/>
    <w:rsid w:val="005014FC"/>
    <w:rsid w:val="00502099"/>
    <w:rsid w:val="00502542"/>
    <w:rsid w:val="0050388C"/>
    <w:rsid w:val="00504DB1"/>
    <w:rsid w:val="00505827"/>
    <w:rsid w:val="005059D4"/>
    <w:rsid w:val="0050613E"/>
    <w:rsid w:val="00510642"/>
    <w:rsid w:val="00510D14"/>
    <w:rsid w:val="00511511"/>
    <w:rsid w:val="00511E61"/>
    <w:rsid w:val="005122CC"/>
    <w:rsid w:val="00513511"/>
    <w:rsid w:val="00513947"/>
    <w:rsid w:val="00514439"/>
    <w:rsid w:val="00515952"/>
    <w:rsid w:val="00515E7B"/>
    <w:rsid w:val="00515FC4"/>
    <w:rsid w:val="0051664B"/>
    <w:rsid w:val="00517DDE"/>
    <w:rsid w:val="0052119A"/>
    <w:rsid w:val="005213B9"/>
    <w:rsid w:val="00521C96"/>
    <w:rsid w:val="00521EB6"/>
    <w:rsid w:val="00522145"/>
    <w:rsid w:val="00523143"/>
    <w:rsid w:val="005238EA"/>
    <w:rsid w:val="00523AD4"/>
    <w:rsid w:val="00523F39"/>
    <w:rsid w:val="00524907"/>
    <w:rsid w:val="00525036"/>
    <w:rsid w:val="005267B9"/>
    <w:rsid w:val="00527EC4"/>
    <w:rsid w:val="00531011"/>
    <w:rsid w:val="00531108"/>
    <w:rsid w:val="00531DD2"/>
    <w:rsid w:val="0053232A"/>
    <w:rsid w:val="005323C8"/>
    <w:rsid w:val="005331B7"/>
    <w:rsid w:val="00533B81"/>
    <w:rsid w:val="0053459A"/>
    <w:rsid w:val="00534C31"/>
    <w:rsid w:val="00535C1F"/>
    <w:rsid w:val="005360D4"/>
    <w:rsid w:val="00536CA8"/>
    <w:rsid w:val="00537223"/>
    <w:rsid w:val="0054055F"/>
    <w:rsid w:val="0054108E"/>
    <w:rsid w:val="00543466"/>
    <w:rsid w:val="00543A1A"/>
    <w:rsid w:val="005441CF"/>
    <w:rsid w:val="00545204"/>
    <w:rsid w:val="0054678B"/>
    <w:rsid w:val="005507CB"/>
    <w:rsid w:val="005522FB"/>
    <w:rsid w:val="00552358"/>
    <w:rsid w:val="00555C5F"/>
    <w:rsid w:val="00555F2D"/>
    <w:rsid w:val="00556351"/>
    <w:rsid w:val="005564D9"/>
    <w:rsid w:val="00557D8A"/>
    <w:rsid w:val="00563346"/>
    <w:rsid w:val="00563FD2"/>
    <w:rsid w:val="00564969"/>
    <w:rsid w:val="005650F1"/>
    <w:rsid w:val="005652A0"/>
    <w:rsid w:val="0056556A"/>
    <w:rsid w:val="00565D91"/>
    <w:rsid w:val="005662D3"/>
    <w:rsid w:val="00571632"/>
    <w:rsid w:val="00571F76"/>
    <w:rsid w:val="00572102"/>
    <w:rsid w:val="0057268B"/>
    <w:rsid w:val="00572D5D"/>
    <w:rsid w:val="00574C56"/>
    <w:rsid w:val="00574E02"/>
    <w:rsid w:val="00574F07"/>
    <w:rsid w:val="005776CC"/>
    <w:rsid w:val="00577BFE"/>
    <w:rsid w:val="00577F34"/>
    <w:rsid w:val="00577FD6"/>
    <w:rsid w:val="0058071D"/>
    <w:rsid w:val="005811D1"/>
    <w:rsid w:val="00581938"/>
    <w:rsid w:val="005821D5"/>
    <w:rsid w:val="0058237C"/>
    <w:rsid w:val="00582AFA"/>
    <w:rsid w:val="0058302C"/>
    <w:rsid w:val="00583B0A"/>
    <w:rsid w:val="00583F6D"/>
    <w:rsid w:val="00583FDE"/>
    <w:rsid w:val="0058462E"/>
    <w:rsid w:val="00585266"/>
    <w:rsid w:val="005856D3"/>
    <w:rsid w:val="00585D7E"/>
    <w:rsid w:val="00586773"/>
    <w:rsid w:val="005873DB"/>
    <w:rsid w:val="00593F94"/>
    <w:rsid w:val="005942F0"/>
    <w:rsid w:val="00595D9A"/>
    <w:rsid w:val="005964A6"/>
    <w:rsid w:val="005969D9"/>
    <w:rsid w:val="00596C82"/>
    <w:rsid w:val="005975C6"/>
    <w:rsid w:val="00597892"/>
    <w:rsid w:val="00597B04"/>
    <w:rsid w:val="00597E37"/>
    <w:rsid w:val="005A0035"/>
    <w:rsid w:val="005A0182"/>
    <w:rsid w:val="005A1596"/>
    <w:rsid w:val="005A2CE6"/>
    <w:rsid w:val="005A3CCF"/>
    <w:rsid w:val="005A5076"/>
    <w:rsid w:val="005A59E5"/>
    <w:rsid w:val="005A6C31"/>
    <w:rsid w:val="005B11F7"/>
    <w:rsid w:val="005B1332"/>
    <w:rsid w:val="005B1FCA"/>
    <w:rsid w:val="005B2C5F"/>
    <w:rsid w:val="005B35F9"/>
    <w:rsid w:val="005B4DC4"/>
    <w:rsid w:val="005C094B"/>
    <w:rsid w:val="005C0B71"/>
    <w:rsid w:val="005C1CA1"/>
    <w:rsid w:val="005C3F75"/>
    <w:rsid w:val="005C5347"/>
    <w:rsid w:val="005C5AC8"/>
    <w:rsid w:val="005C5D0C"/>
    <w:rsid w:val="005C6809"/>
    <w:rsid w:val="005D004C"/>
    <w:rsid w:val="005D0684"/>
    <w:rsid w:val="005D1DDE"/>
    <w:rsid w:val="005D230A"/>
    <w:rsid w:val="005D30F3"/>
    <w:rsid w:val="005D34A1"/>
    <w:rsid w:val="005D3D55"/>
    <w:rsid w:val="005D3E8D"/>
    <w:rsid w:val="005D4BB3"/>
    <w:rsid w:val="005D57AB"/>
    <w:rsid w:val="005D6049"/>
    <w:rsid w:val="005D6456"/>
    <w:rsid w:val="005D6C06"/>
    <w:rsid w:val="005D6E2D"/>
    <w:rsid w:val="005E2C52"/>
    <w:rsid w:val="005E2E94"/>
    <w:rsid w:val="005E4078"/>
    <w:rsid w:val="005E45B1"/>
    <w:rsid w:val="005E4D19"/>
    <w:rsid w:val="005E5B43"/>
    <w:rsid w:val="005E5BE3"/>
    <w:rsid w:val="005E66DB"/>
    <w:rsid w:val="005F0530"/>
    <w:rsid w:val="005F09AE"/>
    <w:rsid w:val="005F2433"/>
    <w:rsid w:val="005F2C34"/>
    <w:rsid w:val="005F416D"/>
    <w:rsid w:val="005F4522"/>
    <w:rsid w:val="005F6160"/>
    <w:rsid w:val="005F6ED7"/>
    <w:rsid w:val="0060103D"/>
    <w:rsid w:val="00601FF6"/>
    <w:rsid w:val="0060299F"/>
    <w:rsid w:val="00603014"/>
    <w:rsid w:val="00603A3E"/>
    <w:rsid w:val="00604407"/>
    <w:rsid w:val="00605CD6"/>
    <w:rsid w:val="0060671B"/>
    <w:rsid w:val="00606EAD"/>
    <w:rsid w:val="00610917"/>
    <w:rsid w:val="006116C7"/>
    <w:rsid w:val="00611746"/>
    <w:rsid w:val="006122BA"/>
    <w:rsid w:val="0061580A"/>
    <w:rsid w:val="006162B8"/>
    <w:rsid w:val="00616C17"/>
    <w:rsid w:val="00617278"/>
    <w:rsid w:val="006177CB"/>
    <w:rsid w:val="0062006A"/>
    <w:rsid w:val="006204DE"/>
    <w:rsid w:val="00620BAE"/>
    <w:rsid w:val="0062136E"/>
    <w:rsid w:val="006214BF"/>
    <w:rsid w:val="006217AE"/>
    <w:rsid w:val="006230A9"/>
    <w:rsid w:val="0062462E"/>
    <w:rsid w:val="00624937"/>
    <w:rsid w:val="00626A07"/>
    <w:rsid w:val="006307F0"/>
    <w:rsid w:val="00630DC3"/>
    <w:rsid w:val="00630E02"/>
    <w:rsid w:val="006315D5"/>
    <w:rsid w:val="00632AD3"/>
    <w:rsid w:val="00632DB2"/>
    <w:rsid w:val="00633649"/>
    <w:rsid w:val="00633EBD"/>
    <w:rsid w:val="0063534D"/>
    <w:rsid w:val="006361DD"/>
    <w:rsid w:val="00636A56"/>
    <w:rsid w:val="00636DA2"/>
    <w:rsid w:val="00637245"/>
    <w:rsid w:val="0064053B"/>
    <w:rsid w:val="006425D5"/>
    <w:rsid w:val="00642BD3"/>
    <w:rsid w:val="00643193"/>
    <w:rsid w:val="006450FC"/>
    <w:rsid w:val="00645CE7"/>
    <w:rsid w:val="0064644D"/>
    <w:rsid w:val="00646763"/>
    <w:rsid w:val="00647196"/>
    <w:rsid w:val="00650294"/>
    <w:rsid w:val="00651809"/>
    <w:rsid w:val="006518B8"/>
    <w:rsid w:val="00651B20"/>
    <w:rsid w:val="00651B6B"/>
    <w:rsid w:val="00652F55"/>
    <w:rsid w:val="00653663"/>
    <w:rsid w:val="006547D0"/>
    <w:rsid w:val="00654934"/>
    <w:rsid w:val="00655731"/>
    <w:rsid w:val="00656B64"/>
    <w:rsid w:val="006570DA"/>
    <w:rsid w:val="006620BC"/>
    <w:rsid w:val="00662C30"/>
    <w:rsid w:val="006637FA"/>
    <w:rsid w:val="00663C5E"/>
    <w:rsid w:val="006641BC"/>
    <w:rsid w:val="006646BE"/>
    <w:rsid w:val="006651A8"/>
    <w:rsid w:val="0066551D"/>
    <w:rsid w:val="00666089"/>
    <w:rsid w:val="00666771"/>
    <w:rsid w:val="0067121E"/>
    <w:rsid w:val="006722A6"/>
    <w:rsid w:val="00672758"/>
    <w:rsid w:val="00672A52"/>
    <w:rsid w:val="00672DE9"/>
    <w:rsid w:val="006731B2"/>
    <w:rsid w:val="0067354F"/>
    <w:rsid w:val="00673FA0"/>
    <w:rsid w:val="00674BAF"/>
    <w:rsid w:val="006755D5"/>
    <w:rsid w:val="006758CD"/>
    <w:rsid w:val="0067795B"/>
    <w:rsid w:val="00680389"/>
    <w:rsid w:val="00681B2D"/>
    <w:rsid w:val="00683CB1"/>
    <w:rsid w:val="00683DD8"/>
    <w:rsid w:val="00684681"/>
    <w:rsid w:val="00685374"/>
    <w:rsid w:val="00686BD7"/>
    <w:rsid w:val="00686D2A"/>
    <w:rsid w:val="006900DC"/>
    <w:rsid w:val="00690765"/>
    <w:rsid w:val="00690B93"/>
    <w:rsid w:val="006910DD"/>
    <w:rsid w:val="006920BE"/>
    <w:rsid w:val="0069266F"/>
    <w:rsid w:val="006945D3"/>
    <w:rsid w:val="00694A5F"/>
    <w:rsid w:val="006973E1"/>
    <w:rsid w:val="00697677"/>
    <w:rsid w:val="006A0265"/>
    <w:rsid w:val="006A04FB"/>
    <w:rsid w:val="006A180C"/>
    <w:rsid w:val="006A1AAF"/>
    <w:rsid w:val="006A5870"/>
    <w:rsid w:val="006A66E9"/>
    <w:rsid w:val="006A78E1"/>
    <w:rsid w:val="006A78E3"/>
    <w:rsid w:val="006B041D"/>
    <w:rsid w:val="006B088D"/>
    <w:rsid w:val="006B09F8"/>
    <w:rsid w:val="006B0B58"/>
    <w:rsid w:val="006B0F95"/>
    <w:rsid w:val="006B1722"/>
    <w:rsid w:val="006B2536"/>
    <w:rsid w:val="006B26C4"/>
    <w:rsid w:val="006B26C8"/>
    <w:rsid w:val="006B5362"/>
    <w:rsid w:val="006B5C96"/>
    <w:rsid w:val="006B661F"/>
    <w:rsid w:val="006B6A1E"/>
    <w:rsid w:val="006B6F2E"/>
    <w:rsid w:val="006B7593"/>
    <w:rsid w:val="006B7626"/>
    <w:rsid w:val="006C1367"/>
    <w:rsid w:val="006C20FD"/>
    <w:rsid w:val="006C4DE9"/>
    <w:rsid w:val="006C536C"/>
    <w:rsid w:val="006C552B"/>
    <w:rsid w:val="006C64BB"/>
    <w:rsid w:val="006C7138"/>
    <w:rsid w:val="006D0DBC"/>
    <w:rsid w:val="006D0FAD"/>
    <w:rsid w:val="006D2D9B"/>
    <w:rsid w:val="006D3BC2"/>
    <w:rsid w:val="006D4447"/>
    <w:rsid w:val="006D6700"/>
    <w:rsid w:val="006D73F3"/>
    <w:rsid w:val="006D7806"/>
    <w:rsid w:val="006D79CB"/>
    <w:rsid w:val="006E0340"/>
    <w:rsid w:val="006E0418"/>
    <w:rsid w:val="006E08A7"/>
    <w:rsid w:val="006E0A7F"/>
    <w:rsid w:val="006E1D2F"/>
    <w:rsid w:val="006E1DBE"/>
    <w:rsid w:val="006E2B5D"/>
    <w:rsid w:val="006E2F3C"/>
    <w:rsid w:val="006E3582"/>
    <w:rsid w:val="006E425C"/>
    <w:rsid w:val="006E4A9A"/>
    <w:rsid w:val="006E6FF1"/>
    <w:rsid w:val="006F0A82"/>
    <w:rsid w:val="006F15A9"/>
    <w:rsid w:val="006F228B"/>
    <w:rsid w:val="006F366F"/>
    <w:rsid w:val="006F53BE"/>
    <w:rsid w:val="006F5CFE"/>
    <w:rsid w:val="006F6079"/>
    <w:rsid w:val="006F62DD"/>
    <w:rsid w:val="006F77A8"/>
    <w:rsid w:val="006F7A0B"/>
    <w:rsid w:val="00701B06"/>
    <w:rsid w:val="007032AC"/>
    <w:rsid w:val="00704E26"/>
    <w:rsid w:val="00705C86"/>
    <w:rsid w:val="00705F20"/>
    <w:rsid w:val="00706323"/>
    <w:rsid w:val="00710B0A"/>
    <w:rsid w:val="00710CA1"/>
    <w:rsid w:val="00710D13"/>
    <w:rsid w:val="00712227"/>
    <w:rsid w:val="007144ED"/>
    <w:rsid w:val="00714A9A"/>
    <w:rsid w:val="00714B27"/>
    <w:rsid w:val="00715CC4"/>
    <w:rsid w:val="007163E5"/>
    <w:rsid w:val="00716D0F"/>
    <w:rsid w:val="007179B4"/>
    <w:rsid w:val="00717C7B"/>
    <w:rsid w:val="00722195"/>
    <w:rsid w:val="00722855"/>
    <w:rsid w:val="007231F8"/>
    <w:rsid w:val="00723891"/>
    <w:rsid w:val="00723ED3"/>
    <w:rsid w:val="00725AD7"/>
    <w:rsid w:val="007276D1"/>
    <w:rsid w:val="0073088F"/>
    <w:rsid w:val="007308BE"/>
    <w:rsid w:val="007309CB"/>
    <w:rsid w:val="00731918"/>
    <w:rsid w:val="007336E8"/>
    <w:rsid w:val="0073399B"/>
    <w:rsid w:val="00734FC4"/>
    <w:rsid w:val="007350FE"/>
    <w:rsid w:val="007353F7"/>
    <w:rsid w:val="0073628F"/>
    <w:rsid w:val="00736613"/>
    <w:rsid w:val="00736744"/>
    <w:rsid w:val="00736E3C"/>
    <w:rsid w:val="00740EFD"/>
    <w:rsid w:val="0074152E"/>
    <w:rsid w:val="00741F1B"/>
    <w:rsid w:val="007430CE"/>
    <w:rsid w:val="00744674"/>
    <w:rsid w:val="00745928"/>
    <w:rsid w:val="00746760"/>
    <w:rsid w:val="00746BC9"/>
    <w:rsid w:val="00746CD6"/>
    <w:rsid w:val="007476F0"/>
    <w:rsid w:val="007507D1"/>
    <w:rsid w:val="00751CA3"/>
    <w:rsid w:val="007536D9"/>
    <w:rsid w:val="00753EB5"/>
    <w:rsid w:val="00755D71"/>
    <w:rsid w:val="00756687"/>
    <w:rsid w:val="00756B7A"/>
    <w:rsid w:val="007570A6"/>
    <w:rsid w:val="00757955"/>
    <w:rsid w:val="00760C0F"/>
    <w:rsid w:val="00760C7B"/>
    <w:rsid w:val="00760DB7"/>
    <w:rsid w:val="007618FC"/>
    <w:rsid w:val="007620BB"/>
    <w:rsid w:val="00762182"/>
    <w:rsid w:val="0076225E"/>
    <w:rsid w:val="00764369"/>
    <w:rsid w:val="00764F66"/>
    <w:rsid w:val="00765D1D"/>
    <w:rsid w:val="00765D72"/>
    <w:rsid w:val="00766638"/>
    <w:rsid w:val="00767884"/>
    <w:rsid w:val="007702C1"/>
    <w:rsid w:val="00770E7D"/>
    <w:rsid w:val="00771799"/>
    <w:rsid w:val="00772170"/>
    <w:rsid w:val="0077238D"/>
    <w:rsid w:val="0077298C"/>
    <w:rsid w:val="00772D65"/>
    <w:rsid w:val="007732E6"/>
    <w:rsid w:val="00775238"/>
    <w:rsid w:val="007752E8"/>
    <w:rsid w:val="007762AB"/>
    <w:rsid w:val="0077685A"/>
    <w:rsid w:val="00776D1C"/>
    <w:rsid w:val="00777080"/>
    <w:rsid w:val="00777B37"/>
    <w:rsid w:val="00783023"/>
    <w:rsid w:val="00783254"/>
    <w:rsid w:val="00783816"/>
    <w:rsid w:val="00783BD2"/>
    <w:rsid w:val="007841F9"/>
    <w:rsid w:val="007856F1"/>
    <w:rsid w:val="00785D4D"/>
    <w:rsid w:val="007876C8"/>
    <w:rsid w:val="00791605"/>
    <w:rsid w:val="007928A9"/>
    <w:rsid w:val="00792E37"/>
    <w:rsid w:val="00793D0D"/>
    <w:rsid w:val="00794035"/>
    <w:rsid w:val="00794A8B"/>
    <w:rsid w:val="00795043"/>
    <w:rsid w:val="00795C23"/>
    <w:rsid w:val="007974CA"/>
    <w:rsid w:val="007A036C"/>
    <w:rsid w:val="007A1E0B"/>
    <w:rsid w:val="007A2671"/>
    <w:rsid w:val="007A5939"/>
    <w:rsid w:val="007A5B77"/>
    <w:rsid w:val="007A5F9F"/>
    <w:rsid w:val="007A6569"/>
    <w:rsid w:val="007A78DE"/>
    <w:rsid w:val="007B02B7"/>
    <w:rsid w:val="007B0A3F"/>
    <w:rsid w:val="007B1907"/>
    <w:rsid w:val="007B20E0"/>
    <w:rsid w:val="007B2AEE"/>
    <w:rsid w:val="007B33B5"/>
    <w:rsid w:val="007B46BF"/>
    <w:rsid w:val="007B5B09"/>
    <w:rsid w:val="007B5BB4"/>
    <w:rsid w:val="007B5EED"/>
    <w:rsid w:val="007C3E05"/>
    <w:rsid w:val="007C635C"/>
    <w:rsid w:val="007C6824"/>
    <w:rsid w:val="007D0F76"/>
    <w:rsid w:val="007D143E"/>
    <w:rsid w:val="007D1DBD"/>
    <w:rsid w:val="007D25CA"/>
    <w:rsid w:val="007D3126"/>
    <w:rsid w:val="007D3459"/>
    <w:rsid w:val="007D58A2"/>
    <w:rsid w:val="007D5DC0"/>
    <w:rsid w:val="007D614C"/>
    <w:rsid w:val="007D634E"/>
    <w:rsid w:val="007D67A9"/>
    <w:rsid w:val="007D758C"/>
    <w:rsid w:val="007E04A5"/>
    <w:rsid w:val="007E0CB9"/>
    <w:rsid w:val="007E4496"/>
    <w:rsid w:val="007E5890"/>
    <w:rsid w:val="007E667A"/>
    <w:rsid w:val="007E6A00"/>
    <w:rsid w:val="007E6A49"/>
    <w:rsid w:val="007E7E4B"/>
    <w:rsid w:val="007F0CD4"/>
    <w:rsid w:val="007F14FB"/>
    <w:rsid w:val="007F1904"/>
    <w:rsid w:val="007F1D5E"/>
    <w:rsid w:val="007F2515"/>
    <w:rsid w:val="007F2604"/>
    <w:rsid w:val="007F28C9"/>
    <w:rsid w:val="007F48C9"/>
    <w:rsid w:val="00800A64"/>
    <w:rsid w:val="00800B46"/>
    <w:rsid w:val="00803754"/>
    <w:rsid w:val="00804768"/>
    <w:rsid w:val="00805A1F"/>
    <w:rsid w:val="00805D35"/>
    <w:rsid w:val="00805D93"/>
    <w:rsid w:val="008071BC"/>
    <w:rsid w:val="0081070D"/>
    <w:rsid w:val="00811545"/>
    <w:rsid w:val="008126A6"/>
    <w:rsid w:val="00812C4F"/>
    <w:rsid w:val="00813877"/>
    <w:rsid w:val="00814318"/>
    <w:rsid w:val="00814A9E"/>
    <w:rsid w:val="00816570"/>
    <w:rsid w:val="008170AF"/>
    <w:rsid w:val="00821E16"/>
    <w:rsid w:val="00824598"/>
    <w:rsid w:val="008255A0"/>
    <w:rsid w:val="008259F5"/>
    <w:rsid w:val="00827B78"/>
    <w:rsid w:val="00827D20"/>
    <w:rsid w:val="00830168"/>
    <w:rsid w:val="008311C6"/>
    <w:rsid w:val="00831BD8"/>
    <w:rsid w:val="00833FE3"/>
    <w:rsid w:val="00835323"/>
    <w:rsid w:val="00835FC4"/>
    <w:rsid w:val="0083645A"/>
    <w:rsid w:val="00840191"/>
    <w:rsid w:val="00840685"/>
    <w:rsid w:val="008412F3"/>
    <w:rsid w:val="00842B9A"/>
    <w:rsid w:val="0084373D"/>
    <w:rsid w:val="00844C9D"/>
    <w:rsid w:val="008456B7"/>
    <w:rsid w:val="00846D04"/>
    <w:rsid w:val="0085131E"/>
    <w:rsid w:val="00852908"/>
    <w:rsid w:val="00852B55"/>
    <w:rsid w:val="00853145"/>
    <w:rsid w:val="008533F7"/>
    <w:rsid w:val="008534D7"/>
    <w:rsid w:val="00853DB1"/>
    <w:rsid w:val="008548DD"/>
    <w:rsid w:val="00855376"/>
    <w:rsid w:val="008554CC"/>
    <w:rsid w:val="00855A44"/>
    <w:rsid w:val="008601D2"/>
    <w:rsid w:val="008608A6"/>
    <w:rsid w:val="00861780"/>
    <w:rsid w:val="00861BA4"/>
    <w:rsid w:val="00861DF6"/>
    <w:rsid w:val="008636F4"/>
    <w:rsid w:val="00867910"/>
    <w:rsid w:val="00867F73"/>
    <w:rsid w:val="008706B9"/>
    <w:rsid w:val="008706C0"/>
    <w:rsid w:val="00870DB3"/>
    <w:rsid w:val="00870E0C"/>
    <w:rsid w:val="008720C9"/>
    <w:rsid w:val="00872C7E"/>
    <w:rsid w:val="008749AB"/>
    <w:rsid w:val="00875091"/>
    <w:rsid w:val="00875F6F"/>
    <w:rsid w:val="008760D0"/>
    <w:rsid w:val="00876461"/>
    <w:rsid w:val="00876549"/>
    <w:rsid w:val="00876D05"/>
    <w:rsid w:val="008775DF"/>
    <w:rsid w:val="008805E7"/>
    <w:rsid w:val="00881017"/>
    <w:rsid w:val="0088498F"/>
    <w:rsid w:val="00884A9C"/>
    <w:rsid w:val="00884BD1"/>
    <w:rsid w:val="00884E51"/>
    <w:rsid w:val="00885249"/>
    <w:rsid w:val="00886BB1"/>
    <w:rsid w:val="00886EAE"/>
    <w:rsid w:val="008872F7"/>
    <w:rsid w:val="00890462"/>
    <w:rsid w:val="00890E31"/>
    <w:rsid w:val="00890ED3"/>
    <w:rsid w:val="008920BD"/>
    <w:rsid w:val="00892E8B"/>
    <w:rsid w:val="008934FB"/>
    <w:rsid w:val="00893E32"/>
    <w:rsid w:val="00894CF2"/>
    <w:rsid w:val="00896D39"/>
    <w:rsid w:val="00897916"/>
    <w:rsid w:val="008A0918"/>
    <w:rsid w:val="008A18D0"/>
    <w:rsid w:val="008A271E"/>
    <w:rsid w:val="008A282D"/>
    <w:rsid w:val="008A2832"/>
    <w:rsid w:val="008A34CD"/>
    <w:rsid w:val="008A3B4B"/>
    <w:rsid w:val="008A4416"/>
    <w:rsid w:val="008A576B"/>
    <w:rsid w:val="008A5BC5"/>
    <w:rsid w:val="008A69AB"/>
    <w:rsid w:val="008B0235"/>
    <w:rsid w:val="008B0E9C"/>
    <w:rsid w:val="008B11CD"/>
    <w:rsid w:val="008B12C9"/>
    <w:rsid w:val="008B29B7"/>
    <w:rsid w:val="008B4860"/>
    <w:rsid w:val="008B5B06"/>
    <w:rsid w:val="008B61B4"/>
    <w:rsid w:val="008B679A"/>
    <w:rsid w:val="008B6858"/>
    <w:rsid w:val="008C1929"/>
    <w:rsid w:val="008C1BC5"/>
    <w:rsid w:val="008C25A5"/>
    <w:rsid w:val="008C3794"/>
    <w:rsid w:val="008C4CB4"/>
    <w:rsid w:val="008C67F5"/>
    <w:rsid w:val="008C736C"/>
    <w:rsid w:val="008D0B3D"/>
    <w:rsid w:val="008D228E"/>
    <w:rsid w:val="008D344D"/>
    <w:rsid w:val="008D3DFE"/>
    <w:rsid w:val="008D5040"/>
    <w:rsid w:val="008D51F2"/>
    <w:rsid w:val="008D52E6"/>
    <w:rsid w:val="008D56DB"/>
    <w:rsid w:val="008D583A"/>
    <w:rsid w:val="008D6627"/>
    <w:rsid w:val="008E07F1"/>
    <w:rsid w:val="008E09E6"/>
    <w:rsid w:val="008E1F54"/>
    <w:rsid w:val="008E2C18"/>
    <w:rsid w:val="008E36B6"/>
    <w:rsid w:val="008E45D0"/>
    <w:rsid w:val="008E595F"/>
    <w:rsid w:val="008E6402"/>
    <w:rsid w:val="008E66DA"/>
    <w:rsid w:val="008E6ED0"/>
    <w:rsid w:val="008E7A19"/>
    <w:rsid w:val="008E7DD2"/>
    <w:rsid w:val="008F1B11"/>
    <w:rsid w:val="008F23A9"/>
    <w:rsid w:val="008F277B"/>
    <w:rsid w:val="008F32AD"/>
    <w:rsid w:val="008F4553"/>
    <w:rsid w:val="008F4831"/>
    <w:rsid w:val="008F4A23"/>
    <w:rsid w:val="008F4DBF"/>
    <w:rsid w:val="008F5E81"/>
    <w:rsid w:val="008F6610"/>
    <w:rsid w:val="008F68FB"/>
    <w:rsid w:val="008F6C99"/>
    <w:rsid w:val="008F7FEC"/>
    <w:rsid w:val="009003D9"/>
    <w:rsid w:val="0090047B"/>
    <w:rsid w:val="009015FB"/>
    <w:rsid w:val="00901994"/>
    <w:rsid w:val="00903165"/>
    <w:rsid w:val="00903546"/>
    <w:rsid w:val="009039F9"/>
    <w:rsid w:val="00903BE1"/>
    <w:rsid w:val="00905551"/>
    <w:rsid w:val="009116C6"/>
    <w:rsid w:val="009118F5"/>
    <w:rsid w:val="009119E1"/>
    <w:rsid w:val="00911D25"/>
    <w:rsid w:val="00917D72"/>
    <w:rsid w:val="009210EF"/>
    <w:rsid w:val="00921B93"/>
    <w:rsid w:val="00922085"/>
    <w:rsid w:val="0092268D"/>
    <w:rsid w:val="00926592"/>
    <w:rsid w:val="00926AE6"/>
    <w:rsid w:val="009276CB"/>
    <w:rsid w:val="00930B05"/>
    <w:rsid w:val="009312E4"/>
    <w:rsid w:val="009313DC"/>
    <w:rsid w:val="00931E40"/>
    <w:rsid w:val="009321DE"/>
    <w:rsid w:val="00932AD3"/>
    <w:rsid w:val="009333A2"/>
    <w:rsid w:val="009340F6"/>
    <w:rsid w:val="0093433A"/>
    <w:rsid w:val="00934E1A"/>
    <w:rsid w:val="009354B3"/>
    <w:rsid w:val="00935DDA"/>
    <w:rsid w:val="0093643F"/>
    <w:rsid w:val="00936678"/>
    <w:rsid w:val="00937D12"/>
    <w:rsid w:val="0094017C"/>
    <w:rsid w:val="00943360"/>
    <w:rsid w:val="0094362F"/>
    <w:rsid w:val="00943B13"/>
    <w:rsid w:val="00946341"/>
    <w:rsid w:val="0094645B"/>
    <w:rsid w:val="00950211"/>
    <w:rsid w:val="00950AD0"/>
    <w:rsid w:val="00950BB0"/>
    <w:rsid w:val="00951117"/>
    <w:rsid w:val="00952A91"/>
    <w:rsid w:val="009545EF"/>
    <w:rsid w:val="009556B7"/>
    <w:rsid w:val="0095670F"/>
    <w:rsid w:val="00957586"/>
    <w:rsid w:val="009576E8"/>
    <w:rsid w:val="009601AB"/>
    <w:rsid w:val="009608D4"/>
    <w:rsid w:val="00960AB7"/>
    <w:rsid w:val="00961683"/>
    <w:rsid w:val="00963436"/>
    <w:rsid w:val="009635DE"/>
    <w:rsid w:val="00964174"/>
    <w:rsid w:val="0096528A"/>
    <w:rsid w:val="00966C49"/>
    <w:rsid w:val="00971493"/>
    <w:rsid w:val="0097188E"/>
    <w:rsid w:val="0097197C"/>
    <w:rsid w:val="00973034"/>
    <w:rsid w:val="00973576"/>
    <w:rsid w:val="00973E34"/>
    <w:rsid w:val="00974EC6"/>
    <w:rsid w:val="0097636E"/>
    <w:rsid w:val="00980A56"/>
    <w:rsid w:val="009827A8"/>
    <w:rsid w:val="0098287C"/>
    <w:rsid w:val="00983003"/>
    <w:rsid w:val="009834BF"/>
    <w:rsid w:val="00984474"/>
    <w:rsid w:val="009853C6"/>
    <w:rsid w:val="00986682"/>
    <w:rsid w:val="00986B7E"/>
    <w:rsid w:val="009871C9"/>
    <w:rsid w:val="009942C8"/>
    <w:rsid w:val="0099462F"/>
    <w:rsid w:val="00994F53"/>
    <w:rsid w:val="00995B53"/>
    <w:rsid w:val="00996717"/>
    <w:rsid w:val="00997789"/>
    <w:rsid w:val="00997995"/>
    <w:rsid w:val="009A0BBA"/>
    <w:rsid w:val="009A114D"/>
    <w:rsid w:val="009A25A5"/>
    <w:rsid w:val="009A38D6"/>
    <w:rsid w:val="009A74D1"/>
    <w:rsid w:val="009B0E59"/>
    <w:rsid w:val="009B1ADD"/>
    <w:rsid w:val="009B21AD"/>
    <w:rsid w:val="009B28FC"/>
    <w:rsid w:val="009B2D31"/>
    <w:rsid w:val="009B2F9A"/>
    <w:rsid w:val="009B3ED6"/>
    <w:rsid w:val="009B4107"/>
    <w:rsid w:val="009B4FC4"/>
    <w:rsid w:val="009B5908"/>
    <w:rsid w:val="009C2553"/>
    <w:rsid w:val="009C3B63"/>
    <w:rsid w:val="009C3BED"/>
    <w:rsid w:val="009C7E02"/>
    <w:rsid w:val="009D00E6"/>
    <w:rsid w:val="009D017A"/>
    <w:rsid w:val="009D0438"/>
    <w:rsid w:val="009D07B8"/>
    <w:rsid w:val="009D2635"/>
    <w:rsid w:val="009D26E2"/>
    <w:rsid w:val="009D26FE"/>
    <w:rsid w:val="009D2937"/>
    <w:rsid w:val="009D30F6"/>
    <w:rsid w:val="009D31B9"/>
    <w:rsid w:val="009D3430"/>
    <w:rsid w:val="009D3466"/>
    <w:rsid w:val="009D4800"/>
    <w:rsid w:val="009D547B"/>
    <w:rsid w:val="009D634D"/>
    <w:rsid w:val="009D6D59"/>
    <w:rsid w:val="009D770F"/>
    <w:rsid w:val="009D7A37"/>
    <w:rsid w:val="009D7E28"/>
    <w:rsid w:val="009E0558"/>
    <w:rsid w:val="009E2305"/>
    <w:rsid w:val="009E34AB"/>
    <w:rsid w:val="009E4114"/>
    <w:rsid w:val="009E48F9"/>
    <w:rsid w:val="009E507E"/>
    <w:rsid w:val="009E5334"/>
    <w:rsid w:val="009E5CB9"/>
    <w:rsid w:val="009E6BD8"/>
    <w:rsid w:val="009E7788"/>
    <w:rsid w:val="009E7B35"/>
    <w:rsid w:val="009F0CF9"/>
    <w:rsid w:val="009F1E56"/>
    <w:rsid w:val="009F34AA"/>
    <w:rsid w:val="009F41A4"/>
    <w:rsid w:val="009F48D6"/>
    <w:rsid w:val="009F4D4F"/>
    <w:rsid w:val="009F52EB"/>
    <w:rsid w:val="009F593B"/>
    <w:rsid w:val="009F630F"/>
    <w:rsid w:val="009F715B"/>
    <w:rsid w:val="00A00EDA"/>
    <w:rsid w:val="00A02BFE"/>
    <w:rsid w:val="00A02E61"/>
    <w:rsid w:val="00A0364C"/>
    <w:rsid w:val="00A04089"/>
    <w:rsid w:val="00A040C9"/>
    <w:rsid w:val="00A04BA5"/>
    <w:rsid w:val="00A0564B"/>
    <w:rsid w:val="00A05C65"/>
    <w:rsid w:val="00A060C9"/>
    <w:rsid w:val="00A06F0B"/>
    <w:rsid w:val="00A07011"/>
    <w:rsid w:val="00A07330"/>
    <w:rsid w:val="00A07B7F"/>
    <w:rsid w:val="00A11B4F"/>
    <w:rsid w:val="00A11D35"/>
    <w:rsid w:val="00A12F6C"/>
    <w:rsid w:val="00A13906"/>
    <w:rsid w:val="00A13C14"/>
    <w:rsid w:val="00A13E0E"/>
    <w:rsid w:val="00A1438D"/>
    <w:rsid w:val="00A144F3"/>
    <w:rsid w:val="00A14D9D"/>
    <w:rsid w:val="00A151CD"/>
    <w:rsid w:val="00A17169"/>
    <w:rsid w:val="00A203F1"/>
    <w:rsid w:val="00A207AD"/>
    <w:rsid w:val="00A22F23"/>
    <w:rsid w:val="00A23200"/>
    <w:rsid w:val="00A26E4C"/>
    <w:rsid w:val="00A307AF"/>
    <w:rsid w:val="00A314C1"/>
    <w:rsid w:val="00A31AD4"/>
    <w:rsid w:val="00A31ADE"/>
    <w:rsid w:val="00A32CA3"/>
    <w:rsid w:val="00A33361"/>
    <w:rsid w:val="00A336BE"/>
    <w:rsid w:val="00A34504"/>
    <w:rsid w:val="00A345CA"/>
    <w:rsid w:val="00A348CB"/>
    <w:rsid w:val="00A34BC4"/>
    <w:rsid w:val="00A34DCD"/>
    <w:rsid w:val="00A36552"/>
    <w:rsid w:val="00A36B2D"/>
    <w:rsid w:val="00A36B86"/>
    <w:rsid w:val="00A375AB"/>
    <w:rsid w:val="00A378B9"/>
    <w:rsid w:val="00A405B8"/>
    <w:rsid w:val="00A431B9"/>
    <w:rsid w:val="00A43BA2"/>
    <w:rsid w:val="00A4455B"/>
    <w:rsid w:val="00A46F3A"/>
    <w:rsid w:val="00A47309"/>
    <w:rsid w:val="00A4738C"/>
    <w:rsid w:val="00A47727"/>
    <w:rsid w:val="00A47D3C"/>
    <w:rsid w:val="00A5098A"/>
    <w:rsid w:val="00A50C91"/>
    <w:rsid w:val="00A51A13"/>
    <w:rsid w:val="00A531EF"/>
    <w:rsid w:val="00A54E30"/>
    <w:rsid w:val="00A553AA"/>
    <w:rsid w:val="00A5547A"/>
    <w:rsid w:val="00A5554B"/>
    <w:rsid w:val="00A56B1C"/>
    <w:rsid w:val="00A57789"/>
    <w:rsid w:val="00A603EA"/>
    <w:rsid w:val="00A6127E"/>
    <w:rsid w:val="00A619FA"/>
    <w:rsid w:val="00A6356A"/>
    <w:rsid w:val="00A6411C"/>
    <w:rsid w:val="00A64642"/>
    <w:rsid w:val="00A646CE"/>
    <w:rsid w:val="00A65BBD"/>
    <w:rsid w:val="00A66000"/>
    <w:rsid w:val="00A661C9"/>
    <w:rsid w:val="00A6628A"/>
    <w:rsid w:val="00A66594"/>
    <w:rsid w:val="00A6780E"/>
    <w:rsid w:val="00A72196"/>
    <w:rsid w:val="00A7330C"/>
    <w:rsid w:val="00A73613"/>
    <w:rsid w:val="00A77844"/>
    <w:rsid w:val="00A81432"/>
    <w:rsid w:val="00A826A0"/>
    <w:rsid w:val="00A82AA7"/>
    <w:rsid w:val="00A83759"/>
    <w:rsid w:val="00A85D74"/>
    <w:rsid w:val="00A878DB"/>
    <w:rsid w:val="00A901B0"/>
    <w:rsid w:val="00A93026"/>
    <w:rsid w:val="00A9339C"/>
    <w:rsid w:val="00A9339E"/>
    <w:rsid w:val="00A94DA1"/>
    <w:rsid w:val="00A95FBE"/>
    <w:rsid w:val="00A9638F"/>
    <w:rsid w:val="00A97E4C"/>
    <w:rsid w:val="00AA1529"/>
    <w:rsid w:val="00AA2990"/>
    <w:rsid w:val="00AA4DE5"/>
    <w:rsid w:val="00AA50C9"/>
    <w:rsid w:val="00AA692B"/>
    <w:rsid w:val="00AB12B5"/>
    <w:rsid w:val="00AB1303"/>
    <w:rsid w:val="00AB1846"/>
    <w:rsid w:val="00AB265F"/>
    <w:rsid w:val="00AB58B5"/>
    <w:rsid w:val="00AB5A58"/>
    <w:rsid w:val="00AB6D2B"/>
    <w:rsid w:val="00AB7B28"/>
    <w:rsid w:val="00AC08F2"/>
    <w:rsid w:val="00AC111F"/>
    <w:rsid w:val="00AC1BD5"/>
    <w:rsid w:val="00AC2034"/>
    <w:rsid w:val="00AC2155"/>
    <w:rsid w:val="00AC30B8"/>
    <w:rsid w:val="00AC391C"/>
    <w:rsid w:val="00AC39C7"/>
    <w:rsid w:val="00AC5C9B"/>
    <w:rsid w:val="00AC6DD8"/>
    <w:rsid w:val="00AC7014"/>
    <w:rsid w:val="00AC71F1"/>
    <w:rsid w:val="00AD00CC"/>
    <w:rsid w:val="00AD1752"/>
    <w:rsid w:val="00AD2291"/>
    <w:rsid w:val="00AD2955"/>
    <w:rsid w:val="00AD36D9"/>
    <w:rsid w:val="00AD40A1"/>
    <w:rsid w:val="00AD498A"/>
    <w:rsid w:val="00AD57D4"/>
    <w:rsid w:val="00AD71FE"/>
    <w:rsid w:val="00AD7864"/>
    <w:rsid w:val="00AE105F"/>
    <w:rsid w:val="00AE11D8"/>
    <w:rsid w:val="00AE123D"/>
    <w:rsid w:val="00AE16C6"/>
    <w:rsid w:val="00AE2A98"/>
    <w:rsid w:val="00AE2C21"/>
    <w:rsid w:val="00AE2F22"/>
    <w:rsid w:val="00AE385B"/>
    <w:rsid w:val="00AE3AA7"/>
    <w:rsid w:val="00AE6936"/>
    <w:rsid w:val="00AE73A8"/>
    <w:rsid w:val="00AE7E1C"/>
    <w:rsid w:val="00AF00C1"/>
    <w:rsid w:val="00AF092B"/>
    <w:rsid w:val="00AF13ED"/>
    <w:rsid w:val="00AF198D"/>
    <w:rsid w:val="00AF1B7C"/>
    <w:rsid w:val="00AF352B"/>
    <w:rsid w:val="00AF3F2D"/>
    <w:rsid w:val="00AF41B4"/>
    <w:rsid w:val="00AF4938"/>
    <w:rsid w:val="00AF4CCF"/>
    <w:rsid w:val="00AF5941"/>
    <w:rsid w:val="00AF6176"/>
    <w:rsid w:val="00AF6223"/>
    <w:rsid w:val="00AF656A"/>
    <w:rsid w:val="00B0003C"/>
    <w:rsid w:val="00B00D9A"/>
    <w:rsid w:val="00B042B9"/>
    <w:rsid w:val="00B047BE"/>
    <w:rsid w:val="00B04B79"/>
    <w:rsid w:val="00B06B33"/>
    <w:rsid w:val="00B07A68"/>
    <w:rsid w:val="00B113F5"/>
    <w:rsid w:val="00B1172B"/>
    <w:rsid w:val="00B11DC6"/>
    <w:rsid w:val="00B1240A"/>
    <w:rsid w:val="00B1249B"/>
    <w:rsid w:val="00B12925"/>
    <w:rsid w:val="00B15441"/>
    <w:rsid w:val="00B1573D"/>
    <w:rsid w:val="00B15DD0"/>
    <w:rsid w:val="00B20571"/>
    <w:rsid w:val="00B20A97"/>
    <w:rsid w:val="00B21893"/>
    <w:rsid w:val="00B223E8"/>
    <w:rsid w:val="00B22DC1"/>
    <w:rsid w:val="00B23794"/>
    <w:rsid w:val="00B23E51"/>
    <w:rsid w:val="00B25042"/>
    <w:rsid w:val="00B25B22"/>
    <w:rsid w:val="00B2608D"/>
    <w:rsid w:val="00B26E2C"/>
    <w:rsid w:val="00B270F3"/>
    <w:rsid w:val="00B27E2A"/>
    <w:rsid w:val="00B30E26"/>
    <w:rsid w:val="00B3317E"/>
    <w:rsid w:val="00B33272"/>
    <w:rsid w:val="00B342AE"/>
    <w:rsid w:val="00B36182"/>
    <w:rsid w:val="00B364A1"/>
    <w:rsid w:val="00B36867"/>
    <w:rsid w:val="00B3790E"/>
    <w:rsid w:val="00B40702"/>
    <w:rsid w:val="00B40BA9"/>
    <w:rsid w:val="00B40F4D"/>
    <w:rsid w:val="00B419D0"/>
    <w:rsid w:val="00B4229D"/>
    <w:rsid w:val="00B431F2"/>
    <w:rsid w:val="00B43990"/>
    <w:rsid w:val="00B44465"/>
    <w:rsid w:val="00B446AF"/>
    <w:rsid w:val="00B44EC5"/>
    <w:rsid w:val="00B457B6"/>
    <w:rsid w:val="00B45BE4"/>
    <w:rsid w:val="00B47047"/>
    <w:rsid w:val="00B5052D"/>
    <w:rsid w:val="00B516C7"/>
    <w:rsid w:val="00B523A6"/>
    <w:rsid w:val="00B5377A"/>
    <w:rsid w:val="00B53840"/>
    <w:rsid w:val="00B54988"/>
    <w:rsid w:val="00B54B90"/>
    <w:rsid w:val="00B5538A"/>
    <w:rsid w:val="00B56A5D"/>
    <w:rsid w:val="00B575FA"/>
    <w:rsid w:val="00B579B3"/>
    <w:rsid w:val="00B57D92"/>
    <w:rsid w:val="00B57F50"/>
    <w:rsid w:val="00B60665"/>
    <w:rsid w:val="00B60847"/>
    <w:rsid w:val="00B63D0E"/>
    <w:rsid w:val="00B63D59"/>
    <w:rsid w:val="00B65F8C"/>
    <w:rsid w:val="00B7076F"/>
    <w:rsid w:val="00B7114E"/>
    <w:rsid w:val="00B72528"/>
    <w:rsid w:val="00B72886"/>
    <w:rsid w:val="00B72D8B"/>
    <w:rsid w:val="00B739C9"/>
    <w:rsid w:val="00B74015"/>
    <w:rsid w:val="00B75362"/>
    <w:rsid w:val="00B7585C"/>
    <w:rsid w:val="00B76D8C"/>
    <w:rsid w:val="00B76EB9"/>
    <w:rsid w:val="00B77F1D"/>
    <w:rsid w:val="00B81BEC"/>
    <w:rsid w:val="00B821E1"/>
    <w:rsid w:val="00B8289A"/>
    <w:rsid w:val="00B82D85"/>
    <w:rsid w:val="00B84246"/>
    <w:rsid w:val="00B84924"/>
    <w:rsid w:val="00B85235"/>
    <w:rsid w:val="00B857A2"/>
    <w:rsid w:val="00B85BD5"/>
    <w:rsid w:val="00B85D1F"/>
    <w:rsid w:val="00B86AF5"/>
    <w:rsid w:val="00B87138"/>
    <w:rsid w:val="00B87211"/>
    <w:rsid w:val="00B87256"/>
    <w:rsid w:val="00B900DF"/>
    <w:rsid w:val="00B9138E"/>
    <w:rsid w:val="00B94468"/>
    <w:rsid w:val="00B94893"/>
    <w:rsid w:val="00B94FAE"/>
    <w:rsid w:val="00B96CCC"/>
    <w:rsid w:val="00BA12FC"/>
    <w:rsid w:val="00BA2569"/>
    <w:rsid w:val="00BA269F"/>
    <w:rsid w:val="00BA2993"/>
    <w:rsid w:val="00BA37E4"/>
    <w:rsid w:val="00BA4614"/>
    <w:rsid w:val="00BA5BE7"/>
    <w:rsid w:val="00BA69FC"/>
    <w:rsid w:val="00BA6B3A"/>
    <w:rsid w:val="00BA6D7C"/>
    <w:rsid w:val="00BA77C1"/>
    <w:rsid w:val="00BB05AE"/>
    <w:rsid w:val="00BB05AF"/>
    <w:rsid w:val="00BB0BB8"/>
    <w:rsid w:val="00BB11B0"/>
    <w:rsid w:val="00BB1F97"/>
    <w:rsid w:val="00BB351A"/>
    <w:rsid w:val="00BB5F1C"/>
    <w:rsid w:val="00BB6119"/>
    <w:rsid w:val="00BB651C"/>
    <w:rsid w:val="00BB6BC4"/>
    <w:rsid w:val="00BB7324"/>
    <w:rsid w:val="00BB740B"/>
    <w:rsid w:val="00BC0D52"/>
    <w:rsid w:val="00BC1C06"/>
    <w:rsid w:val="00BC1ED2"/>
    <w:rsid w:val="00BC272C"/>
    <w:rsid w:val="00BC3E61"/>
    <w:rsid w:val="00BC3F41"/>
    <w:rsid w:val="00BC4148"/>
    <w:rsid w:val="00BC4B72"/>
    <w:rsid w:val="00BC4D74"/>
    <w:rsid w:val="00BC53F4"/>
    <w:rsid w:val="00BC5951"/>
    <w:rsid w:val="00BC60D6"/>
    <w:rsid w:val="00BC6194"/>
    <w:rsid w:val="00BC62DE"/>
    <w:rsid w:val="00BC68A1"/>
    <w:rsid w:val="00BC6A3A"/>
    <w:rsid w:val="00BC6E2A"/>
    <w:rsid w:val="00BC75E9"/>
    <w:rsid w:val="00BC79B0"/>
    <w:rsid w:val="00BD0DFA"/>
    <w:rsid w:val="00BD195A"/>
    <w:rsid w:val="00BD2FB2"/>
    <w:rsid w:val="00BD54BC"/>
    <w:rsid w:val="00BD6709"/>
    <w:rsid w:val="00BE362B"/>
    <w:rsid w:val="00BE3913"/>
    <w:rsid w:val="00BE3CDF"/>
    <w:rsid w:val="00BE4145"/>
    <w:rsid w:val="00BE4997"/>
    <w:rsid w:val="00BE545B"/>
    <w:rsid w:val="00BE6844"/>
    <w:rsid w:val="00BE70BD"/>
    <w:rsid w:val="00BE7640"/>
    <w:rsid w:val="00BE795E"/>
    <w:rsid w:val="00BE7CFC"/>
    <w:rsid w:val="00BF0463"/>
    <w:rsid w:val="00BF21D3"/>
    <w:rsid w:val="00BF3EEE"/>
    <w:rsid w:val="00BF7041"/>
    <w:rsid w:val="00BF7E0A"/>
    <w:rsid w:val="00C006C5"/>
    <w:rsid w:val="00C0093D"/>
    <w:rsid w:val="00C02B9F"/>
    <w:rsid w:val="00C0360D"/>
    <w:rsid w:val="00C04D38"/>
    <w:rsid w:val="00C07C3D"/>
    <w:rsid w:val="00C10ADA"/>
    <w:rsid w:val="00C10DE2"/>
    <w:rsid w:val="00C13E17"/>
    <w:rsid w:val="00C14DDB"/>
    <w:rsid w:val="00C15A9D"/>
    <w:rsid w:val="00C15BBD"/>
    <w:rsid w:val="00C172CB"/>
    <w:rsid w:val="00C201C7"/>
    <w:rsid w:val="00C213FA"/>
    <w:rsid w:val="00C21515"/>
    <w:rsid w:val="00C215C0"/>
    <w:rsid w:val="00C2231A"/>
    <w:rsid w:val="00C22907"/>
    <w:rsid w:val="00C2429A"/>
    <w:rsid w:val="00C24CEC"/>
    <w:rsid w:val="00C2611E"/>
    <w:rsid w:val="00C269C1"/>
    <w:rsid w:val="00C26FB1"/>
    <w:rsid w:val="00C30232"/>
    <w:rsid w:val="00C303ED"/>
    <w:rsid w:val="00C31050"/>
    <w:rsid w:val="00C31A69"/>
    <w:rsid w:val="00C32826"/>
    <w:rsid w:val="00C343E6"/>
    <w:rsid w:val="00C35507"/>
    <w:rsid w:val="00C420C8"/>
    <w:rsid w:val="00C425F9"/>
    <w:rsid w:val="00C434B3"/>
    <w:rsid w:val="00C46E38"/>
    <w:rsid w:val="00C47D99"/>
    <w:rsid w:val="00C50486"/>
    <w:rsid w:val="00C533B7"/>
    <w:rsid w:val="00C540D4"/>
    <w:rsid w:val="00C56126"/>
    <w:rsid w:val="00C56B46"/>
    <w:rsid w:val="00C5707A"/>
    <w:rsid w:val="00C57541"/>
    <w:rsid w:val="00C578D6"/>
    <w:rsid w:val="00C57DCB"/>
    <w:rsid w:val="00C603B6"/>
    <w:rsid w:val="00C623EB"/>
    <w:rsid w:val="00C629AD"/>
    <w:rsid w:val="00C62BEB"/>
    <w:rsid w:val="00C62E1F"/>
    <w:rsid w:val="00C631B1"/>
    <w:rsid w:val="00C63B1D"/>
    <w:rsid w:val="00C64C70"/>
    <w:rsid w:val="00C65AB4"/>
    <w:rsid w:val="00C6603F"/>
    <w:rsid w:val="00C66110"/>
    <w:rsid w:val="00C66217"/>
    <w:rsid w:val="00C66A4A"/>
    <w:rsid w:val="00C66B37"/>
    <w:rsid w:val="00C67F85"/>
    <w:rsid w:val="00C70022"/>
    <w:rsid w:val="00C70239"/>
    <w:rsid w:val="00C70E78"/>
    <w:rsid w:val="00C7187D"/>
    <w:rsid w:val="00C73987"/>
    <w:rsid w:val="00C73CB1"/>
    <w:rsid w:val="00C745F1"/>
    <w:rsid w:val="00C751EE"/>
    <w:rsid w:val="00C758C8"/>
    <w:rsid w:val="00C75C6E"/>
    <w:rsid w:val="00C75E60"/>
    <w:rsid w:val="00C76209"/>
    <w:rsid w:val="00C77146"/>
    <w:rsid w:val="00C8060B"/>
    <w:rsid w:val="00C8121A"/>
    <w:rsid w:val="00C827B3"/>
    <w:rsid w:val="00C83E01"/>
    <w:rsid w:val="00C8564A"/>
    <w:rsid w:val="00C863AB"/>
    <w:rsid w:val="00C866AF"/>
    <w:rsid w:val="00C86DE3"/>
    <w:rsid w:val="00C872C6"/>
    <w:rsid w:val="00C87FA9"/>
    <w:rsid w:val="00C90F5F"/>
    <w:rsid w:val="00C92271"/>
    <w:rsid w:val="00C925EC"/>
    <w:rsid w:val="00C92BED"/>
    <w:rsid w:val="00C9326B"/>
    <w:rsid w:val="00C9333F"/>
    <w:rsid w:val="00C93484"/>
    <w:rsid w:val="00C9552C"/>
    <w:rsid w:val="00C9598F"/>
    <w:rsid w:val="00C95BF5"/>
    <w:rsid w:val="00C95DC6"/>
    <w:rsid w:val="00C9751E"/>
    <w:rsid w:val="00C97B41"/>
    <w:rsid w:val="00CA0A6F"/>
    <w:rsid w:val="00CA3390"/>
    <w:rsid w:val="00CA33B6"/>
    <w:rsid w:val="00CA40AC"/>
    <w:rsid w:val="00CA6219"/>
    <w:rsid w:val="00CA6478"/>
    <w:rsid w:val="00CA7415"/>
    <w:rsid w:val="00CB178C"/>
    <w:rsid w:val="00CB17EF"/>
    <w:rsid w:val="00CB1DED"/>
    <w:rsid w:val="00CB32B3"/>
    <w:rsid w:val="00CB4082"/>
    <w:rsid w:val="00CB5719"/>
    <w:rsid w:val="00CB5C31"/>
    <w:rsid w:val="00CB6676"/>
    <w:rsid w:val="00CB75DF"/>
    <w:rsid w:val="00CB781C"/>
    <w:rsid w:val="00CC0495"/>
    <w:rsid w:val="00CC1693"/>
    <w:rsid w:val="00CC1764"/>
    <w:rsid w:val="00CC2416"/>
    <w:rsid w:val="00CC2CBA"/>
    <w:rsid w:val="00CC368D"/>
    <w:rsid w:val="00CC4EDF"/>
    <w:rsid w:val="00CC6086"/>
    <w:rsid w:val="00CC6914"/>
    <w:rsid w:val="00CC75F5"/>
    <w:rsid w:val="00CC7FFE"/>
    <w:rsid w:val="00CD0573"/>
    <w:rsid w:val="00CD0C99"/>
    <w:rsid w:val="00CD1076"/>
    <w:rsid w:val="00CD1587"/>
    <w:rsid w:val="00CD16B9"/>
    <w:rsid w:val="00CD1893"/>
    <w:rsid w:val="00CD1D2F"/>
    <w:rsid w:val="00CD1EBC"/>
    <w:rsid w:val="00CD2150"/>
    <w:rsid w:val="00CD261A"/>
    <w:rsid w:val="00CD2686"/>
    <w:rsid w:val="00CD3426"/>
    <w:rsid w:val="00CD76FB"/>
    <w:rsid w:val="00CD79CD"/>
    <w:rsid w:val="00CE00EE"/>
    <w:rsid w:val="00CE0603"/>
    <w:rsid w:val="00CE0C1D"/>
    <w:rsid w:val="00CE1E83"/>
    <w:rsid w:val="00CE21A8"/>
    <w:rsid w:val="00CE26CB"/>
    <w:rsid w:val="00CE2A73"/>
    <w:rsid w:val="00CE2CBF"/>
    <w:rsid w:val="00CE365A"/>
    <w:rsid w:val="00CE3C56"/>
    <w:rsid w:val="00CE4691"/>
    <w:rsid w:val="00CE4B58"/>
    <w:rsid w:val="00CE53F7"/>
    <w:rsid w:val="00CE5C40"/>
    <w:rsid w:val="00CE67F3"/>
    <w:rsid w:val="00CE72A0"/>
    <w:rsid w:val="00CE739B"/>
    <w:rsid w:val="00CF0655"/>
    <w:rsid w:val="00CF06AE"/>
    <w:rsid w:val="00CF0CC5"/>
    <w:rsid w:val="00CF147F"/>
    <w:rsid w:val="00CF1D03"/>
    <w:rsid w:val="00CF2B8C"/>
    <w:rsid w:val="00CF4A80"/>
    <w:rsid w:val="00CF4BD0"/>
    <w:rsid w:val="00CF518E"/>
    <w:rsid w:val="00CF5998"/>
    <w:rsid w:val="00CF62D6"/>
    <w:rsid w:val="00CF6DCB"/>
    <w:rsid w:val="00CF712C"/>
    <w:rsid w:val="00CF751A"/>
    <w:rsid w:val="00CF7CEE"/>
    <w:rsid w:val="00D0193B"/>
    <w:rsid w:val="00D01C39"/>
    <w:rsid w:val="00D0286D"/>
    <w:rsid w:val="00D041D1"/>
    <w:rsid w:val="00D041D2"/>
    <w:rsid w:val="00D04942"/>
    <w:rsid w:val="00D05A5C"/>
    <w:rsid w:val="00D06B24"/>
    <w:rsid w:val="00D10F74"/>
    <w:rsid w:val="00D128EF"/>
    <w:rsid w:val="00D12FC9"/>
    <w:rsid w:val="00D1433A"/>
    <w:rsid w:val="00D14489"/>
    <w:rsid w:val="00D14581"/>
    <w:rsid w:val="00D1541D"/>
    <w:rsid w:val="00D161E2"/>
    <w:rsid w:val="00D20CF5"/>
    <w:rsid w:val="00D21A44"/>
    <w:rsid w:val="00D21B14"/>
    <w:rsid w:val="00D237FD"/>
    <w:rsid w:val="00D23FB8"/>
    <w:rsid w:val="00D2419E"/>
    <w:rsid w:val="00D249CF"/>
    <w:rsid w:val="00D24AB3"/>
    <w:rsid w:val="00D2589E"/>
    <w:rsid w:val="00D271DC"/>
    <w:rsid w:val="00D27CB7"/>
    <w:rsid w:val="00D27CE8"/>
    <w:rsid w:val="00D301E9"/>
    <w:rsid w:val="00D3106B"/>
    <w:rsid w:val="00D32D1E"/>
    <w:rsid w:val="00D32F9C"/>
    <w:rsid w:val="00D33C4A"/>
    <w:rsid w:val="00D33E81"/>
    <w:rsid w:val="00D342D1"/>
    <w:rsid w:val="00D351A2"/>
    <w:rsid w:val="00D352C5"/>
    <w:rsid w:val="00D36B02"/>
    <w:rsid w:val="00D40477"/>
    <w:rsid w:val="00D41083"/>
    <w:rsid w:val="00D4128C"/>
    <w:rsid w:val="00D41B5A"/>
    <w:rsid w:val="00D41BD9"/>
    <w:rsid w:val="00D4466F"/>
    <w:rsid w:val="00D448FF"/>
    <w:rsid w:val="00D44922"/>
    <w:rsid w:val="00D45464"/>
    <w:rsid w:val="00D45803"/>
    <w:rsid w:val="00D4631D"/>
    <w:rsid w:val="00D54830"/>
    <w:rsid w:val="00D54F15"/>
    <w:rsid w:val="00D555A2"/>
    <w:rsid w:val="00D57F27"/>
    <w:rsid w:val="00D60114"/>
    <w:rsid w:val="00D60459"/>
    <w:rsid w:val="00D60861"/>
    <w:rsid w:val="00D62CBC"/>
    <w:rsid w:val="00D62FA1"/>
    <w:rsid w:val="00D63CA1"/>
    <w:rsid w:val="00D64538"/>
    <w:rsid w:val="00D64EB5"/>
    <w:rsid w:val="00D6740A"/>
    <w:rsid w:val="00D70C84"/>
    <w:rsid w:val="00D70D3A"/>
    <w:rsid w:val="00D70FAE"/>
    <w:rsid w:val="00D71366"/>
    <w:rsid w:val="00D72B03"/>
    <w:rsid w:val="00D72EA4"/>
    <w:rsid w:val="00D731F7"/>
    <w:rsid w:val="00D73646"/>
    <w:rsid w:val="00D752A6"/>
    <w:rsid w:val="00D77D75"/>
    <w:rsid w:val="00D816EF"/>
    <w:rsid w:val="00D82922"/>
    <w:rsid w:val="00D8358D"/>
    <w:rsid w:val="00D84D1A"/>
    <w:rsid w:val="00D85E42"/>
    <w:rsid w:val="00D86455"/>
    <w:rsid w:val="00D86D08"/>
    <w:rsid w:val="00D87272"/>
    <w:rsid w:val="00D8743A"/>
    <w:rsid w:val="00D910D2"/>
    <w:rsid w:val="00D917FD"/>
    <w:rsid w:val="00D91972"/>
    <w:rsid w:val="00D9209B"/>
    <w:rsid w:val="00D92F0D"/>
    <w:rsid w:val="00D94DB5"/>
    <w:rsid w:val="00D961B8"/>
    <w:rsid w:val="00D9667C"/>
    <w:rsid w:val="00D9732E"/>
    <w:rsid w:val="00DA1449"/>
    <w:rsid w:val="00DA1B8A"/>
    <w:rsid w:val="00DA2591"/>
    <w:rsid w:val="00DA2FDA"/>
    <w:rsid w:val="00DA3AD0"/>
    <w:rsid w:val="00DA4151"/>
    <w:rsid w:val="00DA4F3F"/>
    <w:rsid w:val="00DA797D"/>
    <w:rsid w:val="00DB008D"/>
    <w:rsid w:val="00DB017F"/>
    <w:rsid w:val="00DB04B8"/>
    <w:rsid w:val="00DB201F"/>
    <w:rsid w:val="00DB26B7"/>
    <w:rsid w:val="00DB33B4"/>
    <w:rsid w:val="00DB3E31"/>
    <w:rsid w:val="00DB4554"/>
    <w:rsid w:val="00DB64E3"/>
    <w:rsid w:val="00DB6C86"/>
    <w:rsid w:val="00DB6E9E"/>
    <w:rsid w:val="00DB71A0"/>
    <w:rsid w:val="00DC094C"/>
    <w:rsid w:val="00DC0ABC"/>
    <w:rsid w:val="00DC0D0B"/>
    <w:rsid w:val="00DC1BFE"/>
    <w:rsid w:val="00DC2007"/>
    <w:rsid w:val="00DC2D1B"/>
    <w:rsid w:val="00DC2F9B"/>
    <w:rsid w:val="00DC2FEA"/>
    <w:rsid w:val="00DC32F5"/>
    <w:rsid w:val="00DC4365"/>
    <w:rsid w:val="00DC5300"/>
    <w:rsid w:val="00DC5CCC"/>
    <w:rsid w:val="00DC70A9"/>
    <w:rsid w:val="00DC75FB"/>
    <w:rsid w:val="00DC767A"/>
    <w:rsid w:val="00DC7C67"/>
    <w:rsid w:val="00DD07BC"/>
    <w:rsid w:val="00DD0C61"/>
    <w:rsid w:val="00DD1DDF"/>
    <w:rsid w:val="00DD340D"/>
    <w:rsid w:val="00DD57B7"/>
    <w:rsid w:val="00DD66BE"/>
    <w:rsid w:val="00DD7F78"/>
    <w:rsid w:val="00DE04B4"/>
    <w:rsid w:val="00DE08BD"/>
    <w:rsid w:val="00DE1379"/>
    <w:rsid w:val="00DE1AB5"/>
    <w:rsid w:val="00DE2D5C"/>
    <w:rsid w:val="00DE3405"/>
    <w:rsid w:val="00DE4AB5"/>
    <w:rsid w:val="00DE4CE5"/>
    <w:rsid w:val="00DE5266"/>
    <w:rsid w:val="00DF042A"/>
    <w:rsid w:val="00DF10C8"/>
    <w:rsid w:val="00DF1851"/>
    <w:rsid w:val="00DF199D"/>
    <w:rsid w:val="00DF2785"/>
    <w:rsid w:val="00DF2EF1"/>
    <w:rsid w:val="00DF354B"/>
    <w:rsid w:val="00DF5010"/>
    <w:rsid w:val="00DF609E"/>
    <w:rsid w:val="00DF739A"/>
    <w:rsid w:val="00DF7BEF"/>
    <w:rsid w:val="00E0003B"/>
    <w:rsid w:val="00E017A8"/>
    <w:rsid w:val="00E01B51"/>
    <w:rsid w:val="00E021CF"/>
    <w:rsid w:val="00E0277E"/>
    <w:rsid w:val="00E029BB"/>
    <w:rsid w:val="00E0676F"/>
    <w:rsid w:val="00E10038"/>
    <w:rsid w:val="00E10C3E"/>
    <w:rsid w:val="00E12CF9"/>
    <w:rsid w:val="00E136A9"/>
    <w:rsid w:val="00E14377"/>
    <w:rsid w:val="00E146C0"/>
    <w:rsid w:val="00E148DF"/>
    <w:rsid w:val="00E14A47"/>
    <w:rsid w:val="00E158B3"/>
    <w:rsid w:val="00E16537"/>
    <w:rsid w:val="00E16710"/>
    <w:rsid w:val="00E167EA"/>
    <w:rsid w:val="00E16D4E"/>
    <w:rsid w:val="00E20470"/>
    <w:rsid w:val="00E20551"/>
    <w:rsid w:val="00E208CC"/>
    <w:rsid w:val="00E214E2"/>
    <w:rsid w:val="00E23B32"/>
    <w:rsid w:val="00E240BA"/>
    <w:rsid w:val="00E24E46"/>
    <w:rsid w:val="00E25542"/>
    <w:rsid w:val="00E2562B"/>
    <w:rsid w:val="00E26971"/>
    <w:rsid w:val="00E272CB"/>
    <w:rsid w:val="00E27845"/>
    <w:rsid w:val="00E30F96"/>
    <w:rsid w:val="00E318AE"/>
    <w:rsid w:val="00E331D5"/>
    <w:rsid w:val="00E33BA8"/>
    <w:rsid w:val="00E345B6"/>
    <w:rsid w:val="00E34DB4"/>
    <w:rsid w:val="00E35139"/>
    <w:rsid w:val="00E37E81"/>
    <w:rsid w:val="00E40A0C"/>
    <w:rsid w:val="00E40C81"/>
    <w:rsid w:val="00E40F48"/>
    <w:rsid w:val="00E41A62"/>
    <w:rsid w:val="00E42D4B"/>
    <w:rsid w:val="00E42E00"/>
    <w:rsid w:val="00E45AE5"/>
    <w:rsid w:val="00E45BBA"/>
    <w:rsid w:val="00E45D1E"/>
    <w:rsid w:val="00E46028"/>
    <w:rsid w:val="00E46EDD"/>
    <w:rsid w:val="00E47905"/>
    <w:rsid w:val="00E5142C"/>
    <w:rsid w:val="00E5201F"/>
    <w:rsid w:val="00E52973"/>
    <w:rsid w:val="00E53E3B"/>
    <w:rsid w:val="00E554FF"/>
    <w:rsid w:val="00E56F1A"/>
    <w:rsid w:val="00E57A29"/>
    <w:rsid w:val="00E57EDF"/>
    <w:rsid w:val="00E601D3"/>
    <w:rsid w:val="00E62865"/>
    <w:rsid w:val="00E62C6E"/>
    <w:rsid w:val="00E62FA1"/>
    <w:rsid w:val="00E63394"/>
    <w:rsid w:val="00E63F13"/>
    <w:rsid w:val="00E64031"/>
    <w:rsid w:val="00E64DC2"/>
    <w:rsid w:val="00E66ED6"/>
    <w:rsid w:val="00E70BA3"/>
    <w:rsid w:val="00E71606"/>
    <w:rsid w:val="00E717D7"/>
    <w:rsid w:val="00E71F0E"/>
    <w:rsid w:val="00E76A46"/>
    <w:rsid w:val="00E77A69"/>
    <w:rsid w:val="00E80AAA"/>
    <w:rsid w:val="00E80AFF"/>
    <w:rsid w:val="00E80D55"/>
    <w:rsid w:val="00E81FF6"/>
    <w:rsid w:val="00E82024"/>
    <w:rsid w:val="00E822D0"/>
    <w:rsid w:val="00E8339C"/>
    <w:rsid w:val="00E83CCE"/>
    <w:rsid w:val="00E83F66"/>
    <w:rsid w:val="00E84340"/>
    <w:rsid w:val="00E84A51"/>
    <w:rsid w:val="00E84D35"/>
    <w:rsid w:val="00E85038"/>
    <w:rsid w:val="00E85BBD"/>
    <w:rsid w:val="00E86589"/>
    <w:rsid w:val="00E87DDF"/>
    <w:rsid w:val="00E9025C"/>
    <w:rsid w:val="00E90B76"/>
    <w:rsid w:val="00E91EFF"/>
    <w:rsid w:val="00E922EA"/>
    <w:rsid w:val="00E92545"/>
    <w:rsid w:val="00E92CB3"/>
    <w:rsid w:val="00E94072"/>
    <w:rsid w:val="00E95109"/>
    <w:rsid w:val="00E95439"/>
    <w:rsid w:val="00E95E2F"/>
    <w:rsid w:val="00E96028"/>
    <w:rsid w:val="00E96D99"/>
    <w:rsid w:val="00E9704E"/>
    <w:rsid w:val="00E978B1"/>
    <w:rsid w:val="00E97A04"/>
    <w:rsid w:val="00E97D98"/>
    <w:rsid w:val="00EA01E4"/>
    <w:rsid w:val="00EA0381"/>
    <w:rsid w:val="00EA0F0A"/>
    <w:rsid w:val="00EA2644"/>
    <w:rsid w:val="00EA3349"/>
    <w:rsid w:val="00EA40A9"/>
    <w:rsid w:val="00EA4F03"/>
    <w:rsid w:val="00EA502A"/>
    <w:rsid w:val="00EA5603"/>
    <w:rsid w:val="00EA56BE"/>
    <w:rsid w:val="00EA6BC4"/>
    <w:rsid w:val="00EA7099"/>
    <w:rsid w:val="00EA7747"/>
    <w:rsid w:val="00EB013B"/>
    <w:rsid w:val="00EB0DAA"/>
    <w:rsid w:val="00EB1638"/>
    <w:rsid w:val="00EB1EAA"/>
    <w:rsid w:val="00EB2EFD"/>
    <w:rsid w:val="00EB3605"/>
    <w:rsid w:val="00EB5101"/>
    <w:rsid w:val="00EB5778"/>
    <w:rsid w:val="00EB5F3C"/>
    <w:rsid w:val="00EB603E"/>
    <w:rsid w:val="00EB7739"/>
    <w:rsid w:val="00EB7C67"/>
    <w:rsid w:val="00EC0937"/>
    <w:rsid w:val="00EC0942"/>
    <w:rsid w:val="00EC0A5B"/>
    <w:rsid w:val="00EC1152"/>
    <w:rsid w:val="00EC15E7"/>
    <w:rsid w:val="00EC173D"/>
    <w:rsid w:val="00EC2063"/>
    <w:rsid w:val="00EC286A"/>
    <w:rsid w:val="00EC3137"/>
    <w:rsid w:val="00EC3611"/>
    <w:rsid w:val="00EC37DC"/>
    <w:rsid w:val="00EC382B"/>
    <w:rsid w:val="00EC6F9A"/>
    <w:rsid w:val="00EC7E5A"/>
    <w:rsid w:val="00ED0D95"/>
    <w:rsid w:val="00ED0F51"/>
    <w:rsid w:val="00ED16BD"/>
    <w:rsid w:val="00ED1C79"/>
    <w:rsid w:val="00ED2302"/>
    <w:rsid w:val="00ED521E"/>
    <w:rsid w:val="00ED5DCC"/>
    <w:rsid w:val="00ED5E5C"/>
    <w:rsid w:val="00ED5F20"/>
    <w:rsid w:val="00ED5FFE"/>
    <w:rsid w:val="00ED614B"/>
    <w:rsid w:val="00ED6EC2"/>
    <w:rsid w:val="00ED7811"/>
    <w:rsid w:val="00ED7B74"/>
    <w:rsid w:val="00ED7D10"/>
    <w:rsid w:val="00ED7EDB"/>
    <w:rsid w:val="00ED7F10"/>
    <w:rsid w:val="00EE0618"/>
    <w:rsid w:val="00EE12D3"/>
    <w:rsid w:val="00EE13EB"/>
    <w:rsid w:val="00EE16C6"/>
    <w:rsid w:val="00EE2E9A"/>
    <w:rsid w:val="00EE3060"/>
    <w:rsid w:val="00EE3AE5"/>
    <w:rsid w:val="00EE3F1D"/>
    <w:rsid w:val="00EE4696"/>
    <w:rsid w:val="00EE48B4"/>
    <w:rsid w:val="00EE4B6B"/>
    <w:rsid w:val="00EE4C9D"/>
    <w:rsid w:val="00EE5724"/>
    <w:rsid w:val="00EE5ADA"/>
    <w:rsid w:val="00EE5E23"/>
    <w:rsid w:val="00EE7321"/>
    <w:rsid w:val="00EE79E4"/>
    <w:rsid w:val="00EF1591"/>
    <w:rsid w:val="00EF1634"/>
    <w:rsid w:val="00EF1A24"/>
    <w:rsid w:val="00EF1D10"/>
    <w:rsid w:val="00EF22DD"/>
    <w:rsid w:val="00EF25B5"/>
    <w:rsid w:val="00EF303F"/>
    <w:rsid w:val="00EF6349"/>
    <w:rsid w:val="00EF7EFC"/>
    <w:rsid w:val="00F00123"/>
    <w:rsid w:val="00F00163"/>
    <w:rsid w:val="00F0026E"/>
    <w:rsid w:val="00F0134D"/>
    <w:rsid w:val="00F031BB"/>
    <w:rsid w:val="00F0504F"/>
    <w:rsid w:val="00F074A6"/>
    <w:rsid w:val="00F0750A"/>
    <w:rsid w:val="00F0757B"/>
    <w:rsid w:val="00F079DE"/>
    <w:rsid w:val="00F07D1F"/>
    <w:rsid w:val="00F07D66"/>
    <w:rsid w:val="00F07E64"/>
    <w:rsid w:val="00F103F8"/>
    <w:rsid w:val="00F10BF7"/>
    <w:rsid w:val="00F126BD"/>
    <w:rsid w:val="00F12C42"/>
    <w:rsid w:val="00F130EE"/>
    <w:rsid w:val="00F1331C"/>
    <w:rsid w:val="00F13745"/>
    <w:rsid w:val="00F13DB2"/>
    <w:rsid w:val="00F148EB"/>
    <w:rsid w:val="00F15A75"/>
    <w:rsid w:val="00F16702"/>
    <w:rsid w:val="00F17102"/>
    <w:rsid w:val="00F176B2"/>
    <w:rsid w:val="00F21637"/>
    <w:rsid w:val="00F21922"/>
    <w:rsid w:val="00F21B7F"/>
    <w:rsid w:val="00F23550"/>
    <w:rsid w:val="00F23887"/>
    <w:rsid w:val="00F24BDC"/>
    <w:rsid w:val="00F26BF8"/>
    <w:rsid w:val="00F27237"/>
    <w:rsid w:val="00F277C8"/>
    <w:rsid w:val="00F31339"/>
    <w:rsid w:val="00F32165"/>
    <w:rsid w:val="00F32173"/>
    <w:rsid w:val="00F324CA"/>
    <w:rsid w:val="00F34AFF"/>
    <w:rsid w:val="00F34CF9"/>
    <w:rsid w:val="00F34FC6"/>
    <w:rsid w:val="00F352AB"/>
    <w:rsid w:val="00F35F75"/>
    <w:rsid w:val="00F37878"/>
    <w:rsid w:val="00F40115"/>
    <w:rsid w:val="00F41C97"/>
    <w:rsid w:val="00F41D66"/>
    <w:rsid w:val="00F41DFA"/>
    <w:rsid w:val="00F4251E"/>
    <w:rsid w:val="00F433E0"/>
    <w:rsid w:val="00F436FD"/>
    <w:rsid w:val="00F447A0"/>
    <w:rsid w:val="00F449E5"/>
    <w:rsid w:val="00F451EE"/>
    <w:rsid w:val="00F452BC"/>
    <w:rsid w:val="00F4772F"/>
    <w:rsid w:val="00F50D90"/>
    <w:rsid w:val="00F51C56"/>
    <w:rsid w:val="00F53184"/>
    <w:rsid w:val="00F53D3C"/>
    <w:rsid w:val="00F55328"/>
    <w:rsid w:val="00F56014"/>
    <w:rsid w:val="00F56549"/>
    <w:rsid w:val="00F5670E"/>
    <w:rsid w:val="00F56DA5"/>
    <w:rsid w:val="00F5759A"/>
    <w:rsid w:val="00F579E5"/>
    <w:rsid w:val="00F57DDA"/>
    <w:rsid w:val="00F605CC"/>
    <w:rsid w:val="00F61158"/>
    <w:rsid w:val="00F616E4"/>
    <w:rsid w:val="00F63680"/>
    <w:rsid w:val="00F643DB"/>
    <w:rsid w:val="00F64799"/>
    <w:rsid w:val="00F6577A"/>
    <w:rsid w:val="00F66B68"/>
    <w:rsid w:val="00F672F8"/>
    <w:rsid w:val="00F678D1"/>
    <w:rsid w:val="00F713ED"/>
    <w:rsid w:val="00F743BA"/>
    <w:rsid w:val="00F74BF4"/>
    <w:rsid w:val="00F7708E"/>
    <w:rsid w:val="00F770CD"/>
    <w:rsid w:val="00F77283"/>
    <w:rsid w:val="00F80768"/>
    <w:rsid w:val="00F8099E"/>
    <w:rsid w:val="00F81BA7"/>
    <w:rsid w:val="00F82096"/>
    <w:rsid w:val="00F83106"/>
    <w:rsid w:val="00F833E4"/>
    <w:rsid w:val="00F8372D"/>
    <w:rsid w:val="00F83C88"/>
    <w:rsid w:val="00F84857"/>
    <w:rsid w:val="00F8531F"/>
    <w:rsid w:val="00F86355"/>
    <w:rsid w:val="00F8721A"/>
    <w:rsid w:val="00F87711"/>
    <w:rsid w:val="00F91FD7"/>
    <w:rsid w:val="00F921C2"/>
    <w:rsid w:val="00F92D49"/>
    <w:rsid w:val="00F933A1"/>
    <w:rsid w:val="00F93C38"/>
    <w:rsid w:val="00F94BE7"/>
    <w:rsid w:val="00F96670"/>
    <w:rsid w:val="00F97A99"/>
    <w:rsid w:val="00F97CE6"/>
    <w:rsid w:val="00FA0B01"/>
    <w:rsid w:val="00FA0D5A"/>
    <w:rsid w:val="00FA1739"/>
    <w:rsid w:val="00FA21DA"/>
    <w:rsid w:val="00FA2358"/>
    <w:rsid w:val="00FA2F72"/>
    <w:rsid w:val="00FA3240"/>
    <w:rsid w:val="00FA387F"/>
    <w:rsid w:val="00FA5133"/>
    <w:rsid w:val="00FA54BE"/>
    <w:rsid w:val="00FA5A82"/>
    <w:rsid w:val="00FA680F"/>
    <w:rsid w:val="00FA71CE"/>
    <w:rsid w:val="00FA7A9A"/>
    <w:rsid w:val="00FA7FDE"/>
    <w:rsid w:val="00FB03FC"/>
    <w:rsid w:val="00FB1584"/>
    <w:rsid w:val="00FB1EB5"/>
    <w:rsid w:val="00FB1F5F"/>
    <w:rsid w:val="00FB282A"/>
    <w:rsid w:val="00FB2CCE"/>
    <w:rsid w:val="00FB4880"/>
    <w:rsid w:val="00FB48EC"/>
    <w:rsid w:val="00FB5355"/>
    <w:rsid w:val="00FB5FCF"/>
    <w:rsid w:val="00FB6009"/>
    <w:rsid w:val="00FB6FFF"/>
    <w:rsid w:val="00FB7B76"/>
    <w:rsid w:val="00FB7D38"/>
    <w:rsid w:val="00FC0292"/>
    <w:rsid w:val="00FC0A24"/>
    <w:rsid w:val="00FC1C11"/>
    <w:rsid w:val="00FC23F1"/>
    <w:rsid w:val="00FC32B9"/>
    <w:rsid w:val="00FC3490"/>
    <w:rsid w:val="00FC46DA"/>
    <w:rsid w:val="00FC4AB8"/>
    <w:rsid w:val="00FC58B8"/>
    <w:rsid w:val="00FC66C1"/>
    <w:rsid w:val="00FC78C2"/>
    <w:rsid w:val="00FC798B"/>
    <w:rsid w:val="00FD030F"/>
    <w:rsid w:val="00FD0A85"/>
    <w:rsid w:val="00FD0FBE"/>
    <w:rsid w:val="00FD21D0"/>
    <w:rsid w:val="00FD3BB6"/>
    <w:rsid w:val="00FD3FCB"/>
    <w:rsid w:val="00FD6547"/>
    <w:rsid w:val="00FD736C"/>
    <w:rsid w:val="00FD75E0"/>
    <w:rsid w:val="00FE0539"/>
    <w:rsid w:val="00FE0658"/>
    <w:rsid w:val="00FE08FE"/>
    <w:rsid w:val="00FE1B8B"/>
    <w:rsid w:val="00FE1E00"/>
    <w:rsid w:val="00FE1FA5"/>
    <w:rsid w:val="00FE22C8"/>
    <w:rsid w:val="00FE2DFE"/>
    <w:rsid w:val="00FE37B3"/>
    <w:rsid w:val="00FE3D23"/>
    <w:rsid w:val="00FE4047"/>
    <w:rsid w:val="00FE4541"/>
    <w:rsid w:val="00FE4C09"/>
    <w:rsid w:val="00FE6AAE"/>
    <w:rsid w:val="00FE6B9D"/>
    <w:rsid w:val="00FE7687"/>
    <w:rsid w:val="00FF0373"/>
    <w:rsid w:val="00FF05A4"/>
    <w:rsid w:val="00FF130F"/>
    <w:rsid w:val="00FF1891"/>
    <w:rsid w:val="00FF2370"/>
    <w:rsid w:val="00FF2A17"/>
    <w:rsid w:val="00FF4DE1"/>
    <w:rsid w:val="00FF5568"/>
    <w:rsid w:val="00FF6145"/>
    <w:rsid w:val="00FF666E"/>
    <w:rsid w:val="00FF7EE6"/>
    <w:rsid w:val="0137479D"/>
    <w:rsid w:val="031F2282"/>
    <w:rsid w:val="034359A5"/>
    <w:rsid w:val="04BE56A4"/>
    <w:rsid w:val="07B72D8E"/>
    <w:rsid w:val="08551575"/>
    <w:rsid w:val="089E4EFD"/>
    <w:rsid w:val="0B2F6306"/>
    <w:rsid w:val="0C4814AB"/>
    <w:rsid w:val="0DC87A5C"/>
    <w:rsid w:val="0F2A67ED"/>
    <w:rsid w:val="0F9B40E1"/>
    <w:rsid w:val="10066E92"/>
    <w:rsid w:val="10A877ED"/>
    <w:rsid w:val="14D737CE"/>
    <w:rsid w:val="150768FD"/>
    <w:rsid w:val="1743153B"/>
    <w:rsid w:val="179F11D1"/>
    <w:rsid w:val="18391C70"/>
    <w:rsid w:val="198D3B48"/>
    <w:rsid w:val="1BE12B64"/>
    <w:rsid w:val="1E6649C0"/>
    <w:rsid w:val="1EFF4C8C"/>
    <w:rsid w:val="206E7144"/>
    <w:rsid w:val="23C56384"/>
    <w:rsid w:val="244F4F67"/>
    <w:rsid w:val="25CE62F2"/>
    <w:rsid w:val="26AE1964"/>
    <w:rsid w:val="2A3E7C68"/>
    <w:rsid w:val="2DBC7F51"/>
    <w:rsid w:val="307D2D91"/>
    <w:rsid w:val="31180DE5"/>
    <w:rsid w:val="32D42AA3"/>
    <w:rsid w:val="34B51CC9"/>
    <w:rsid w:val="358649BF"/>
    <w:rsid w:val="3606397B"/>
    <w:rsid w:val="3A60755C"/>
    <w:rsid w:val="3B3C2F34"/>
    <w:rsid w:val="3B533788"/>
    <w:rsid w:val="40A65C09"/>
    <w:rsid w:val="44C62BCA"/>
    <w:rsid w:val="45E93068"/>
    <w:rsid w:val="47081F41"/>
    <w:rsid w:val="47AD2162"/>
    <w:rsid w:val="47B83F5C"/>
    <w:rsid w:val="486B5BC5"/>
    <w:rsid w:val="49CC5E43"/>
    <w:rsid w:val="4C4179CB"/>
    <w:rsid w:val="4CB25164"/>
    <w:rsid w:val="4E5B3426"/>
    <w:rsid w:val="4F200272"/>
    <w:rsid w:val="4FD02D07"/>
    <w:rsid w:val="50433392"/>
    <w:rsid w:val="505B2BEC"/>
    <w:rsid w:val="52EA12F3"/>
    <w:rsid w:val="52F04740"/>
    <w:rsid w:val="53905054"/>
    <w:rsid w:val="564F32F9"/>
    <w:rsid w:val="5802064E"/>
    <w:rsid w:val="58FA5447"/>
    <w:rsid w:val="5AF02C74"/>
    <w:rsid w:val="5B062EA9"/>
    <w:rsid w:val="5C5D7D62"/>
    <w:rsid w:val="5F652334"/>
    <w:rsid w:val="623C3C58"/>
    <w:rsid w:val="635210CE"/>
    <w:rsid w:val="640A14EF"/>
    <w:rsid w:val="670C67C6"/>
    <w:rsid w:val="67862831"/>
    <w:rsid w:val="69794FC2"/>
    <w:rsid w:val="6ABE0E27"/>
    <w:rsid w:val="6CF3617E"/>
    <w:rsid w:val="6FA04EDD"/>
    <w:rsid w:val="780A1E2E"/>
    <w:rsid w:val="7ACD6912"/>
    <w:rsid w:val="7C1C5B33"/>
    <w:rsid w:val="7C3D2863"/>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nhideWhenUsed="0" w:uiPriority="0" w:semiHidden="0" w:name="heading 5"/>
    <w:lsdException w:qFormat="1" w:unhideWhenUsed="0" w:uiPriority="0" w:semiHidden="0" w:name="heading 6"/>
    <w:lsdException w:qFormat="1" w:unhideWhenUsed="0" w:uiPriority="99" w:semiHidden="0" w:name="heading 7"/>
    <w:lsdException w:qFormat="1" w:unhideWhenUsed="0" w:uiPriority="9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0" w:semiHidden="0" w:name="Normal Indent"/>
    <w:lsdException w:qFormat="1" w:uiPriority="0" w:semiHidden="0" w:name="footnote text"/>
    <w:lsdException w:qFormat="1" w:uiPriority="99" w:semiHidden="0" w:name="annotation text"/>
    <w:lsdException w:qFormat="1" w:uiPriority="0"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qFormat="1" w:unhideWhenUsed="0" w:uiPriority="0" w:semiHidden="0"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qFormat="1" w:unhideWhenUsed="0" w:uiPriority="99"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99" w:semiHidden="0" w:name="Title"/>
    <w:lsdException w:uiPriority="99" w:name="Closing"/>
    <w:lsdException w:uiPriority="99" w:name="Signature"/>
    <w:lsdException w:qFormat="1" w:uiPriority="1" w:name="Default Paragraph Font"/>
    <w:lsdException w:qFormat="1" w:unhideWhenUsed="0" w:uiPriority="1"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0"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iPriority="0" w:semiHidden="0" w:name="Body Text Indent 2"/>
    <w:lsdException w:qFormat="1" w:uiPriority="0" w:semiHidden="0" w:name="Body Text Indent 3"/>
    <w:lsdException w:uiPriority="99"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qFormat="1" w:uiPriority="0" w:semiHidden="0" w:name="Document Map"/>
    <w:lsdException w:qFormat="1" w:unhideWhenUsed="0"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qFormat="1" w:unhideWhenUsed="0" w:uiPriority="99" w:semiHidden="0" w:name="Quote"/>
    <w:lsdException w:qFormat="1" w:unhideWhenUsed="0" w:uiPriority="99"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adjustRightInd w:val="0"/>
      <w:spacing w:line="560" w:lineRule="exact"/>
      <w:ind w:firstLine="200" w:firstLineChars="200"/>
    </w:pPr>
    <w:rPr>
      <w:rFonts w:ascii="Times New Roman" w:hAnsi="Times New Roman" w:eastAsia="宋体" w:cs="Times New Roman"/>
      <w:sz w:val="28"/>
      <w:szCs w:val="24"/>
      <w:lang w:val="en-US" w:eastAsia="zh-CN" w:bidi="ar-SA"/>
    </w:rPr>
  </w:style>
  <w:style w:type="paragraph" w:styleId="2">
    <w:name w:val="heading 1"/>
    <w:basedOn w:val="1"/>
    <w:next w:val="1"/>
    <w:link w:val="49"/>
    <w:qFormat/>
    <w:uiPriority w:val="0"/>
    <w:pPr>
      <w:keepNext/>
      <w:keepLines/>
      <w:spacing w:beforeLines="50" w:line="360" w:lineRule="auto"/>
      <w:jc w:val="center"/>
      <w:outlineLvl w:val="0"/>
    </w:pPr>
    <w:rPr>
      <w:b/>
      <w:bCs/>
      <w:kern w:val="44"/>
      <w:sz w:val="44"/>
      <w:szCs w:val="44"/>
    </w:rPr>
  </w:style>
  <w:style w:type="paragraph" w:styleId="3">
    <w:name w:val="heading 2"/>
    <w:basedOn w:val="1"/>
    <w:next w:val="1"/>
    <w:link w:val="50"/>
    <w:unhideWhenUsed/>
    <w:qFormat/>
    <w:uiPriority w:val="0"/>
    <w:pPr>
      <w:keepNext/>
      <w:keepLines/>
      <w:spacing w:beforeLines="50" w:afterLines="25" w:line="240" w:lineRule="auto"/>
      <w:outlineLvl w:val="1"/>
    </w:pPr>
    <w:rPr>
      <w:rFonts w:ascii="Cambria" w:hAnsi="Cambria"/>
      <w:b/>
      <w:bCs/>
      <w:sz w:val="30"/>
      <w:szCs w:val="32"/>
    </w:rPr>
  </w:style>
  <w:style w:type="paragraph" w:styleId="4">
    <w:name w:val="heading 3"/>
    <w:basedOn w:val="1"/>
    <w:next w:val="1"/>
    <w:link w:val="51"/>
    <w:unhideWhenUsed/>
    <w:qFormat/>
    <w:uiPriority w:val="0"/>
    <w:pPr>
      <w:keepNext/>
      <w:keepLines/>
      <w:spacing w:before="120" w:after="120" w:line="240" w:lineRule="auto"/>
      <w:ind w:left="280" w:leftChars="100" w:right="280" w:rightChars="100" w:firstLine="586"/>
      <w:outlineLvl w:val="2"/>
    </w:pPr>
    <w:rPr>
      <w:rFonts w:cs="宋体"/>
      <w:b/>
      <w:bCs/>
      <w:spacing w:val="12"/>
      <w:szCs w:val="32"/>
    </w:rPr>
  </w:style>
  <w:style w:type="paragraph" w:styleId="5">
    <w:name w:val="heading 4"/>
    <w:basedOn w:val="1"/>
    <w:next w:val="1"/>
    <w:link w:val="52"/>
    <w:unhideWhenUsed/>
    <w:qFormat/>
    <w:uiPriority w:val="0"/>
    <w:pPr>
      <w:keepNext/>
      <w:keepLines/>
      <w:spacing w:beforeLines="50" w:line="360" w:lineRule="auto"/>
      <w:ind w:firstLine="562"/>
      <w:outlineLvl w:val="3"/>
    </w:pPr>
    <w:rPr>
      <w:b/>
      <w:bCs/>
      <w:szCs w:val="28"/>
    </w:rPr>
  </w:style>
  <w:style w:type="paragraph" w:styleId="6">
    <w:name w:val="heading 5"/>
    <w:basedOn w:val="1"/>
    <w:next w:val="1"/>
    <w:link w:val="110"/>
    <w:qFormat/>
    <w:uiPriority w:val="0"/>
    <w:pPr>
      <w:keepNext/>
      <w:keepLines/>
      <w:widowControl/>
      <w:autoSpaceDE/>
      <w:autoSpaceDN/>
      <w:snapToGrid w:val="0"/>
      <w:spacing w:beforeLines="50" w:after="290" w:line="376" w:lineRule="auto"/>
      <w:outlineLvl w:val="4"/>
    </w:pPr>
    <w:rPr>
      <w:b/>
      <w:bCs/>
      <w:szCs w:val="28"/>
    </w:rPr>
  </w:style>
  <w:style w:type="paragraph" w:styleId="7">
    <w:name w:val="heading 6"/>
    <w:basedOn w:val="1"/>
    <w:next w:val="1"/>
    <w:link w:val="111"/>
    <w:qFormat/>
    <w:uiPriority w:val="0"/>
    <w:pPr>
      <w:keepNext/>
      <w:keepLines/>
      <w:widowControl/>
      <w:wordWrap w:val="0"/>
      <w:overflowPunct w:val="0"/>
      <w:snapToGrid w:val="0"/>
      <w:spacing w:beforeLines="50" w:after="64" w:line="320" w:lineRule="auto"/>
      <w:outlineLvl w:val="5"/>
    </w:pPr>
    <w:rPr>
      <w:rFonts w:ascii="Arial" w:hAnsi="Arial" w:eastAsia="黑体"/>
      <w:b/>
      <w:color w:val="000000"/>
      <w:sz w:val="24"/>
      <w:szCs w:val="20"/>
    </w:rPr>
  </w:style>
  <w:style w:type="paragraph" w:styleId="8">
    <w:name w:val="heading 7"/>
    <w:basedOn w:val="1"/>
    <w:next w:val="1"/>
    <w:link w:val="112"/>
    <w:qFormat/>
    <w:uiPriority w:val="99"/>
    <w:pPr>
      <w:keepNext/>
      <w:keepLines/>
      <w:widowControl/>
      <w:wordWrap w:val="0"/>
      <w:overflowPunct w:val="0"/>
      <w:snapToGrid w:val="0"/>
      <w:spacing w:beforeLines="50" w:after="64" w:line="320" w:lineRule="auto"/>
      <w:outlineLvl w:val="6"/>
    </w:pPr>
    <w:rPr>
      <w:b/>
      <w:color w:val="000000"/>
      <w:sz w:val="24"/>
      <w:szCs w:val="20"/>
    </w:rPr>
  </w:style>
  <w:style w:type="paragraph" w:styleId="9">
    <w:name w:val="heading 8"/>
    <w:basedOn w:val="1"/>
    <w:next w:val="1"/>
    <w:link w:val="113"/>
    <w:qFormat/>
    <w:uiPriority w:val="99"/>
    <w:pPr>
      <w:keepNext/>
      <w:keepLines/>
      <w:widowControl/>
      <w:wordWrap w:val="0"/>
      <w:overflowPunct w:val="0"/>
      <w:snapToGrid w:val="0"/>
      <w:spacing w:beforeLines="50" w:line="360" w:lineRule="auto"/>
      <w:outlineLvl w:val="7"/>
    </w:pPr>
    <w:rPr>
      <w:color w:val="7030A0"/>
      <w:sz w:val="24"/>
      <w:szCs w:val="20"/>
    </w:rPr>
  </w:style>
  <w:style w:type="paragraph" w:styleId="10">
    <w:name w:val="heading 9"/>
    <w:basedOn w:val="1"/>
    <w:next w:val="1"/>
    <w:link w:val="114"/>
    <w:unhideWhenUsed/>
    <w:qFormat/>
    <w:uiPriority w:val="9"/>
    <w:pPr>
      <w:keepNext/>
      <w:keepLines/>
      <w:widowControl/>
      <w:autoSpaceDE/>
      <w:autoSpaceDN/>
      <w:snapToGrid w:val="0"/>
      <w:spacing w:beforeLines="50" w:after="64" w:line="320" w:lineRule="auto"/>
      <w:outlineLvl w:val="8"/>
    </w:pPr>
    <w:rPr>
      <w:rFonts w:ascii="Cambria" w:hAnsi="Cambria"/>
      <w:sz w:val="21"/>
      <w:szCs w:val="21"/>
    </w:rPr>
  </w:style>
  <w:style w:type="character" w:default="1" w:styleId="41">
    <w:name w:val="Default Paragraph Font"/>
    <w:semiHidden/>
    <w:unhideWhenUsed/>
    <w:qFormat/>
    <w:uiPriority w:val="1"/>
  </w:style>
  <w:style w:type="table" w:default="1" w:styleId="39">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autoSpaceDE/>
      <w:autoSpaceDN/>
      <w:adjustRightInd/>
      <w:ind w:left="2520" w:leftChars="1200"/>
      <w:jc w:val="both"/>
    </w:pPr>
    <w:rPr>
      <w:rFonts w:asciiTheme="minorHAnsi" w:hAnsiTheme="minorHAnsi" w:eastAsiaTheme="minorEastAsia" w:cstheme="minorBidi"/>
      <w:kern w:val="2"/>
      <w:sz w:val="21"/>
      <w:szCs w:val="22"/>
    </w:rPr>
  </w:style>
  <w:style w:type="paragraph" w:styleId="12">
    <w:name w:val="Normal Indent"/>
    <w:basedOn w:val="1"/>
    <w:link w:val="167"/>
    <w:unhideWhenUsed/>
    <w:qFormat/>
    <w:uiPriority w:val="0"/>
    <w:pPr>
      <w:widowControl/>
      <w:snapToGrid w:val="0"/>
      <w:spacing w:beforeLines="50" w:line="360" w:lineRule="auto"/>
      <w:ind w:firstLine="567"/>
      <w:textAlignment w:val="baseline"/>
    </w:pPr>
    <w:rPr>
      <w:szCs w:val="20"/>
    </w:rPr>
  </w:style>
  <w:style w:type="paragraph" w:styleId="13">
    <w:name w:val="caption"/>
    <w:basedOn w:val="1"/>
    <w:next w:val="1"/>
    <w:link w:val="115"/>
    <w:unhideWhenUsed/>
    <w:qFormat/>
    <w:uiPriority w:val="0"/>
    <w:rPr>
      <w:rFonts w:eastAsia="黑体" w:asciiTheme="majorHAnsi" w:hAnsiTheme="majorHAnsi" w:cstheme="majorBidi"/>
      <w:sz w:val="20"/>
      <w:szCs w:val="20"/>
    </w:rPr>
  </w:style>
  <w:style w:type="paragraph" w:styleId="14">
    <w:name w:val="Document Map"/>
    <w:basedOn w:val="1"/>
    <w:link w:val="60"/>
    <w:unhideWhenUsed/>
    <w:qFormat/>
    <w:uiPriority w:val="0"/>
    <w:rPr>
      <w:rFonts w:ascii="宋体"/>
      <w:sz w:val="18"/>
      <w:szCs w:val="18"/>
    </w:rPr>
  </w:style>
  <w:style w:type="paragraph" w:styleId="15">
    <w:name w:val="annotation text"/>
    <w:basedOn w:val="1"/>
    <w:link w:val="134"/>
    <w:unhideWhenUsed/>
    <w:qFormat/>
    <w:uiPriority w:val="99"/>
    <w:pPr>
      <w:widowControl/>
      <w:autoSpaceDE/>
      <w:autoSpaceDN/>
      <w:snapToGrid w:val="0"/>
      <w:spacing w:beforeLines="50" w:line="360" w:lineRule="auto"/>
    </w:pPr>
    <w:rPr>
      <w:sz w:val="24"/>
      <w:szCs w:val="20"/>
    </w:rPr>
  </w:style>
  <w:style w:type="paragraph" w:styleId="16">
    <w:name w:val="Body Text"/>
    <w:basedOn w:val="1"/>
    <w:link w:val="53"/>
    <w:qFormat/>
    <w:uiPriority w:val="1"/>
    <w:rPr>
      <w:rFonts w:cs="宋体"/>
    </w:rPr>
  </w:style>
  <w:style w:type="paragraph" w:styleId="17">
    <w:name w:val="Body Text Indent"/>
    <w:basedOn w:val="1"/>
    <w:link w:val="61"/>
    <w:unhideWhenUsed/>
    <w:qFormat/>
    <w:uiPriority w:val="0"/>
    <w:pPr>
      <w:spacing w:after="120"/>
      <w:ind w:left="420" w:leftChars="200"/>
    </w:pPr>
  </w:style>
  <w:style w:type="paragraph" w:styleId="18">
    <w:name w:val="List 2"/>
    <w:basedOn w:val="1"/>
    <w:qFormat/>
    <w:uiPriority w:val="99"/>
    <w:pPr>
      <w:autoSpaceDE/>
      <w:autoSpaceDN/>
      <w:spacing w:beforeLines="50" w:line="312" w:lineRule="atLeast"/>
      <w:ind w:left="840" w:right="-295" w:hanging="420" w:firstLineChars="0"/>
      <w:jc w:val="both"/>
      <w:textAlignment w:val="baseline"/>
    </w:pPr>
    <w:rPr>
      <w:color w:val="000000"/>
      <w:sz w:val="21"/>
      <w:szCs w:val="20"/>
    </w:rPr>
  </w:style>
  <w:style w:type="paragraph" w:styleId="19">
    <w:name w:val="toc 5"/>
    <w:basedOn w:val="1"/>
    <w:next w:val="1"/>
    <w:unhideWhenUsed/>
    <w:qFormat/>
    <w:uiPriority w:val="39"/>
    <w:pPr>
      <w:autoSpaceDE/>
      <w:autoSpaceDN/>
      <w:adjustRightInd/>
      <w:ind w:left="1680" w:leftChars="800"/>
      <w:jc w:val="both"/>
    </w:pPr>
    <w:rPr>
      <w:rFonts w:asciiTheme="minorHAnsi" w:hAnsiTheme="minorHAnsi" w:eastAsiaTheme="minorEastAsia" w:cstheme="minorBidi"/>
      <w:kern w:val="2"/>
      <w:sz w:val="21"/>
      <w:szCs w:val="22"/>
    </w:rPr>
  </w:style>
  <w:style w:type="paragraph" w:styleId="20">
    <w:name w:val="toc 3"/>
    <w:basedOn w:val="1"/>
    <w:next w:val="1"/>
    <w:unhideWhenUsed/>
    <w:qFormat/>
    <w:uiPriority w:val="39"/>
    <w:pPr>
      <w:ind w:left="840" w:leftChars="400"/>
    </w:pPr>
  </w:style>
  <w:style w:type="paragraph" w:styleId="21">
    <w:name w:val="Plain Text"/>
    <w:basedOn w:val="1"/>
    <w:link w:val="65"/>
    <w:qFormat/>
    <w:uiPriority w:val="99"/>
    <w:pPr>
      <w:autoSpaceDE/>
      <w:autoSpaceDN/>
      <w:adjustRightInd/>
      <w:jc w:val="both"/>
    </w:pPr>
    <w:rPr>
      <w:rFonts w:ascii="宋体" w:hAnsi="Courier New"/>
      <w:sz w:val="21"/>
      <w:szCs w:val="20"/>
    </w:rPr>
  </w:style>
  <w:style w:type="paragraph" w:styleId="22">
    <w:name w:val="toc 8"/>
    <w:basedOn w:val="1"/>
    <w:next w:val="1"/>
    <w:unhideWhenUsed/>
    <w:qFormat/>
    <w:uiPriority w:val="39"/>
    <w:pPr>
      <w:autoSpaceDE/>
      <w:autoSpaceDN/>
      <w:adjustRightInd/>
      <w:ind w:left="2940" w:leftChars="1400"/>
      <w:jc w:val="both"/>
    </w:pPr>
    <w:rPr>
      <w:rFonts w:asciiTheme="minorHAnsi" w:hAnsiTheme="minorHAnsi" w:eastAsiaTheme="minorEastAsia" w:cstheme="minorBidi"/>
      <w:kern w:val="2"/>
      <w:sz w:val="21"/>
      <w:szCs w:val="22"/>
    </w:rPr>
  </w:style>
  <w:style w:type="paragraph" w:styleId="23">
    <w:name w:val="Date"/>
    <w:basedOn w:val="1"/>
    <w:next w:val="1"/>
    <w:link w:val="170"/>
    <w:unhideWhenUsed/>
    <w:qFormat/>
    <w:uiPriority w:val="0"/>
    <w:pPr>
      <w:widowControl/>
      <w:autoSpaceDE/>
      <w:autoSpaceDN/>
      <w:snapToGrid w:val="0"/>
      <w:spacing w:beforeLines="50" w:line="360" w:lineRule="auto"/>
      <w:ind w:left="100" w:leftChars="2500"/>
    </w:pPr>
    <w:rPr>
      <w:rFonts w:ascii="Calibri" w:hAnsi="Calibri"/>
      <w:sz w:val="20"/>
      <w:szCs w:val="20"/>
    </w:rPr>
  </w:style>
  <w:style w:type="paragraph" w:styleId="24">
    <w:name w:val="Body Text Indent 2"/>
    <w:basedOn w:val="1"/>
    <w:link w:val="175"/>
    <w:unhideWhenUsed/>
    <w:qFormat/>
    <w:uiPriority w:val="0"/>
    <w:pPr>
      <w:widowControl/>
      <w:autoSpaceDE/>
      <w:autoSpaceDN/>
      <w:snapToGrid w:val="0"/>
      <w:spacing w:beforeLines="50" w:after="120" w:line="480" w:lineRule="auto"/>
      <w:ind w:left="420" w:leftChars="200"/>
    </w:pPr>
    <w:rPr>
      <w:rFonts w:ascii="Calibri" w:hAnsi="Calibri"/>
      <w:sz w:val="20"/>
      <w:szCs w:val="20"/>
    </w:rPr>
  </w:style>
  <w:style w:type="paragraph" w:styleId="25">
    <w:name w:val="Balloon Text"/>
    <w:basedOn w:val="1"/>
    <w:link w:val="66"/>
    <w:unhideWhenUsed/>
    <w:qFormat/>
    <w:uiPriority w:val="99"/>
    <w:rPr>
      <w:sz w:val="18"/>
      <w:szCs w:val="18"/>
    </w:rPr>
  </w:style>
  <w:style w:type="paragraph" w:styleId="26">
    <w:name w:val="footer"/>
    <w:basedOn w:val="1"/>
    <w:link w:val="59"/>
    <w:unhideWhenUsed/>
    <w:qFormat/>
    <w:uiPriority w:val="99"/>
    <w:pPr>
      <w:tabs>
        <w:tab w:val="center" w:pos="4153"/>
        <w:tab w:val="right" w:pos="8306"/>
      </w:tabs>
      <w:snapToGrid w:val="0"/>
    </w:pPr>
    <w:rPr>
      <w:sz w:val="18"/>
      <w:szCs w:val="18"/>
    </w:rPr>
  </w:style>
  <w:style w:type="paragraph" w:styleId="27">
    <w:name w:val="header"/>
    <w:basedOn w:val="1"/>
    <w:link w:val="58"/>
    <w:unhideWhenUsed/>
    <w:qFormat/>
    <w:uiPriority w:val="0"/>
    <w:pPr>
      <w:pBdr>
        <w:bottom w:val="single" w:color="auto" w:sz="6" w:space="1"/>
      </w:pBdr>
      <w:tabs>
        <w:tab w:val="center" w:pos="4153"/>
        <w:tab w:val="right" w:pos="8306"/>
      </w:tabs>
      <w:snapToGrid w:val="0"/>
      <w:jc w:val="center"/>
    </w:pPr>
    <w:rPr>
      <w:sz w:val="18"/>
      <w:szCs w:val="18"/>
    </w:rPr>
  </w:style>
  <w:style w:type="paragraph" w:styleId="28">
    <w:name w:val="toc 1"/>
    <w:basedOn w:val="1"/>
    <w:next w:val="1"/>
    <w:unhideWhenUsed/>
    <w:qFormat/>
    <w:uiPriority w:val="39"/>
    <w:pPr>
      <w:tabs>
        <w:tab w:val="right" w:leader="dot" w:pos="10100"/>
      </w:tabs>
      <w:spacing w:line="240" w:lineRule="auto"/>
      <w:ind w:firstLine="402"/>
    </w:pPr>
    <w:rPr>
      <w:b/>
    </w:rPr>
  </w:style>
  <w:style w:type="paragraph" w:styleId="29">
    <w:name w:val="toc 4"/>
    <w:basedOn w:val="1"/>
    <w:next w:val="1"/>
    <w:unhideWhenUsed/>
    <w:qFormat/>
    <w:uiPriority w:val="39"/>
    <w:pPr>
      <w:ind w:left="1260" w:leftChars="600"/>
    </w:pPr>
  </w:style>
  <w:style w:type="paragraph" w:styleId="30">
    <w:name w:val="Subtitle"/>
    <w:basedOn w:val="1"/>
    <w:next w:val="1"/>
    <w:link w:val="117"/>
    <w:qFormat/>
    <w:uiPriority w:val="0"/>
    <w:pPr>
      <w:widowControl/>
      <w:autoSpaceDE/>
      <w:autoSpaceDN/>
      <w:snapToGrid w:val="0"/>
      <w:spacing w:beforeLines="50" w:line="360" w:lineRule="auto"/>
      <w:ind w:firstLine="0" w:firstLineChars="0"/>
      <w:jc w:val="center"/>
    </w:pPr>
    <w:rPr>
      <w:rFonts w:ascii="Cambria" w:hAnsi="Cambria"/>
      <w:b/>
      <w:bCs/>
      <w:kern w:val="28"/>
      <w:sz w:val="20"/>
      <w:szCs w:val="32"/>
    </w:rPr>
  </w:style>
  <w:style w:type="paragraph" w:styleId="31">
    <w:name w:val="footnote text"/>
    <w:basedOn w:val="1"/>
    <w:link w:val="165"/>
    <w:unhideWhenUsed/>
    <w:qFormat/>
    <w:uiPriority w:val="0"/>
    <w:pPr>
      <w:widowControl/>
      <w:autoSpaceDE/>
      <w:autoSpaceDN/>
      <w:snapToGrid w:val="0"/>
      <w:spacing w:beforeLines="50" w:line="360" w:lineRule="auto"/>
    </w:pPr>
    <w:rPr>
      <w:sz w:val="18"/>
      <w:szCs w:val="18"/>
    </w:rPr>
  </w:style>
  <w:style w:type="paragraph" w:styleId="32">
    <w:name w:val="toc 6"/>
    <w:basedOn w:val="1"/>
    <w:next w:val="1"/>
    <w:unhideWhenUsed/>
    <w:qFormat/>
    <w:uiPriority w:val="39"/>
    <w:pPr>
      <w:autoSpaceDE/>
      <w:autoSpaceDN/>
      <w:adjustRightInd/>
      <w:ind w:left="2100" w:leftChars="1000"/>
      <w:jc w:val="both"/>
    </w:pPr>
    <w:rPr>
      <w:rFonts w:asciiTheme="minorHAnsi" w:hAnsiTheme="minorHAnsi" w:eastAsiaTheme="minorEastAsia" w:cstheme="minorBidi"/>
      <w:kern w:val="2"/>
      <w:sz w:val="21"/>
      <w:szCs w:val="22"/>
    </w:rPr>
  </w:style>
  <w:style w:type="paragraph" w:styleId="33">
    <w:name w:val="Body Text Indent 3"/>
    <w:basedOn w:val="1"/>
    <w:link w:val="161"/>
    <w:unhideWhenUsed/>
    <w:qFormat/>
    <w:uiPriority w:val="0"/>
    <w:pPr>
      <w:widowControl/>
      <w:autoSpaceDE/>
      <w:autoSpaceDN/>
      <w:snapToGrid w:val="0"/>
      <w:spacing w:beforeLines="50" w:after="120" w:line="360" w:lineRule="auto"/>
      <w:ind w:left="420" w:leftChars="200"/>
    </w:pPr>
    <w:rPr>
      <w:sz w:val="16"/>
      <w:szCs w:val="16"/>
    </w:rPr>
  </w:style>
  <w:style w:type="paragraph" w:styleId="34">
    <w:name w:val="toc 2"/>
    <w:basedOn w:val="1"/>
    <w:next w:val="1"/>
    <w:unhideWhenUsed/>
    <w:qFormat/>
    <w:uiPriority w:val="39"/>
    <w:pPr>
      <w:ind w:left="420" w:leftChars="200"/>
    </w:pPr>
  </w:style>
  <w:style w:type="paragraph" w:styleId="35">
    <w:name w:val="toc 9"/>
    <w:basedOn w:val="1"/>
    <w:next w:val="1"/>
    <w:unhideWhenUsed/>
    <w:qFormat/>
    <w:uiPriority w:val="39"/>
    <w:pPr>
      <w:autoSpaceDE/>
      <w:autoSpaceDN/>
      <w:adjustRightInd/>
      <w:ind w:left="3360" w:leftChars="1600"/>
      <w:jc w:val="both"/>
    </w:pPr>
    <w:rPr>
      <w:rFonts w:asciiTheme="minorHAnsi" w:hAnsiTheme="minorHAnsi" w:eastAsiaTheme="minorEastAsia" w:cstheme="minorBidi"/>
      <w:kern w:val="2"/>
      <w:sz w:val="21"/>
      <w:szCs w:val="22"/>
    </w:rPr>
  </w:style>
  <w:style w:type="paragraph" w:styleId="36">
    <w:name w:val="Normal (Web)"/>
    <w:basedOn w:val="1"/>
    <w:link w:val="136"/>
    <w:unhideWhenUsed/>
    <w:qFormat/>
    <w:uiPriority w:val="99"/>
    <w:pPr>
      <w:widowControl/>
      <w:autoSpaceDE/>
      <w:autoSpaceDN/>
      <w:adjustRightInd/>
      <w:spacing w:before="100" w:beforeAutospacing="1" w:after="100" w:afterAutospacing="1" w:line="240" w:lineRule="auto"/>
      <w:ind w:firstLine="0" w:firstLineChars="0"/>
    </w:pPr>
    <w:rPr>
      <w:rFonts w:ascii="宋体" w:hAnsi="宋体" w:cs="宋体"/>
      <w:sz w:val="24"/>
    </w:rPr>
  </w:style>
  <w:style w:type="paragraph" w:styleId="37">
    <w:name w:val="Title"/>
    <w:basedOn w:val="1"/>
    <w:next w:val="1"/>
    <w:link w:val="116"/>
    <w:qFormat/>
    <w:uiPriority w:val="99"/>
    <w:pPr>
      <w:widowControl/>
      <w:autoSpaceDE/>
      <w:autoSpaceDN/>
      <w:snapToGrid w:val="0"/>
      <w:spacing w:beforeLines="50" w:after="60" w:line="360" w:lineRule="auto"/>
      <w:outlineLvl w:val="0"/>
    </w:pPr>
    <w:rPr>
      <w:rFonts w:ascii="宋体" w:hAnsi="宋体"/>
      <w:bCs/>
      <w:sz w:val="24"/>
      <w:szCs w:val="32"/>
    </w:rPr>
  </w:style>
  <w:style w:type="paragraph" w:styleId="38">
    <w:name w:val="annotation subject"/>
    <w:basedOn w:val="15"/>
    <w:next w:val="15"/>
    <w:link w:val="135"/>
    <w:unhideWhenUsed/>
    <w:qFormat/>
    <w:uiPriority w:val="99"/>
    <w:rPr>
      <w:b/>
      <w:bCs/>
    </w:rPr>
  </w:style>
  <w:style w:type="table" w:styleId="40">
    <w:name w:val="Table Grid"/>
    <w:basedOn w:val="39"/>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42">
    <w:name w:val="Strong"/>
    <w:qFormat/>
    <w:uiPriority w:val="0"/>
    <w:rPr>
      <w:rFonts w:ascii="Times New Roman" w:hAnsi="Times New Roman" w:eastAsia="宋体"/>
      <w:bCs/>
      <w:color w:val="E36C0A"/>
      <w:sz w:val="24"/>
      <w:szCs w:val="22"/>
    </w:rPr>
  </w:style>
  <w:style w:type="character" w:styleId="43">
    <w:name w:val="page number"/>
    <w:qFormat/>
    <w:uiPriority w:val="0"/>
  </w:style>
  <w:style w:type="character" w:styleId="44">
    <w:name w:val="FollowedHyperlink"/>
    <w:basedOn w:val="41"/>
    <w:unhideWhenUsed/>
    <w:qFormat/>
    <w:uiPriority w:val="99"/>
    <w:rPr>
      <w:color w:val="800080"/>
      <w:u w:val="single"/>
    </w:rPr>
  </w:style>
  <w:style w:type="character" w:styleId="45">
    <w:name w:val="Emphasis"/>
    <w:qFormat/>
    <w:uiPriority w:val="0"/>
    <w:rPr>
      <w:rFonts w:ascii="Times New Roman" w:hAnsi="Times New Roman" w:eastAsia="宋体" w:cs="Times New Roman"/>
      <w:iCs/>
      <w:color w:val="FF0000"/>
      <w:kern w:val="0"/>
      <w:sz w:val="24"/>
      <w:szCs w:val="20"/>
    </w:rPr>
  </w:style>
  <w:style w:type="character" w:styleId="46">
    <w:name w:val="Hyperlink"/>
    <w:basedOn w:val="41"/>
    <w:unhideWhenUsed/>
    <w:qFormat/>
    <w:uiPriority w:val="99"/>
    <w:rPr>
      <w:color w:val="0000FF"/>
      <w:u w:val="single"/>
    </w:rPr>
  </w:style>
  <w:style w:type="character" w:styleId="47">
    <w:name w:val="annotation reference"/>
    <w:unhideWhenUsed/>
    <w:qFormat/>
    <w:uiPriority w:val="0"/>
    <w:rPr>
      <w:sz w:val="21"/>
      <w:szCs w:val="21"/>
    </w:rPr>
  </w:style>
  <w:style w:type="character" w:styleId="48">
    <w:name w:val="footnote reference"/>
    <w:qFormat/>
    <w:uiPriority w:val="0"/>
    <w:rPr>
      <w:vertAlign w:val="superscript"/>
    </w:rPr>
  </w:style>
  <w:style w:type="character" w:customStyle="1" w:styleId="49">
    <w:name w:val="标题 1 字符2"/>
    <w:basedOn w:val="41"/>
    <w:link w:val="2"/>
    <w:qFormat/>
    <w:locked/>
    <w:uiPriority w:val="0"/>
    <w:rPr>
      <w:rFonts w:ascii="Times New Roman" w:hAnsi="Times New Roman" w:cs="Times New Roman"/>
      <w:b/>
      <w:bCs/>
      <w:kern w:val="44"/>
      <w:sz w:val="44"/>
      <w:szCs w:val="44"/>
    </w:rPr>
  </w:style>
  <w:style w:type="character" w:customStyle="1" w:styleId="50">
    <w:name w:val="标题 2 字符2"/>
    <w:basedOn w:val="41"/>
    <w:link w:val="3"/>
    <w:qFormat/>
    <w:locked/>
    <w:uiPriority w:val="0"/>
    <w:rPr>
      <w:rFonts w:ascii="Cambria" w:hAnsi="Cambria"/>
      <w:b/>
      <w:bCs/>
      <w:sz w:val="30"/>
      <w:szCs w:val="32"/>
    </w:rPr>
  </w:style>
  <w:style w:type="character" w:customStyle="1" w:styleId="51">
    <w:name w:val="标题 3 字符2"/>
    <w:basedOn w:val="41"/>
    <w:link w:val="4"/>
    <w:qFormat/>
    <w:locked/>
    <w:uiPriority w:val="0"/>
    <w:rPr>
      <w:rFonts w:ascii="Times New Roman" w:hAnsi="Times New Roman" w:cs="宋体"/>
      <w:b/>
      <w:bCs/>
      <w:spacing w:val="12"/>
      <w:sz w:val="28"/>
      <w:szCs w:val="32"/>
    </w:rPr>
  </w:style>
  <w:style w:type="character" w:customStyle="1" w:styleId="52">
    <w:name w:val="标题 4 字符2"/>
    <w:basedOn w:val="41"/>
    <w:link w:val="5"/>
    <w:qFormat/>
    <w:locked/>
    <w:uiPriority w:val="0"/>
    <w:rPr>
      <w:rFonts w:ascii="Times New Roman" w:hAnsi="Times New Roman"/>
      <w:b/>
      <w:bCs/>
      <w:sz w:val="28"/>
      <w:szCs w:val="28"/>
    </w:rPr>
  </w:style>
  <w:style w:type="character" w:customStyle="1" w:styleId="53">
    <w:name w:val="正文文本 字符2"/>
    <w:basedOn w:val="41"/>
    <w:link w:val="16"/>
    <w:qFormat/>
    <w:locked/>
    <w:uiPriority w:val="1"/>
    <w:rPr>
      <w:rFonts w:ascii="Times New Roman" w:hAnsi="Times New Roman" w:eastAsia="宋体" w:cs="宋体"/>
      <w:kern w:val="0"/>
      <w:sz w:val="24"/>
      <w:szCs w:val="24"/>
    </w:rPr>
  </w:style>
  <w:style w:type="paragraph" w:customStyle="1" w:styleId="54">
    <w:name w:val="标题 11"/>
    <w:basedOn w:val="1"/>
    <w:qFormat/>
    <w:uiPriority w:val="1"/>
    <w:pPr>
      <w:ind w:left="8003"/>
      <w:outlineLvl w:val="0"/>
    </w:pPr>
    <w:rPr>
      <w:rFonts w:ascii="宋体" w:cs="宋体"/>
      <w:b/>
      <w:bCs/>
      <w:sz w:val="32"/>
      <w:szCs w:val="32"/>
    </w:rPr>
  </w:style>
  <w:style w:type="paragraph" w:customStyle="1" w:styleId="55">
    <w:name w:val="标题 21"/>
    <w:basedOn w:val="1"/>
    <w:qFormat/>
    <w:uiPriority w:val="1"/>
    <w:pPr>
      <w:spacing w:before="135"/>
      <w:ind w:left="138"/>
      <w:outlineLvl w:val="1"/>
    </w:pPr>
    <w:rPr>
      <w:b/>
      <w:bCs/>
    </w:rPr>
  </w:style>
  <w:style w:type="paragraph" w:styleId="56">
    <w:name w:val="List Paragraph"/>
    <w:basedOn w:val="1"/>
    <w:qFormat/>
    <w:uiPriority w:val="1"/>
  </w:style>
  <w:style w:type="paragraph" w:customStyle="1" w:styleId="57">
    <w:name w:val="Table Paragraph"/>
    <w:basedOn w:val="1"/>
    <w:qFormat/>
    <w:uiPriority w:val="1"/>
  </w:style>
  <w:style w:type="character" w:customStyle="1" w:styleId="58">
    <w:name w:val="页眉 字符2"/>
    <w:basedOn w:val="41"/>
    <w:link w:val="27"/>
    <w:qFormat/>
    <w:locked/>
    <w:uiPriority w:val="0"/>
    <w:rPr>
      <w:rFonts w:ascii="Times New Roman" w:hAnsi="Times New Roman" w:cs="Times New Roman"/>
      <w:kern w:val="0"/>
      <w:sz w:val="18"/>
      <w:szCs w:val="18"/>
    </w:rPr>
  </w:style>
  <w:style w:type="character" w:customStyle="1" w:styleId="59">
    <w:name w:val="页脚 字符2"/>
    <w:basedOn w:val="41"/>
    <w:link w:val="26"/>
    <w:qFormat/>
    <w:locked/>
    <w:uiPriority w:val="99"/>
    <w:rPr>
      <w:rFonts w:ascii="Times New Roman" w:hAnsi="Times New Roman" w:cs="Times New Roman"/>
      <w:kern w:val="0"/>
      <w:sz w:val="18"/>
      <w:szCs w:val="18"/>
    </w:rPr>
  </w:style>
  <w:style w:type="character" w:customStyle="1" w:styleId="60">
    <w:name w:val="文档结构图 字符2"/>
    <w:basedOn w:val="41"/>
    <w:link w:val="14"/>
    <w:qFormat/>
    <w:locked/>
    <w:uiPriority w:val="0"/>
    <w:rPr>
      <w:rFonts w:ascii="宋体" w:hAnsi="Times New Roman" w:eastAsia="宋体" w:cs="Times New Roman"/>
      <w:kern w:val="0"/>
      <w:sz w:val="18"/>
      <w:szCs w:val="18"/>
    </w:rPr>
  </w:style>
  <w:style w:type="character" w:customStyle="1" w:styleId="61">
    <w:name w:val="正文文本缩进 字符2"/>
    <w:basedOn w:val="41"/>
    <w:link w:val="17"/>
    <w:qFormat/>
    <w:locked/>
    <w:uiPriority w:val="0"/>
    <w:rPr>
      <w:rFonts w:ascii="Times New Roman" w:hAnsi="Times New Roman" w:cs="Times New Roman"/>
      <w:kern w:val="0"/>
      <w:sz w:val="24"/>
      <w:szCs w:val="24"/>
    </w:rPr>
  </w:style>
  <w:style w:type="paragraph" w:customStyle="1" w:styleId="62">
    <w:name w:val="列出段落2"/>
    <w:basedOn w:val="1"/>
    <w:unhideWhenUsed/>
    <w:qFormat/>
    <w:uiPriority w:val="99"/>
    <w:pPr>
      <w:autoSpaceDE/>
      <w:autoSpaceDN/>
      <w:adjustRightInd/>
      <w:ind w:firstLine="420"/>
      <w:jc w:val="both"/>
    </w:pPr>
    <w:rPr>
      <w:kern w:val="2"/>
      <w:sz w:val="21"/>
    </w:rPr>
  </w:style>
  <w:style w:type="paragraph" w:customStyle="1" w:styleId="63">
    <w:name w:val="p0"/>
    <w:basedOn w:val="1"/>
    <w:qFormat/>
    <w:uiPriority w:val="0"/>
    <w:pPr>
      <w:widowControl/>
      <w:autoSpaceDE/>
      <w:autoSpaceDN/>
      <w:snapToGrid w:val="0"/>
      <w:spacing w:line="360" w:lineRule="auto"/>
    </w:pPr>
    <w:rPr>
      <w:rFonts w:eastAsia="仿宋_GB2312"/>
      <w:szCs w:val="21"/>
    </w:rPr>
  </w:style>
  <w:style w:type="character" w:customStyle="1" w:styleId="64">
    <w:name w:val="纯文本 Char"/>
    <w:basedOn w:val="41"/>
    <w:qFormat/>
    <w:uiPriority w:val="99"/>
    <w:rPr>
      <w:rFonts w:ascii="宋体" w:hAnsi="Courier New" w:cs="Courier New"/>
      <w:sz w:val="21"/>
      <w:szCs w:val="21"/>
    </w:rPr>
  </w:style>
  <w:style w:type="character" w:customStyle="1" w:styleId="65">
    <w:name w:val="纯文本 字符2"/>
    <w:basedOn w:val="41"/>
    <w:link w:val="21"/>
    <w:qFormat/>
    <w:uiPriority w:val="99"/>
    <w:rPr>
      <w:rFonts w:ascii="宋体" w:hAnsi="Courier New"/>
      <w:sz w:val="21"/>
    </w:rPr>
  </w:style>
  <w:style w:type="character" w:customStyle="1" w:styleId="66">
    <w:name w:val="批注框文本 字符2"/>
    <w:basedOn w:val="41"/>
    <w:link w:val="25"/>
    <w:qFormat/>
    <w:uiPriority w:val="99"/>
    <w:rPr>
      <w:rFonts w:ascii="Times New Roman" w:hAnsi="Times New Roman"/>
      <w:sz w:val="18"/>
      <w:szCs w:val="18"/>
    </w:rPr>
  </w:style>
  <w:style w:type="table" w:customStyle="1" w:styleId="67">
    <w:name w:val="Table Normal"/>
    <w:unhideWhenUsed/>
    <w:qFormat/>
    <w:uiPriority w:val="2"/>
    <w:rPr>
      <w:rFonts w:asciiTheme="minorHAnsi" w:hAnsiTheme="minorHAnsi" w:eastAsiaTheme="minorEastAsia" w:cstheme="minorBidi"/>
    </w:rPr>
    <w:tblPr>
      <w:tblCellMar>
        <w:top w:w="0" w:type="dxa"/>
        <w:left w:w="0" w:type="dxa"/>
        <w:bottom w:w="0" w:type="dxa"/>
        <w:right w:w="0" w:type="dxa"/>
      </w:tblCellMar>
    </w:tblPr>
  </w:style>
  <w:style w:type="character" w:customStyle="1" w:styleId="68">
    <w:name w:val="正文文本_"/>
    <w:basedOn w:val="41"/>
    <w:link w:val="69"/>
    <w:qFormat/>
    <w:uiPriority w:val="0"/>
    <w:rPr>
      <w:rFonts w:ascii="黑体" w:hAnsi="黑体" w:eastAsia="黑体" w:cs="黑体"/>
      <w:spacing w:val="20"/>
      <w:sz w:val="30"/>
      <w:szCs w:val="30"/>
      <w:shd w:val="clear" w:color="auto" w:fill="FFFFFF"/>
    </w:rPr>
  </w:style>
  <w:style w:type="paragraph" w:customStyle="1" w:styleId="69">
    <w:name w:val="正文文本1"/>
    <w:basedOn w:val="1"/>
    <w:link w:val="68"/>
    <w:qFormat/>
    <w:uiPriority w:val="0"/>
    <w:pPr>
      <w:shd w:val="clear" w:color="auto" w:fill="FFFFFF"/>
      <w:autoSpaceDE/>
      <w:autoSpaceDN/>
      <w:adjustRightInd/>
      <w:spacing w:line="624" w:lineRule="exact"/>
    </w:pPr>
    <w:rPr>
      <w:rFonts w:ascii="黑体" w:hAnsi="黑体" w:eastAsia="黑体" w:cs="黑体"/>
      <w:spacing w:val="20"/>
      <w:sz w:val="30"/>
      <w:szCs w:val="30"/>
    </w:rPr>
  </w:style>
  <w:style w:type="character" w:customStyle="1" w:styleId="70">
    <w:name w:val="正文文本 + MingLiU"/>
    <w:basedOn w:val="68"/>
    <w:qFormat/>
    <w:uiPriority w:val="0"/>
    <w:rPr>
      <w:rFonts w:ascii="MingLiU" w:hAnsi="MingLiU" w:eastAsia="MingLiU" w:cs="MingLiU"/>
      <w:color w:val="000000"/>
      <w:spacing w:val="40"/>
      <w:w w:val="100"/>
      <w:position w:val="0"/>
      <w:sz w:val="27"/>
      <w:szCs w:val="27"/>
      <w:shd w:val="clear" w:color="auto" w:fill="FFFFFF"/>
      <w:lang w:val="zh-CN"/>
    </w:rPr>
  </w:style>
  <w:style w:type="paragraph" w:styleId="71">
    <w:name w:val="No Spacing"/>
    <w:qFormat/>
    <w:uiPriority w:val="1"/>
    <w:pPr>
      <w:widowControl w:val="0"/>
      <w:autoSpaceDE w:val="0"/>
      <w:autoSpaceDN w:val="0"/>
      <w:adjustRightInd w:val="0"/>
      <w:ind w:firstLine="200" w:firstLineChars="200"/>
    </w:pPr>
    <w:rPr>
      <w:rFonts w:ascii="Times New Roman" w:hAnsi="Times New Roman" w:eastAsia="宋体" w:cs="Times New Roman"/>
      <w:sz w:val="28"/>
      <w:szCs w:val="24"/>
      <w:lang w:val="en-US" w:eastAsia="zh-CN" w:bidi="ar-SA"/>
    </w:rPr>
  </w:style>
  <w:style w:type="paragraph" w:customStyle="1" w:styleId="72">
    <w:name w:val="表格"/>
    <w:basedOn w:val="16"/>
    <w:link w:val="80"/>
    <w:qFormat/>
    <w:uiPriority w:val="0"/>
    <w:pPr>
      <w:spacing w:line="240" w:lineRule="auto"/>
      <w:ind w:firstLine="0" w:firstLineChars="0"/>
      <w:jc w:val="center"/>
    </w:pPr>
    <w:rPr>
      <w:rFonts w:cs="Times New Roman"/>
      <w:sz w:val="21"/>
    </w:rPr>
  </w:style>
  <w:style w:type="character" w:customStyle="1" w:styleId="73">
    <w:name w:val="apple-converted-space"/>
    <w:basedOn w:val="41"/>
    <w:qFormat/>
    <w:uiPriority w:val="0"/>
  </w:style>
  <w:style w:type="paragraph" w:customStyle="1" w:styleId="74">
    <w:name w:val="样式 首行缩进:  2 字符"/>
    <w:basedOn w:val="1"/>
    <w:qFormat/>
    <w:uiPriority w:val="0"/>
    <w:pPr>
      <w:autoSpaceDE/>
      <w:autoSpaceDN/>
      <w:adjustRightInd/>
      <w:spacing w:line="360" w:lineRule="auto"/>
      <w:ind w:firstLine="480"/>
      <w:jc w:val="both"/>
    </w:pPr>
    <w:rPr>
      <w:rFonts w:ascii="宋体" w:hAnsi="宋体" w:cs="宋体"/>
      <w:sz w:val="24"/>
    </w:rPr>
  </w:style>
  <w:style w:type="paragraph" w:customStyle="1" w:styleId="75">
    <w:name w:val="一"/>
    <w:basedOn w:val="1"/>
    <w:qFormat/>
    <w:uiPriority w:val="0"/>
    <w:pPr>
      <w:autoSpaceDE/>
      <w:autoSpaceDN/>
      <w:adjustRightInd/>
      <w:spacing w:line="365" w:lineRule="atLeast"/>
      <w:ind w:firstLine="0" w:firstLineChars="0"/>
      <w:jc w:val="both"/>
      <w:textAlignment w:val="bottom"/>
    </w:pPr>
    <w:rPr>
      <w:sz w:val="20"/>
      <w:szCs w:val="20"/>
    </w:rPr>
  </w:style>
  <w:style w:type="paragraph" w:customStyle="1" w:styleId="76">
    <w:name w:val="标题 12"/>
    <w:basedOn w:val="1"/>
    <w:qFormat/>
    <w:uiPriority w:val="1"/>
    <w:pPr>
      <w:ind w:left="8003"/>
      <w:outlineLvl w:val="0"/>
    </w:pPr>
    <w:rPr>
      <w:rFonts w:ascii="宋体" w:cs="宋体"/>
      <w:b/>
      <w:bCs/>
      <w:sz w:val="32"/>
      <w:szCs w:val="32"/>
    </w:rPr>
  </w:style>
  <w:style w:type="paragraph" w:customStyle="1" w:styleId="77">
    <w:name w:val="标题 22"/>
    <w:basedOn w:val="1"/>
    <w:qFormat/>
    <w:uiPriority w:val="1"/>
    <w:pPr>
      <w:spacing w:before="135"/>
      <w:ind w:left="138"/>
      <w:outlineLvl w:val="1"/>
    </w:pPr>
    <w:rPr>
      <w:b/>
      <w:bCs/>
    </w:rPr>
  </w:style>
  <w:style w:type="paragraph" w:customStyle="1" w:styleId="78">
    <w:name w:val="列出段落1"/>
    <w:basedOn w:val="1"/>
    <w:qFormat/>
    <w:uiPriority w:val="34"/>
  </w:style>
  <w:style w:type="paragraph" w:customStyle="1" w:styleId="79">
    <w:name w:val="无间隔1"/>
    <w:qFormat/>
    <w:uiPriority w:val="1"/>
    <w:pPr>
      <w:widowControl w:val="0"/>
      <w:autoSpaceDE w:val="0"/>
      <w:autoSpaceDN w:val="0"/>
      <w:adjustRightInd w:val="0"/>
      <w:ind w:firstLine="200" w:firstLineChars="200"/>
    </w:pPr>
    <w:rPr>
      <w:rFonts w:ascii="Times New Roman" w:hAnsi="Times New Roman" w:eastAsia="宋体" w:cs="Times New Roman"/>
      <w:sz w:val="28"/>
      <w:szCs w:val="24"/>
      <w:lang w:val="en-US" w:eastAsia="zh-CN" w:bidi="ar-SA"/>
    </w:rPr>
  </w:style>
  <w:style w:type="character" w:customStyle="1" w:styleId="80">
    <w:name w:val="表格 Char Char"/>
    <w:link w:val="72"/>
    <w:qFormat/>
    <w:uiPriority w:val="0"/>
    <w:rPr>
      <w:rFonts w:ascii="Times New Roman" w:hAnsi="Times New Roman"/>
      <w:sz w:val="21"/>
      <w:szCs w:val="24"/>
    </w:rPr>
  </w:style>
  <w:style w:type="paragraph" w:customStyle="1" w:styleId="81">
    <w:name w:val="表中文字"/>
    <w:basedOn w:val="1"/>
    <w:link w:val="82"/>
    <w:qFormat/>
    <w:uiPriority w:val="0"/>
    <w:pPr>
      <w:autoSpaceDE/>
      <w:autoSpaceDN/>
      <w:adjustRightInd/>
      <w:spacing w:line="240" w:lineRule="auto"/>
      <w:ind w:firstLine="0" w:firstLineChars="0"/>
      <w:jc w:val="both"/>
    </w:pPr>
    <w:rPr>
      <w:kern w:val="2"/>
      <w:sz w:val="21"/>
    </w:rPr>
  </w:style>
  <w:style w:type="character" w:customStyle="1" w:styleId="82">
    <w:name w:val="表中文字 Char"/>
    <w:link w:val="81"/>
    <w:qFormat/>
    <w:uiPriority w:val="0"/>
    <w:rPr>
      <w:rFonts w:ascii="Times New Roman" w:hAnsi="Times New Roman"/>
      <w:kern w:val="2"/>
      <w:sz w:val="21"/>
      <w:szCs w:val="24"/>
    </w:rPr>
  </w:style>
  <w:style w:type="paragraph" w:customStyle="1" w:styleId="83">
    <w:name w:val="标题 31"/>
    <w:basedOn w:val="1"/>
    <w:qFormat/>
    <w:uiPriority w:val="1"/>
    <w:pPr>
      <w:autoSpaceDE/>
      <w:autoSpaceDN/>
      <w:adjustRightInd/>
      <w:spacing w:before="169" w:line="240" w:lineRule="auto"/>
      <w:ind w:left="679" w:firstLine="0" w:firstLineChars="0"/>
      <w:outlineLvl w:val="3"/>
    </w:pPr>
    <w:rPr>
      <w:rFonts w:ascii="宋体" w:hAnsi="宋体" w:cstheme="minorBidi"/>
      <w:b/>
      <w:bCs/>
      <w:szCs w:val="28"/>
      <w:lang w:eastAsia="en-US"/>
    </w:rPr>
  </w:style>
  <w:style w:type="table" w:customStyle="1" w:styleId="84">
    <w:name w:val="Table Normal1"/>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85">
    <w:name w:val="Table Normal2"/>
    <w:semiHidden/>
    <w:unhideWhenUsed/>
    <w:qFormat/>
    <w:uiPriority w:val="2"/>
    <w:pPr>
      <w:widowControl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table" w:customStyle="1" w:styleId="86">
    <w:name w:val="Table Normal3"/>
    <w:semiHidden/>
    <w:unhideWhenUsed/>
    <w:qFormat/>
    <w:uiPriority w:val="2"/>
    <w:pPr>
      <w:widowControl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table" w:customStyle="1" w:styleId="87">
    <w:name w:val="Table Normal4"/>
    <w:semiHidden/>
    <w:unhideWhenUsed/>
    <w:qFormat/>
    <w:uiPriority w:val="2"/>
    <w:pPr>
      <w:widowControl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table" w:customStyle="1" w:styleId="88">
    <w:name w:val="Table Normal5"/>
    <w:semiHidden/>
    <w:unhideWhenUsed/>
    <w:qFormat/>
    <w:uiPriority w:val="2"/>
    <w:pPr>
      <w:widowControl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89">
    <w:name w:val="目录 41"/>
    <w:basedOn w:val="1"/>
    <w:qFormat/>
    <w:uiPriority w:val="1"/>
    <w:pPr>
      <w:autoSpaceDE/>
      <w:autoSpaceDN/>
      <w:adjustRightInd/>
      <w:spacing w:before="236" w:line="240" w:lineRule="auto"/>
      <w:ind w:left="1780" w:firstLine="0" w:firstLineChars="0"/>
    </w:pPr>
    <w:rPr>
      <w:rFonts w:eastAsia="Times New Roman" w:cstheme="minorBidi"/>
      <w:szCs w:val="28"/>
      <w:lang w:eastAsia="en-US"/>
    </w:rPr>
  </w:style>
  <w:style w:type="paragraph" w:customStyle="1" w:styleId="90">
    <w:name w:val="Default"/>
    <w:qFormat/>
    <w:uiPriority w:val="0"/>
    <w:pPr>
      <w:widowControl w:val="0"/>
      <w:autoSpaceDE w:val="0"/>
      <w:autoSpaceDN w:val="0"/>
      <w:adjustRightInd w:val="0"/>
    </w:pPr>
    <w:rPr>
      <w:rFonts w:ascii="仿宋" w:hAnsi="Calibri" w:eastAsia="仿宋" w:cs="仿宋"/>
      <w:color w:val="000000"/>
      <w:sz w:val="24"/>
      <w:szCs w:val="24"/>
      <w:lang w:val="en-US" w:eastAsia="zh-CN" w:bidi="ar-SA"/>
    </w:rPr>
  </w:style>
  <w:style w:type="character" w:customStyle="1" w:styleId="91">
    <w:name w:val="description"/>
    <w:basedOn w:val="41"/>
    <w:qFormat/>
    <w:uiPriority w:val="0"/>
  </w:style>
  <w:style w:type="paragraph" w:customStyle="1" w:styleId="92">
    <w:name w:val="p15"/>
    <w:basedOn w:val="1"/>
    <w:qFormat/>
    <w:uiPriority w:val="0"/>
    <w:pPr>
      <w:widowControl/>
      <w:autoSpaceDE/>
      <w:autoSpaceDN/>
      <w:adjustRightInd/>
      <w:spacing w:before="100" w:beforeAutospacing="1" w:after="100" w:afterAutospacing="1" w:line="240" w:lineRule="auto"/>
      <w:ind w:firstLine="0" w:firstLineChars="0"/>
    </w:pPr>
    <w:rPr>
      <w:rFonts w:ascii="宋体" w:hAnsi="宋体" w:cs="宋体"/>
      <w:sz w:val="24"/>
    </w:rPr>
  </w:style>
  <w:style w:type="paragraph" w:customStyle="1" w:styleId="93">
    <w:name w:val="图表题目(居中)"/>
    <w:basedOn w:val="1"/>
    <w:next w:val="1"/>
    <w:qFormat/>
    <w:uiPriority w:val="0"/>
    <w:pPr>
      <w:autoSpaceDE/>
      <w:autoSpaceDN/>
      <w:snapToGrid w:val="0"/>
      <w:spacing w:line="360" w:lineRule="auto"/>
      <w:ind w:firstLine="0" w:firstLineChars="0"/>
      <w:jc w:val="center"/>
    </w:pPr>
    <w:rPr>
      <w:rFonts w:cs="宋体"/>
      <w:bCs/>
      <w:spacing w:val="4"/>
      <w:kern w:val="2"/>
      <w:sz w:val="24"/>
    </w:rPr>
  </w:style>
  <w:style w:type="paragraph" w:customStyle="1" w:styleId="94">
    <w:name w:val="公式"/>
    <w:basedOn w:val="1"/>
    <w:qFormat/>
    <w:uiPriority w:val="0"/>
    <w:pPr>
      <w:autoSpaceDE/>
      <w:autoSpaceDN/>
      <w:snapToGrid w:val="0"/>
      <w:spacing w:line="240" w:lineRule="auto"/>
      <w:ind w:firstLine="0" w:firstLineChars="0"/>
      <w:jc w:val="right"/>
      <w:outlineLvl w:val="0"/>
    </w:pPr>
    <w:rPr>
      <w:rFonts w:cs="宋体"/>
      <w:kern w:val="2"/>
      <w:sz w:val="24"/>
    </w:rPr>
  </w:style>
  <w:style w:type="character" w:customStyle="1" w:styleId="95">
    <w:name w:val="样式 (中文) 仿宋_GB2312 四号"/>
    <w:basedOn w:val="41"/>
    <w:qFormat/>
    <w:uiPriority w:val="0"/>
    <w:rPr>
      <w:rFonts w:eastAsia="宋体"/>
      <w:sz w:val="28"/>
    </w:rPr>
  </w:style>
  <w:style w:type="paragraph" w:customStyle="1" w:styleId="96">
    <w:name w:val="表"/>
    <w:basedOn w:val="1"/>
    <w:qFormat/>
    <w:uiPriority w:val="99"/>
    <w:pPr>
      <w:widowControl/>
      <w:autoSpaceDE/>
      <w:autoSpaceDN/>
      <w:snapToGrid w:val="0"/>
      <w:spacing w:line="240" w:lineRule="auto"/>
      <w:ind w:firstLine="0" w:firstLineChars="0"/>
      <w:jc w:val="center"/>
      <w:textAlignment w:val="center"/>
    </w:pPr>
    <w:rPr>
      <w:rFonts w:cs="宋体"/>
      <w:sz w:val="21"/>
      <w:szCs w:val="21"/>
    </w:rPr>
  </w:style>
  <w:style w:type="paragraph" w:customStyle="1" w:styleId="97">
    <w:name w:val="本项目正文"/>
    <w:link w:val="98"/>
    <w:qFormat/>
    <w:uiPriority w:val="99"/>
    <w:pPr>
      <w:spacing w:line="360" w:lineRule="auto"/>
      <w:ind w:firstLine="200" w:firstLineChars="200"/>
      <w:jc w:val="both"/>
    </w:pPr>
    <w:rPr>
      <w:rFonts w:ascii="Times New Roman" w:hAnsi="Times New Roman" w:eastAsia="宋体" w:cs="Times New Roman"/>
      <w:bCs/>
      <w:kern w:val="44"/>
      <w:sz w:val="24"/>
      <w:szCs w:val="44"/>
      <w:lang w:val="en-US" w:eastAsia="zh-CN" w:bidi="ar-SA"/>
    </w:rPr>
  </w:style>
  <w:style w:type="character" w:customStyle="1" w:styleId="98">
    <w:name w:val="本项目正文 Char"/>
    <w:link w:val="97"/>
    <w:qFormat/>
    <w:locked/>
    <w:uiPriority w:val="99"/>
    <w:rPr>
      <w:rFonts w:ascii="Times New Roman" w:hAnsi="Times New Roman"/>
      <w:bCs/>
      <w:kern w:val="44"/>
      <w:sz w:val="24"/>
      <w:szCs w:val="44"/>
    </w:rPr>
  </w:style>
  <w:style w:type="paragraph" w:customStyle="1" w:styleId="99">
    <w:name w:val="标题3"/>
    <w:basedOn w:val="1"/>
    <w:next w:val="1"/>
    <w:link w:val="100"/>
    <w:qFormat/>
    <w:uiPriority w:val="0"/>
    <w:pPr>
      <w:autoSpaceDE/>
      <w:autoSpaceDN/>
      <w:adjustRightInd/>
      <w:spacing w:line="360" w:lineRule="auto"/>
      <w:ind w:firstLine="0" w:firstLineChars="0"/>
      <w:jc w:val="both"/>
      <w:outlineLvl w:val="2"/>
    </w:pPr>
    <w:rPr>
      <w:b/>
    </w:rPr>
  </w:style>
  <w:style w:type="character" w:customStyle="1" w:styleId="100">
    <w:name w:val="标题3 Char"/>
    <w:link w:val="99"/>
    <w:qFormat/>
    <w:locked/>
    <w:uiPriority w:val="0"/>
    <w:rPr>
      <w:rFonts w:ascii="Times New Roman" w:hAnsi="Times New Roman"/>
      <w:b/>
      <w:sz w:val="28"/>
      <w:szCs w:val="24"/>
    </w:rPr>
  </w:style>
  <w:style w:type="paragraph" w:customStyle="1" w:styleId="101">
    <w:name w:val="表正文2"/>
    <w:link w:val="102"/>
    <w:qFormat/>
    <w:uiPriority w:val="0"/>
    <w:pPr>
      <w:adjustRightInd w:val="0"/>
      <w:snapToGrid w:val="0"/>
      <w:spacing w:line="360" w:lineRule="auto"/>
      <w:jc w:val="center"/>
    </w:pPr>
    <w:rPr>
      <w:rFonts w:ascii="Times New Roman" w:hAnsi="Times New Roman" w:eastAsia="宋体" w:cs="Times New Roman"/>
      <w:sz w:val="24"/>
      <w:szCs w:val="24"/>
      <w:lang w:val="en-US" w:eastAsia="zh-CN" w:bidi="ar-SA"/>
    </w:rPr>
  </w:style>
  <w:style w:type="character" w:customStyle="1" w:styleId="102">
    <w:name w:val="表正文2 Char"/>
    <w:link w:val="101"/>
    <w:qFormat/>
    <w:uiPriority w:val="0"/>
    <w:rPr>
      <w:rFonts w:ascii="Times New Roman" w:hAnsi="Times New Roman"/>
      <w:sz w:val="24"/>
      <w:szCs w:val="24"/>
    </w:rPr>
  </w:style>
  <w:style w:type="paragraph" w:customStyle="1" w:styleId="103">
    <w:name w:val="标题4"/>
    <w:basedOn w:val="5"/>
    <w:link w:val="104"/>
    <w:qFormat/>
    <w:uiPriority w:val="0"/>
    <w:pPr>
      <w:keepNext w:val="0"/>
      <w:keepLines w:val="0"/>
      <w:widowControl/>
      <w:autoSpaceDE/>
      <w:autoSpaceDN/>
      <w:snapToGrid w:val="0"/>
      <w:spacing w:before="120" w:after="120"/>
      <w:ind w:firstLine="200"/>
    </w:pPr>
  </w:style>
  <w:style w:type="character" w:customStyle="1" w:styleId="104">
    <w:name w:val="标题4 Char1"/>
    <w:link w:val="103"/>
    <w:qFormat/>
    <w:uiPriority w:val="0"/>
    <w:rPr>
      <w:rFonts w:ascii="Times New Roman" w:hAnsi="Times New Roman"/>
      <w:b/>
      <w:bCs/>
      <w:sz w:val="28"/>
      <w:szCs w:val="28"/>
    </w:rPr>
  </w:style>
  <w:style w:type="paragraph" w:customStyle="1" w:styleId="105">
    <w:name w:val="图表标题"/>
    <w:basedOn w:val="13"/>
    <w:link w:val="106"/>
    <w:qFormat/>
    <w:uiPriority w:val="0"/>
    <w:pPr>
      <w:widowControl/>
      <w:autoSpaceDE/>
      <w:autoSpaceDN/>
      <w:snapToGrid w:val="0"/>
      <w:spacing w:beforeLines="50" w:afterLines="30" w:line="360" w:lineRule="auto"/>
      <w:ind w:firstLine="0" w:firstLineChars="0"/>
      <w:jc w:val="center"/>
    </w:pPr>
    <w:rPr>
      <w:rFonts w:ascii="Times New Roman" w:hAnsi="Times New Roman" w:eastAsia="宋体" w:cs="Times New Roman"/>
      <w:b/>
      <w:kern w:val="2"/>
      <w:sz w:val="24"/>
    </w:rPr>
  </w:style>
  <w:style w:type="character" w:customStyle="1" w:styleId="106">
    <w:name w:val="图表标题 Char"/>
    <w:link w:val="105"/>
    <w:qFormat/>
    <w:uiPriority w:val="0"/>
    <w:rPr>
      <w:rFonts w:ascii="Times New Roman" w:hAnsi="Times New Roman"/>
      <w:b/>
      <w:kern w:val="2"/>
      <w:sz w:val="24"/>
    </w:rPr>
  </w:style>
  <w:style w:type="paragraph" w:customStyle="1" w:styleId="107">
    <w:name w:val="标题2"/>
    <w:basedOn w:val="3"/>
    <w:link w:val="108"/>
    <w:qFormat/>
    <w:uiPriority w:val="0"/>
    <w:pPr>
      <w:keepNext w:val="0"/>
      <w:keepLines w:val="0"/>
      <w:widowControl/>
      <w:autoSpaceDE/>
      <w:autoSpaceDN/>
      <w:snapToGrid w:val="0"/>
      <w:spacing w:beforeLines="150" w:afterLines="100" w:line="360" w:lineRule="auto"/>
      <w:ind w:firstLine="0" w:firstLineChars="0"/>
    </w:pPr>
    <w:rPr>
      <w:rFonts w:ascii="Times New Roman" w:hAnsi="Times New Roman" w:eastAsia="华文细黑"/>
      <w:bCs w:val="0"/>
      <w:color w:val="000000"/>
      <w:sz w:val="32"/>
    </w:rPr>
  </w:style>
  <w:style w:type="character" w:customStyle="1" w:styleId="108">
    <w:name w:val="标题2 Char"/>
    <w:link w:val="107"/>
    <w:qFormat/>
    <w:uiPriority w:val="0"/>
    <w:rPr>
      <w:rFonts w:ascii="Times New Roman" w:hAnsi="Times New Roman" w:eastAsia="华文细黑"/>
      <w:b/>
      <w:color w:val="000000"/>
      <w:sz w:val="32"/>
      <w:szCs w:val="32"/>
    </w:rPr>
  </w:style>
  <w:style w:type="character" w:customStyle="1" w:styleId="109">
    <w:name w:val="fontstyle01"/>
    <w:qFormat/>
    <w:uiPriority w:val="0"/>
    <w:rPr>
      <w:rFonts w:hint="eastAsia" w:ascii="仿宋_GB2312" w:eastAsia="仿宋_GB2312"/>
      <w:color w:val="000000"/>
      <w:sz w:val="32"/>
      <w:szCs w:val="32"/>
    </w:rPr>
  </w:style>
  <w:style w:type="character" w:customStyle="1" w:styleId="110">
    <w:name w:val="标题 5 字符2"/>
    <w:basedOn w:val="41"/>
    <w:link w:val="6"/>
    <w:qFormat/>
    <w:uiPriority w:val="0"/>
    <w:rPr>
      <w:rFonts w:ascii="Times New Roman" w:hAnsi="Times New Roman"/>
      <w:b/>
      <w:bCs/>
      <w:sz w:val="28"/>
      <w:szCs w:val="28"/>
    </w:rPr>
  </w:style>
  <w:style w:type="character" w:customStyle="1" w:styleId="111">
    <w:name w:val="标题 6 字符2"/>
    <w:basedOn w:val="41"/>
    <w:link w:val="7"/>
    <w:qFormat/>
    <w:uiPriority w:val="0"/>
    <w:rPr>
      <w:rFonts w:ascii="Arial" w:hAnsi="Arial" w:eastAsia="黑体"/>
      <w:b/>
      <w:color w:val="000000"/>
      <w:sz w:val="24"/>
    </w:rPr>
  </w:style>
  <w:style w:type="character" w:customStyle="1" w:styleId="112">
    <w:name w:val="标题 7 字符2"/>
    <w:basedOn w:val="41"/>
    <w:link w:val="8"/>
    <w:qFormat/>
    <w:uiPriority w:val="99"/>
    <w:rPr>
      <w:rFonts w:ascii="Times New Roman" w:hAnsi="Times New Roman"/>
      <w:b/>
      <w:color w:val="000000"/>
      <w:sz w:val="24"/>
    </w:rPr>
  </w:style>
  <w:style w:type="character" w:customStyle="1" w:styleId="113">
    <w:name w:val="标题 8 字符2"/>
    <w:basedOn w:val="41"/>
    <w:link w:val="9"/>
    <w:qFormat/>
    <w:uiPriority w:val="99"/>
    <w:rPr>
      <w:rFonts w:ascii="Times New Roman" w:hAnsi="Times New Roman"/>
      <w:color w:val="7030A0"/>
      <w:sz w:val="24"/>
    </w:rPr>
  </w:style>
  <w:style w:type="character" w:customStyle="1" w:styleId="114">
    <w:name w:val="标题 9 字符2"/>
    <w:basedOn w:val="41"/>
    <w:link w:val="10"/>
    <w:uiPriority w:val="9"/>
    <w:rPr>
      <w:rFonts w:ascii="Cambria" w:hAnsi="Cambria"/>
      <w:sz w:val="21"/>
      <w:szCs w:val="21"/>
    </w:rPr>
  </w:style>
  <w:style w:type="character" w:customStyle="1" w:styleId="115">
    <w:name w:val="题注 字符2"/>
    <w:link w:val="13"/>
    <w:uiPriority w:val="0"/>
    <w:rPr>
      <w:rFonts w:eastAsia="黑体" w:asciiTheme="majorHAnsi" w:hAnsiTheme="majorHAnsi" w:cstheme="majorBidi"/>
    </w:rPr>
  </w:style>
  <w:style w:type="character" w:customStyle="1" w:styleId="116">
    <w:name w:val="标题 字符2"/>
    <w:basedOn w:val="41"/>
    <w:link w:val="37"/>
    <w:qFormat/>
    <w:uiPriority w:val="99"/>
    <w:rPr>
      <w:rFonts w:ascii="宋体" w:hAnsi="宋体"/>
      <w:bCs/>
      <w:sz w:val="24"/>
      <w:szCs w:val="32"/>
    </w:rPr>
  </w:style>
  <w:style w:type="character" w:customStyle="1" w:styleId="117">
    <w:name w:val="副标题 字符2"/>
    <w:basedOn w:val="41"/>
    <w:link w:val="30"/>
    <w:qFormat/>
    <w:uiPriority w:val="0"/>
    <w:rPr>
      <w:rFonts w:ascii="Cambria" w:hAnsi="Cambria"/>
      <w:b/>
      <w:bCs/>
      <w:kern w:val="28"/>
      <w:szCs w:val="32"/>
    </w:rPr>
  </w:style>
  <w:style w:type="paragraph" w:customStyle="1" w:styleId="118">
    <w:name w:val="TOC 标题1"/>
    <w:basedOn w:val="2"/>
    <w:next w:val="1"/>
    <w:qFormat/>
    <w:uiPriority w:val="39"/>
    <w:pPr>
      <w:widowControl/>
      <w:autoSpaceDE/>
      <w:autoSpaceDN/>
      <w:adjustRightInd/>
      <w:spacing w:beforeLines="0" w:line="276" w:lineRule="auto"/>
      <w:ind w:firstLine="0" w:firstLineChars="0"/>
      <w:jc w:val="left"/>
      <w:outlineLvl w:val="9"/>
    </w:pPr>
    <w:rPr>
      <w:rFonts w:ascii="Cambria" w:hAnsi="Cambria"/>
      <w:color w:val="365F91"/>
      <w:kern w:val="0"/>
      <w:sz w:val="28"/>
      <w:szCs w:val="28"/>
    </w:rPr>
  </w:style>
  <w:style w:type="paragraph" w:customStyle="1" w:styleId="119">
    <w:name w:val="章名"/>
    <w:next w:val="1"/>
    <w:link w:val="215"/>
    <w:qFormat/>
    <w:uiPriority w:val="0"/>
    <w:pPr>
      <w:spacing w:beforeLines="70" w:afterLines="70"/>
      <w:jc w:val="center"/>
      <w:outlineLvl w:val="0"/>
    </w:pPr>
    <w:rPr>
      <w:rFonts w:ascii="Times New Roman" w:hAnsi="Times New Roman" w:eastAsia="黑体" w:cs="Times New Roman"/>
      <w:sz w:val="36"/>
      <w:szCs w:val="24"/>
      <w:lang w:val="en-US" w:eastAsia="zh-CN" w:bidi="ar-SA"/>
    </w:rPr>
  </w:style>
  <w:style w:type="paragraph" w:customStyle="1" w:styleId="120">
    <w:name w:val="文题1"/>
    <w:basedOn w:val="1"/>
    <w:link w:val="121"/>
    <w:qFormat/>
    <w:uiPriority w:val="0"/>
    <w:pPr>
      <w:widowControl/>
      <w:autoSpaceDE/>
      <w:autoSpaceDN/>
      <w:snapToGrid w:val="0"/>
      <w:spacing w:beforeLines="50" w:line="360" w:lineRule="auto"/>
      <w:ind w:firstLine="1120"/>
      <w:jc w:val="center"/>
    </w:pPr>
    <w:rPr>
      <w:rFonts w:eastAsia="黑体"/>
      <w:bCs/>
      <w:sz w:val="56"/>
      <w:szCs w:val="56"/>
    </w:rPr>
  </w:style>
  <w:style w:type="character" w:customStyle="1" w:styleId="121">
    <w:name w:val="文题1 Char"/>
    <w:link w:val="120"/>
    <w:qFormat/>
    <w:uiPriority w:val="0"/>
    <w:rPr>
      <w:rFonts w:ascii="Times New Roman" w:hAnsi="Times New Roman" w:eastAsia="黑体"/>
      <w:bCs/>
      <w:sz w:val="56"/>
      <w:szCs w:val="56"/>
    </w:rPr>
  </w:style>
  <w:style w:type="paragraph" w:customStyle="1" w:styleId="122">
    <w:name w:val="标题1"/>
    <w:basedOn w:val="2"/>
    <w:link w:val="123"/>
    <w:qFormat/>
    <w:uiPriority w:val="0"/>
    <w:pPr>
      <w:keepNext w:val="0"/>
      <w:keepLines w:val="0"/>
      <w:widowControl/>
      <w:autoSpaceDE/>
      <w:autoSpaceDN/>
      <w:snapToGrid w:val="0"/>
      <w:spacing w:beforeLines="150" w:afterLines="150"/>
      <w:ind w:firstLine="0" w:firstLineChars="0"/>
    </w:pPr>
    <w:rPr>
      <w:rFonts w:eastAsia="华文细黑"/>
      <w:color w:val="000000"/>
      <w:sz w:val="32"/>
      <w:szCs w:val="32"/>
    </w:rPr>
  </w:style>
  <w:style w:type="character" w:customStyle="1" w:styleId="123">
    <w:name w:val="标题1 Char"/>
    <w:link w:val="122"/>
    <w:qFormat/>
    <w:uiPriority w:val="0"/>
    <w:rPr>
      <w:rFonts w:ascii="Times New Roman" w:hAnsi="Times New Roman" w:eastAsia="华文细黑"/>
      <w:b/>
      <w:bCs/>
      <w:color w:val="000000"/>
      <w:kern w:val="44"/>
      <w:sz w:val="32"/>
      <w:szCs w:val="32"/>
    </w:rPr>
  </w:style>
  <w:style w:type="paragraph" w:customStyle="1" w:styleId="124">
    <w:name w:val="新标题 3"/>
    <w:next w:val="1"/>
    <w:qFormat/>
    <w:uiPriority w:val="99"/>
    <w:pPr>
      <w:spacing w:beforeLines="50" w:afterLines="50"/>
      <w:outlineLvl w:val="3"/>
    </w:pPr>
    <w:rPr>
      <w:rFonts w:ascii="Times New Roman" w:hAnsi="Times New Roman" w:eastAsia="宋体" w:cs="Times New Roman"/>
      <w:b/>
      <w:sz w:val="24"/>
      <w:szCs w:val="24"/>
      <w:lang w:val="en-US" w:eastAsia="zh-CN" w:bidi="ar-SA"/>
    </w:rPr>
  </w:style>
  <w:style w:type="paragraph" w:customStyle="1" w:styleId="125">
    <w:name w:val="2级标题"/>
    <w:basedOn w:val="1"/>
    <w:link w:val="126"/>
    <w:qFormat/>
    <w:uiPriority w:val="0"/>
    <w:pPr>
      <w:widowControl/>
      <w:autoSpaceDE/>
      <w:autoSpaceDN/>
      <w:snapToGrid w:val="0"/>
      <w:spacing w:beforeLines="50" w:afterLines="50" w:line="360" w:lineRule="auto"/>
      <w:outlineLvl w:val="1"/>
    </w:pPr>
    <w:rPr>
      <w:b/>
      <w:sz w:val="32"/>
    </w:rPr>
  </w:style>
  <w:style w:type="character" w:customStyle="1" w:styleId="126">
    <w:name w:val="2级标题 Char"/>
    <w:link w:val="125"/>
    <w:uiPriority w:val="0"/>
    <w:rPr>
      <w:rFonts w:ascii="Times New Roman" w:hAnsi="Times New Roman"/>
      <w:b/>
      <w:sz w:val="32"/>
      <w:szCs w:val="24"/>
    </w:rPr>
  </w:style>
  <w:style w:type="paragraph" w:customStyle="1" w:styleId="127">
    <w:name w:val="新表名"/>
    <w:next w:val="101"/>
    <w:qFormat/>
    <w:uiPriority w:val="99"/>
    <w:pPr>
      <w:spacing w:beforeLines="30" w:afterLines="10"/>
      <w:jc w:val="center"/>
    </w:pPr>
    <w:rPr>
      <w:rFonts w:ascii="Times New Roman" w:hAnsi="Times New Roman" w:eastAsia="宋体" w:cs="Times New Roman"/>
      <w:b/>
      <w:sz w:val="24"/>
      <w:szCs w:val="21"/>
      <w:lang w:val="en-US" w:eastAsia="zh-CN" w:bidi="ar-SA"/>
    </w:rPr>
  </w:style>
  <w:style w:type="paragraph" w:customStyle="1" w:styleId="128">
    <w:name w:val="正文样式1"/>
    <w:basedOn w:val="1"/>
    <w:link w:val="129"/>
    <w:qFormat/>
    <w:uiPriority w:val="0"/>
    <w:pPr>
      <w:widowControl/>
      <w:autoSpaceDE/>
      <w:autoSpaceDN/>
      <w:snapToGrid w:val="0"/>
      <w:spacing w:beforeLines="50" w:line="360" w:lineRule="auto"/>
    </w:pPr>
    <w:rPr>
      <w:snapToGrid w:val="0"/>
      <w:szCs w:val="20"/>
    </w:rPr>
  </w:style>
  <w:style w:type="character" w:customStyle="1" w:styleId="129">
    <w:name w:val="正文样式1 Char"/>
    <w:link w:val="128"/>
    <w:qFormat/>
    <w:uiPriority w:val="0"/>
    <w:rPr>
      <w:rFonts w:ascii="Times New Roman" w:hAnsi="Times New Roman"/>
      <w:snapToGrid w:val="0"/>
      <w:sz w:val="28"/>
    </w:rPr>
  </w:style>
  <w:style w:type="paragraph" w:customStyle="1" w:styleId="130">
    <w:name w:val="新正文"/>
    <w:link w:val="131"/>
    <w:qFormat/>
    <w:uiPriority w:val="0"/>
    <w:pPr>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131">
    <w:name w:val="新正文 Char"/>
    <w:link w:val="130"/>
    <w:qFormat/>
    <w:uiPriority w:val="0"/>
    <w:rPr>
      <w:rFonts w:ascii="Times New Roman" w:hAnsi="Times New Roman"/>
      <w:kern w:val="2"/>
      <w:sz w:val="24"/>
      <w:szCs w:val="24"/>
    </w:rPr>
  </w:style>
  <w:style w:type="paragraph" w:customStyle="1" w:styleId="132">
    <w:name w:val="标题 51"/>
    <w:basedOn w:val="1"/>
    <w:qFormat/>
    <w:uiPriority w:val="1"/>
    <w:pPr>
      <w:adjustRightInd/>
      <w:spacing w:beforeLines="50" w:line="240" w:lineRule="auto"/>
      <w:ind w:left="860" w:hanging="240" w:firstLineChars="0"/>
      <w:outlineLvl w:val="5"/>
    </w:pPr>
    <w:rPr>
      <w:rFonts w:ascii="宋体" w:hAnsi="宋体" w:cs="宋体"/>
      <w:b/>
      <w:bCs/>
      <w:color w:val="000000"/>
      <w:sz w:val="24"/>
      <w:lang w:eastAsia="en-US"/>
    </w:rPr>
  </w:style>
  <w:style w:type="paragraph" w:customStyle="1" w:styleId="133">
    <w:name w:val="标题 41"/>
    <w:basedOn w:val="1"/>
    <w:uiPriority w:val="1"/>
    <w:pPr>
      <w:adjustRightInd/>
      <w:spacing w:beforeLines="50" w:line="240" w:lineRule="auto"/>
      <w:ind w:left="667" w:hanging="288" w:firstLineChars="0"/>
      <w:outlineLvl w:val="4"/>
    </w:pPr>
    <w:rPr>
      <w:rFonts w:ascii="宋体" w:hAnsi="宋体" w:cs="宋体"/>
      <w:color w:val="000000"/>
      <w:szCs w:val="28"/>
      <w:lang w:eastAsia="en-US"/>
    </w:rPr>
  </w:style>
  <w:style w:type="character" w:customStyle="1" w:styleId="134">
    <w:name w:val="批注文字 字符2"/>
    <w:basedOn w:val="41"/>
    <w:link w:val="15"/>
    <w:qFormat/>
    <w:uiPriority w:val="99"/>
    <w:rPr>
      <w:rFonts w:ascii="Times New Roman" w:hAnsi="Times New Roman"/>
      <w:sz w:val="24"/>
    </w:rPr>
  </w:style>
  <w:style w:type="character" w:customStyle="1" w:styleId="135">
    <w:name w:val="批注主题 字符2"/>
    <w:basedOn w:val="134"/>
    <w:link w:val="38"/>
    <w:qFormat/>
    <w:uiPriority w:val="99"/>
    <w:rPr>
      <w:rFonts w:ascii="Times New Roman" w:hAnsi="Times New Roman"/>
      <w:b/>
      <w:bCs/>
      <w:sz w:val="24"/>
    </w:rPr>
  </w:style>
  <w:style w:type="character" w:customStyle="1" w:styleId="136">
    <w:name w:val="普通(网站) 字符1"/>
    <w:link w:val="36"/>
    <w:qFormat/>
    <w:locked/>
    <w:uiPriority w:val="99"/>
    <w:rPr>
      <w:rFonts w:ascii="宋体" w:hAnsi="宋体" w:cs="宋体"/>
      <w:sz w:val="24"/>
      <w:szCs w:val="24"/>
    </w:rPr>
  </w:style>
  <w:style w:type="paragraph" w:customStyle="1" w:styleId="137">
    <w:name w:val="样式 zw正文 + 首行缩进:  2 字符 段前: 3.9 磅"/>
    <w:basedOn w:val="1"/>
    <w:uiPriority w:val="99"/>
    <w:pPr>
      <w:autoSpaceDE/>
      <w:autoSpaceDN/>
      <w:adjustRightInd/>
      <w:spacing w:beforeLines="50" w:line="500" w:lineRule="exact"/>
      <w:jc w:val="both"/>
    </w:pPr>
    <w:rPr>
      <w:rFonts w:eastAsia="华文中宋"/>
      <w:color w:val="000000"/>
      <w:kern w:val="2"/>
      <w:sz w:val="24"/>
      <w:szCs w:val="20"/>
    </w:rPr>
  </w:style>
  <w:style w:type="character" w:customStyle="1" w:styleId="138">
    <w:name w:val="正文hxf Char"/>
    <w:link w:val="139"/>
    <w:qFormat/>
    <w:locked/>
    <w:uiPriority w:val="0"/>
    <w:rPr>
      <w:rFonts w:ascii="Times New Roman" w:hAnsi="Times New Roman"/>
      <w:sz w:val="24"/>
      <w:szCs w:val="24"/>
    </w:rPr>
  </w:style>
  <w:style w:type="paragraph" w:customStyle="1" w:styleId="139">
    <w:name w:val="正文hxf"/>
    <w:basedOn w:val="1"/>
    <w:link w:val="138"/>
    <w:qFormat/>
    <w:uiPriority w:val="0"/>
    <w:pPr>
      <w:widowControl/>
      <w:autoSpaceDE/>
      <w:autoSpaceDN/>
      <w:snapToGrid w:val="0"/>
      <w:spacing w:beforeLines="50" w:line="360" w:lineRule="auto"/>
      <w:ind w:firstLine="482"/>
    </w:pPr>
    <w:rPr>
      <w:sz w:val="24"/>
    </w:rPr>
  </w:style>
  <w:style w:type="character" w:customStyle="1" w:styleId="140">
    <w:name w:val="11p1"/>
    <w:qFormat/>
    <w:uiPriority w:val="0"/>
    <w:rPr>
      <w:sz w:val="23"/>
      <w:szCs w:val="23"/>
    </w:rPr>
  </w:style>
  <w:style w:type="character" w:customStyle="1" w:styleId="141">
    <w:name w:val="日期 Char1"/>
    <w:qFormat/>
    <w:uiPriority w:val="0"/>
    <w:rPr>
      <w:kern w:val="2"/>
      <w:sz w:val="21"/>
      <w:szCs w:val="24"/>
    </w:rPr>
  </w:style>
  <w:style w:type="character" w:customStyle="1" w:styleId="142">
    <w:name w:val="表名 Char"/>
    <w:link w:val="143"/>
    <w:qFormat/>
    <w:uiPriority w:val="0"/>
    <w:rPr>
      <w:rFonts w:ascii="Times New Roman" w:hAnsi="Times New Roman"/>
      <w:b/>
      <w:bCs/>
      <w:sz w:val="24"/>
      <w:szCs w:val="24"/>
    </w:rPr>
  </w:style>
  <w:style w:type="paragraph" w:customStyle="1" w:styleId="143">
    <w:name w:val="表名"/>
    <w:basedOn w:val="1"/>
    <w:link w:val="142"/>
    <w:qFormat/>
    <w:uiPriority w:val="0"/>
    <w:pPr>
      <w:widowControl/>
      <w:autoSpaceDE/>
      <w:autoSpaceDN/>
      <w:snapToGrid w:val="0"/>
      <w:spacing w:beforeLines="50" w:line="360" w:lineRule="auto"/>
      <w:jc w:val="center"/>
    </w:pPr>
    <w:rPr>
      <w:b/>
      <w:bCs/>
      <w:sz w:val="24"/>
    </w:rPr>
  </w:style>
  <w:style w:type="character" w:customStyle="1" w:styleId="144">
    <w:name w:val="正文文本缩进 3 Char1"/>
    <w:qFormat/>
    <w:uiPriority w:val="0"/>
    <w:rPr>
      <w:kern w:val="2"/>
      <w:sz w:val="16"/>
      <w:szCs w:val="16"/>
    </w:rPr>
  </w:style>
  <w:style w:type="character" w:customStyle="1" w:styleId="145">
    <w:name w:val="正文文本缩进 2 Char1"/>
    <w:qFormat/>
    <w:uiPriority w:val="0"/>
    <w:rPr>
      <w:kern w:val="2"/>
      <w:sz w:val="21"/>
      <w:szCs w:val="24"/>
    </w:rPr>
  </w:style>
  <w:style w:type="character" w:customStyle="1" w:styleId="146">
    <w:name w:val="3级标题 Char"/>
    <w:link w:val="147"/>
    <w:qFormat/>
    <w:uiPriority w:val="0"/>
    <w:rPr>
      <w:rFonts w:ascii="Times New Roman" w:hAnsi="Times New Roman" w:eastAsia="楷体"/>
      <w:b/>
      <w:sz w:val="30"/>
      <w:szCs w:val="24"/>
    </w:rPr>
  </w:style>
  <w:style w:type="paragraph" w:customStyle="1" w:styleId="147">
    <w:name w:val="3级标题"/>
    <w:basedOn w:val="1"/>
    <w:link w:val="146"/>
    <w:qFormat/>
    <w:uiPriority w:val="0"/>
    <w:pPr>
      <w:widowControl/>
      <w:autoSpaceDE/>
      <w:autoSpaceDN/>
      <w:snapToGrid w:val="0"/>
      <w:spacing w:beforeLines="30" w:afterLines="30" w:line="360" w:lineRule="auto"/>
      <w:outlineLvl w:val="2"/>
    </w:pPr>
    <w:rPr>
      <w:rFonts w:eastAsia="楷体"/>
      <w:b/>
      <w:sz w:val="30"/>
    </w:rPr>
  </w:style>
  <w:style w:type="character" w:customStyle="1" w:styleId="148">
    <w:name w:val="样式 小四"/>
    <w:uiPriority w:val="0"/>
    <w:rPr>
      <w:rFonts w:ascii="Times New Roman" w:hAnsi="Times New Roman" w:eastAsia="宋体"/>
      <w:sz w:val="24"/>
    </w:rPr>
  </w:style>
  <w:style w:type="character" w:customStyle="1" w:styleId="149">
    <w:name w:val="正式表头 Char"/>
    <w:link w:val="150"/>
    <w:qFormat/>
    <w:locked/>
    <w:uiPriority w:val="99"/>
    <w:rPr>
      <w:rFonts w:ascii="黑体" w:hAnsi="Times New Roman" w:eastAsia="黑体"/>
      <w:sz w:val="24"/>
      <w:lang w:eastAsia="en-US"/>
    </w:rPr>
  </w:style>
  <w:style w:type="paragraph" w:customStyle="1" w:styleId="150">
    <w:name w:val="正式表头"/>
    <w:basedOn w:val="1"/>
    <w:link w:val="149"/>
    <w:uiPriority w:val="99"/>
    <w:pPr>
      <w:widowControl/>
      <w:autoSpaceDE/>
      <w:autoSpaceDN/>
      <w:snapToGrid w:val="0"/>
      <w:spacing w:beforeLines="50" w:after="60"/>
      <w:ind w:firstLine="100" w:firstLineChars="100"/>
    </w:pPr>
    <w:rPr>
      <w:rFonts w:ascii="黑体" w:eastAsia="黑体"/>
      <w:sz w:val="24"/>
      <w:szCs w:val="20"/>
      <w:lang w:eastAsia="en-US"/>
    </w:rPr>
  </w:style>
  <w:style w:type="character" w:customStyle="1" w:styleId="151">
    <w:name w:val="样式 样式 样式 样式 样式 (西文) 仿宋_GB2312 (中文) 仿宋_GB2312 四号 首行缩进:  0.85 厘米 +... Char"/>
    <w:link w:val="152"/>
    <w:qFormat/>
    <w:locked/>
    <w:uiPriority w:val="99"/>
    <w:rPr>
      <w:rFonts w:ascii="仿宋_GB2312" w:eastAsia="仿宋_GB2312"/>
      <w:sz w:val="28"/>
      <w:lang w:eastAsia="en-US"/>
    </w:rPr>
  </w:style>
  <w:style w:type="paragraph" w:customStyle="1" w:styleId="152">
    <w:name w:val="样式 样式 样式 样式 样式 (西文) 仿宋_GB2312 (中文) 仿宋_GB2312 四号 首行缩进:  0.85 厘米 +..."/>
    <w:basedOn w:val="1"/>
    <w:link w:val="151"/>
    <w:uiPriority w:val="99"/>
    <w:pPr>
      <w:widowControl/>
      <w:autoSpaceDE/>
      <w:autoSpaceDN/>
      <w:snapToGrid w:val="0"/>
      <w:spacing w:beforeLines="50"/>
      <w:ind w:firstLine="560"/>
    </w:pPr>
    <w:rPr>
      <w:rFonts w:ascii="仿宋_GB2312" w:hAnsi="Calibri" w:eastAsia="仿宋_GB2312"/>
      <w:szCs w:val="20"/>
      <w:lang w:eastAsia="en-US"/>
    </w:rPr>
  </w:style>
  <w:style w:type="character" w:customStyle="1" w:styleId="153">
    <w:name w:val="图表样式1 Char"/>
    <w:basedOn w:val="115"/>
    <w:link w:val="154"/>
    <w:uiPriority w:val="0"/>
    <w:rPr>
      <w:rFonts w:eastAsia="黑体" w:asciiTheme="majorHAnsi" w:hAnsiTheme="majorHAnsi" w:cstheme="majorBidi"/>
    </w:rPr>
  </w:style>
  <w:style w:type="paragraph" w:customStyle="1" w:styleId="154">
    <w:name w:val="图表标题1"/>
    <w:basedOn w:val="13"/>
    <w:link w:val="153"/>
    <w:uiPriority w:val="0"/>
    <w:pPr>
      <w:widowControl/>
      <w:autoSpaceDE/>
      <w:autoSpaceDN/>
      <w:snapToGrid w:val="0"/>
      <w:spacing w:beforeLines="50" w:line="360" w:lineRule="auto"/>
      <w:ind w:firstLine="0" w:firstLineChars="0"/>
      <w:jc w:val="center"/>
    </w:pPr>
  </w:style>
  <w:style w:type="character" w:customStyle="1" w:styleId="155">
    <w:name w:val="表格 Char"/>
    <w:locked/>
    <w:uiPriority w:val="0"/>
    <w:rPr>
      <w:rFonts w:ascii="楷体_GB2312" w:hAnsi="Times New Roman" w:eastAsia="楷体_GB2312" w:cs="Times New Roman"/>
      <w:kern w:val="0"/>
      <w:sz w:val="20"/>
      <w:szCs w:val="20"/>
      <w:lang w:eastAsia="en-US"/>
    </w:rPr>
  </w:style>
  <w:style w:type="character" w:customStyle="1" w:styleId="156">
    <w:name w:val="脚注文本 Char1"/>
    <w:qFormat/>
    <w:uiPriority w:val="0"/>
    <w:rPr>
      <w:kern w:val="2"/>
      <w:sz w:val="18"/>
      <w:szCs w:val="18"/>
    </w:rPr>
  </w:style>
  <w:style w:type="character" w:customStyle="1" w:styleId="157">
    <w:name w:val="4级标题 Char"/>
    <w:link w:val="158"/>
    <w:uiPriority w:val="0"/>
    <w:rPr>
      <w:rFonts w:ascii="Times New Roman" w:hAnsi="Times New Roman"/>
      <w:b/>
      <w:sz w:val="24"/>
      <w:szCs w:val="24"/>
    </w:rPr>
  </w:style>
  <w:style w:type="paragraph" w:customStyle="1" w:styleId="158">
    <w:name w:val="4级标题"/>
    <w:basedOn w:val="125"/>
    <w:link w:val="157"/>
    <w:uiPriority w:val="0"/>
    <w:pPr>
      <w:spacing w:beforeLines="10" w:afterLines="10"/>
      <w:outlineLvl w:val="3"/>
    </w:pPr>
    <w:rPr>
      <w:sz w:val="24"/>
    </w:rPr>
  </w:style>
  <w:style w:type="character" w:customStyle="1" w:styleId="159">
    <w:name w:val="批注主题 Char1"/>
    <w:uiPriority w:val="0"/>
    <w:rPr>
      <w:b/>
      <w:bCs/>
      <w:kern w:val="2"/>
      <w:sz w:val="21"/>
      <w:szCs w:val="24"/>
    </w:rPr>
  </w:style>
  <w:style w:type="character" w:customStyle="1" w:styleId="160">
    <w:name w:val="jj1"/>
    <w:uiPriority w:val="0"/>
  </w:style>
  <w:style w:type="character" w:customStyle="1" w:styleId="161">
    <w:name w:val="正文文本缩进 3 字符2"/>
    <w:link w:val="33"/>
    <w:qFormat/>
    <w:uiPriority w:val="0"/>
    <w:rPr>
      <w:rFonts w:ascii="Times New Roman" w:hAnsi="Times New Roman"/>
      <w:sz w:val="16"/>
      <w:szCs w:val="16"/>
    </w:rPr>
  </w:style>
  <w:style w:type="character" w:customStyle="1" w:styleId="162">
    <w:name w:val="正文文本缩进 3 Char2"/>
    <w:basedOn w:val="41"/>
    <w:semiHidden/>
    <w:uiPriority w:val="99"/>
    <w:rPr>
      <w:rFonts w:ascii="Times New Roman" w:hAnsi="Times New Roman"/>
      <w:sz w:val="16"/>
      <w:szCs w:val="16"/>
    </w:rPr>
  </w:style>
  <w:style w:type="character" w:customStyle="1" w:styleId="163">
    <w:name w:val="0正式 Char Char"/>
    <w:link w:val="164"/>
    <w:uiPriority w:val="0"/>
    <w:rPr>
      <w:rFonts w:ascii="Times New Roman" w:hAnsi="Times New Roman"/>
      <w:sz w:val="24"/>
      <w:szCs w:val="24"/>
    </w:rPr>
  </w:style>
  <w:style w:type="paragraph" w:customStyle="1" w:styleId="164">
    <w:name w:val="0正式"/>
    <w:basedOn w:val="1"/>
    <w:link w:val="163"/>
    <w:uiPriority w:val="0"/>
    <w:pPr>
      <w:widowControl/>
      <w:autoSpaceDE/>
      <w:autoSpaceDN/>
      <w:snapToGrid w:val="0"/>
      <w:spacing w:beforeLines="50" w:line="360" w:lineRule="auto"/>
    </w:pPr>
    <w:rPr>
      <w:sz w:val="24"/>
    </w:rPr>
  </w:style>
  <w:style w:type="character" w:customStyle="1" w:styleId="165">
    <w:name w:val="脚注文本 字符2"/>
    <w:link w:val="31"/>
    <w:qFormat/>
    <w:uiPriority w:val="0"/>
    <w:rPr>
      <w:rFonts w:ascii="Times New Roman" w:hAnsi="Times New Roman"/>
      <w:sz w:val="18"/>
      <w:szCs w:val="18"/>
    </w:rPr>
  </w:style>
  <w:style w:type="character" w:customStyle="1" w:styleId="166">
    <w:name w:val="脚注文本 Char2"/>
    <w:basedOn w:val="41"/>
    <w:semiHidden/>
    <w:qFormat/>
    <w:uiPriority w:val="99"/>
    <w:rPr>
      <w:rFonts w:ascii="Times New Roman" w:hAnsi="Times New Roman"/>
      <w:sz w:val="18"/>
      <w:szCs w:val="18"/>
    </w:rPr>
  </w:style>
  <w:style w:type="character" w:customStyle="1" w:styleId="167">
    <w:name w:val="正文缩进 字符1"/>
    <w:link w:val="12"/>
    <w:uiPriority w:val="0"/>
    <w:rPr>
      <w:rFonts w:ascii="Times New Roman" w:hAnsi="Times New Roman"/>
      <w:sz w:val="28"/>
    </w:rPr>
  </w:style>
  <w:style w:type="character" w:customStyle="1" w:styleId="168">
    <w:name w:val="1级标题 Char"/>
    <w:link w:val="169"/>
    <w:uiPriority w:val="0"/>
    <w:rPr>
      <w:rFonts w:ascii="Times New Roman" w:hAnsi="Times New Roman" w:eastAsia="黑体"/>
      <w:sz w:val="36"/>
      <w:szCs w:val="32"/>
    </w:rPr>
  </w:style>
  <w:style w:type="paragraph" w:customStyle="1" w:styleId="169">
    <w:name w:val="1级标题"/>
    <w:basedOn w:val="1"/>
    <w:link w:val="168"/>
    <w:qFormat/>
    <w:uiPriority w:val="0"/>
    <w:pPr>
      <w:widowControl/>
      <w:autoSpaceDE/>
      <w:autoSpaceDN/>
      <w:snapToGrid w:val="0"/>
      <w:spacing w:beforeLines="100" w:afterLines="100" w:line="360" w:lineRule="auto"/>
      <w:jc w:val="center"/>
      <w:outlineLvl w:val="0"/>
    </w:pPr>
    <w:rPr>
      <w:rFonts w:eastAsia="黑体"/>
      <w:sz w:val="36"/>
      <w:szCs w:val="32"/>
    </w:rPr>
  </w:style>
  <w:style w:type="character" w:customStyle="1" w:styleId="170">
    <w:name w:val="日期 字符2"/>
    <w:link w:val="23"/>
    <w:qFormat/>
    <w:uiPriority w:val="0"/>
  </w:style>
  <w:style w:type="character" w:customStyle="1" w:styleId="171">
    <w:name w:val="日期 Char2"/>
    <w:basedOn w:val="41"/>
    <w:semiHidden/>
    <w:qFormat/>
    <w:uiPriority w:val="99"/>
    <w:rPr>
      <w:rFonts w:ascii="Times New Roman" w:hAnsi="Times New Roman"/>
      <w:sz w:val="28"/>
      <w:szCs w:val="24"/>
    </w:rPr>
  </w:style>
  <w:style w:type="character" w:customStyle="1" w:styleId="172">
    <w:name w:val="页码1"/>
    <w:qFormat/>
    <w:uiPriority w:val="0"/>
  </w:style>
  <w:style w:type="character" w:customStyle="1" w:styleId="173">
    <w:name w:val="批注引用1"/>
    <w:qFormat/>
    <w:uiPriority w:val="0"/>
    <w:rPr>
      <w:sz w:val="21"/>
      <w:szCs w:val="21"/>
    </w:rPr>
  </w:style>
  <w:style w:type="character" w:customStyle="1" w:styleId="174">
    <w:name w:val="正文1"/>
    <w:qFormat/>
    <w:uiPriority w:val="0"/>
    <w:rPr>
      <w:rFonts w:eastAsia="宋体"/>
      <w:color w:val="333333"/>
      <w:sz w:val="24"/>
      <w:szCs w:val="22"/>
    </w:rPr>
  </w:style>
  <w:style w:type="character" w:customStyle="1" w:styleId="175">
    <w:name w:val="正文文本缩进 2 字符2"/>
    <w:link w:val="24"/>
    <w:qFormat/>
    <w:uiPriority w:val="0"/>
  </w:style>
  <w:style w:type="character" w:customStyle="1" w:styleId="176">
    <w:name w:val="正文文本缩进 2 Char2"/>
    <w:basedOn w:val="41"/>
    <w:semiHidden/>
    <w:uiPriority w:val="99"/>
    <w:rPr>
      <w:rFonts w:ascii="Times New Roman" w:hAnsi="Times New Roman"/>
      <w:sz w:val="28"/>
      <w:szCs w:val="24"/>
    </w:rPr>
  </w:style>
  <w:style w:type="character" w:customStyle="1" w:styleId="177">
    <w:name w:val="样式 样式 (西文) 仿宋_GB2312 (中文) 仿宋_GB2312 四号 首行缩进:  0.85 厘米 + 首行缩进:  2... Char"/>
    <w:link w:val="178"/>
    <w:qFormat/>
    <w:locked/>
    <w:uiPriority w:val="99"/>
    <w:rPr>
      <w:rFonts w:ascii="仿宋_GB2312" w:eastAsia="仿宋_GB2312"/>
      <w:sz w:val="28"/>
      <w:lang w:eastAsia="en-US"/>
    </w:rPr>
  </w:style>
  <w:style w:type="paragraph" w:customStyle="1" w:styleId="178">
    <w:name w:val="样式 样式 (西文) 仿宋_GB2312 (中文) 仿宋_GB2312 四号 首行缩进:  0.85 厘米 + 首行缩进:  2..."/>
    <w:basedOn w:val="1"/>
    <w:link w:val="177"/>
    <w:uiPriority w:val="99"/>
    <w:pPr>
      <w:widowControl/>
      <w:autoSpaceDE/>
      <w:autoSpaceDN/>
      <w:snapToGrid w:val="0"/>
      <w:spacing w:beforeLines="50"/>
    </w:pPr>
    <w:rPr>
      <w:rFonts w:ascii="仿宋_GB2312" w:hAnsi="Calibri" w:eastAsia="仿宋_GB2312"/>
      <w:szCs w:val="20"/>
      <w:lang w:eastAsia="en-US"/>
    </w:rPr>
  </w:style>
  <w:style w:type="character" w:customStyle="1" w:styleId="179">
    <w:name w:val="fontstyle21"/>
    <w:qFormat/>
    <w:uiPriority w:val="0"/>
    <w:rPr>
      <w:rFonts w:hint="default" w:ascii="Calibri" w:hAnsi="Calibri" w:cs="Calibri"/>
      <w:color w:val="000000"/>
      <w:sz w:val="24"/>
      <w:szCs w:val="24"/>
    </w:rPr>
  </w:style>
  <w:style w:type="character" w:customStyle="1" w:styleId="180">
    <w:name w:val="正文文本 Char1"/>
    <w:semiHidden/>
    <w:qFormat/>
    <w:uiPriority w:val="99"/>
    <w:rPr>
      <w:rFonts w:ascii="Times New Roman" w:hAnsi="Times New Roman" w:eastAsia="宋体" w:cs="Times New Roman"/>
      <w:kern w:val="0"/>
      <w:sz w:val="24"/>
      <w:szCs w:val="20"/>
    </w:rPr>
  </w:style>
  <w:style w:type="character" w:customStyle="1" w:styleId="181">
    <w:name w:val="文档结构图 Char1"/>
    <w:semiHidden/>
    <w:qFormat/>
    <w:uiPriority w:val="99"/>
    <w:rPr>
      <w:rFonts w:ascii="宋体" w:hAnsi="Times New Roman" w:eastAsia="宋体" w:cs="Times New Roman"/>
      <w:kern w:val="0"/>
      <w:sz w:val="18"/>
      <w:szCs w:val="18"/>
    </w:rPr>
  </w:style>
  <w:style w:type="character" w:customStyle="1" w:styleId="182">
    <w:name w:val="正文文本缩进 Char1"/>
    <w:semiHidden/>
    <w:qFormat/>
    <w:uiPriority w:val="99"/>
    <w:rPr>
      <w:rFonts w:ascii="Times New Roman" w:hAnsi="Times New Roman" w:eastAsia="宋体" w:cs="Times New Roman"/>
      <w:kern w:val="0"/>
      <w:sz w:val="24"/>
      <w:szCs w:val="20"/>
    </w:rPr>
  </w:style>
  <w:style w:type="paragraph" w:customStyle="1" w:styleId="183">
    <w:name w:val="普通(网站)1"/>
    <w:basedOn w:val="1"/>
    <w:qFormat/>
    <w:uiPriority w:val="99"/>
    <w:pPr>
      <w:widowControl/>
      <w:autoSpaceDE/>
      <w:autoSpaceDN/>
      <w:snapToGrid w:val="0"/>
      <w:spacing w:beforeLines="50" w:beforeAutospacing="1" w:after="100" w:afterAutospacing="1" w:line="360" w:lineRule="auto"/>
    </w:pPr>
    <w:rPr>
      <w:rFonts w:ascii="宋体" w:hAnsi="宋体" w:cs="宋体"/>
      <w:color w:val="000000"/>
      <w:sz w:val="24"/>
    </w:rPr>
  </w:style>
  <w:style w:type="paragraph" w:customStyle="1" w:styleId="184">
    <w:name w:val="批注主题1"/>
    <w:basedOn w:val="15"/>
    <w:next w:val="15"/>
    <w:qFormat/>
    <w:uiPriority w:val="99"/>
    <w:pPr>
      <w:widowControl w:val="0"/>
      <w:adjustRightInd/>
      <w:snapToGrid/>
      <w:spacing w:line="240" w:lineRule="auto"/>
      <w:ind w:firstLine="0" w:firstLineChars="0"/>
    </w:pPr>
    <w:rPr>
      <w:rFonts w:ascii="Calibri" w:hAnsi="Calibri"/>
      <w:b/>
      <w:bCs/>
      <w:kern w:val="2"/>
      <w:sz w:val="21"/>
      <w:szCs w:val="22"/>
    </w:rPr>
  </w:style>
  <w:style w:type="paragraph" w:customStyle="1" w:styleId="185">
    <w:name w:val="正文文本缩进1"/>
    <w:basedOn w:val="1"/>
    <w:unhideWhenUsed/>
    <w:qFormat/>
    <w:uiPriority w:val="99"/>
    <w:pPr>
      <w:widowControl/>
      <w:autoSpaceDE/>
      <w:autoSpaceDN/>
      <w:snapToGrid w:val="0"/>
      <w:spacing w:beforeLines="50" w:after="120" w:line="480" w:lineRule="exact"/>
      <w:ind w:firstLine="480"/>
    </w:pPr>
    <w:rPr>
      <w:rFonts w:ascii="宋体"/>
      <w:color w:val="000000"/>
      <w:sz w:val="24"/>
      <w:szCs w:val="20"/>
    </w:rPr>
  </w:style>
  <w:style w:type="paragraph" w:customStyle="1" w:styleId="186">
    <w:name w:val="修订1"/>
    <w:qFormat/>
    <w:uiPriority w:val="99"/>
    <w:rPr>
      <w:rFonts w:ascii="Calibri" w:hAnsi="Calibri" w:eastAsia="宋体" w:cs="Times New Roman"/>
      <w:lang w:val="en-US" w:eastAsia="zh-CN" w:bidi="ar-SA"/>
    </w:rPr>
  </w:style>
  <w:style w:type="paragraph" w:customStyle="1" w:styleId="187">
    <w:name w:val="正文1 Char Char Char Char"/>
    <w:basedOn w:val="1"/>
    <w:qFormat/>
    <w:uiPriority w:val="99"/>
    <w:pPr>
      <w:widowControl/>
      <w:autoSpaceDE/>
      <w:autoSpaceDN/>
      <w:snapToGrid w:val="0"/>
      <w:spacing w:beforeLines="50" w:line="360" w:lineRule="auto"/>
      <w:ind w:firstLine="560"/>
    </w:pPr>
    <w:rPr>
      <w:rFonts w:eastAsia="楷体_GB2312"/>
      <w:color w:val="000000"/>
      <w:szCs w:val="28"/>
    </w:rPr>
  </w:style>
  <w:style w:type="paragraph" w:customStyle="1" w:styleId="188">
    <w:name w:val="样式 正文文本缩进 2正文文字缩进 2 + 首行缩进:  2 字符"/>
    <w:basedOn w:val="1"/>
    <w:qFormat/>
    <w:uiPriority w:val="99"/>
    <w:pPr>
      <w:widowControl/>
      <w:autoSpaceDE/>
      <w:autoSpaceDN/>
      <w:snapToGrid w:val="0"/>
      <w:spacing w:beforeLines="50" w:line="360" w:lineRule="auto"/>
      <w:ind w:firstLine="480"/>
    </w:pPr>
    <w:rPr>
      <w:color w:val="000000"/>
      <w:sz w:val="24"/>
    </w:rPr>
  </w:style>
  <w:style w:type="paragraph" w:customStyle="1" w:styleId="189">
    <w:name w:val="正文 + 宋体"/>
    <w:basedOn w:val="1"/>
    <w:qFormat/>
    <w:uiPriority w:val="99"/>
    <w:pPr>
      <w:widowControl/>
      <w:autoSpaceDE/>
      <w:autoSpaceDN/>
      <w:snapToGrid w:val="0"/>
      <w:spacing w:beforeLines="25" w:afterLines="25" w:line="440" w:lineRule="exact"/>
      <w:ind w:firstLine="480"/>
    </w:pPr>
    <w:rPr>
      <w:color w:val="000000"/>
      <w:sz w:val="24"/>
      <w:szCs w:val="28"/>
    </w:rPr>
  </w:style>
  <w:style w:type="paragraph" w:customStyle="1" w:styleId="190">
    <w:name w:val="新图名"/>
    <w:next w:val="101"/>
    <w:qFormat/>
    <w:uiPriority w:val="99"/>
    <w:pPr>
      <w:adjustRightInd w:val="0"/>
      <w:snapToGrid w:val="0"/>
      <w:spacing w:beforeLines="50" w:afterLines="50"/>
      <w:jc w:val="center"/>
    </w:pPr>
    <w:rPr>
      <w:rFonts w:ascii="Times New Roman" w:hAnsi="Times New Roman" w:eastAsia="宋体" w:cs="Times New Roman"/>
      <w:b/>
      <w:lang w:val="en-US" w:eastAsia="zh-CN" w:bidi="ar-SA"/>
    </w:rPr>
  </w:style>
  <w:style w:type="paragraph" w:customStyle="1" w:styleId="191">
    <w:name w:val="文档结构图1"/>
    <w:basedOn w:val="1"/>
    <w:qFormat/>
    <w:uiPriority w:val="99"/>
    <w:pPr>
      <w:widowControl/>
      <w:autoSpaceDE/>
      <w:autoSpaceDN/>
      <w:snapToGrid w:val="0"/>
      <w:spacing w:beforeLines="50" w:line="360" w:lineRule="auto"/>
    </w:pPr>
    <w:rPr>
      <w:rFonts w:ascii="宋体" w:hAnsi="Calibri"/>
      <w:color w:val="000000"/>
      <w:sz w:val="18"/>
      <w:szCs w:val="18"/>
    </w:rPr>
  </w:style>
  <w:style w:type="paragraph" w:customStyle="1" w:styleId="192">
    <w:name w:val="Char3"/>
    <w:basedOn w:val="1"/>
    <w:qFormat/>
    <w:uiPriority w:val="99"/>
    <w:pPr>
      <w:widowControl/>
      <w:tabs>
        <w:tab w:val="left" w:pos="420"/>
      </w:tabs>
      <w:autoSpaceDE/>
      <w:autoSpaceDN/>
      <w:snapToGrid w:val="0"/>
      <w:spacing w:beforeLines="50" w:line="360" w:lineRule="auto"/>
      <w:ind w:left="420" w:hanging="420"/>
    </w:pPr>
    <w:rPr>
      <w:color w:val="000000"/>
      <w:sz w:val="24"/>
    </w:rPr>
  </w:style>
  <w:style w:type="paragraph" w:customStyle="1" w:styleId="193">
    <w:name w:val="Char Char Char Char Char Char Char Char Char1 Char Char Char Char Char Char Char Char Char Char Char Char Char Char Char Char Char Char Char Char Char Char Char Char Char Char Char Char"/>
    <w:basedOn w:val="2"/>
    <w:qFormat/>
    <w:uiPriority w:val="99"/>
    <w:pPr>
      <w:keepNext w:val="0"/>
      <w:keepLines w:val="0"/>
      <w:autoSpaceDE/>
      <w:autoSpaceDN/>
      <w:adjustRightInd/>
      <w:snapToGrid w:val="0"/>
      <w:spacing w:beforeLines="0" w:line="348" w:lineRule="auto"/>
      <w:ind w:firstLine="0" w:firstLineChars="0"/>
      <w:jc w:val="both"/>
    </w:pPr>
    <w:rPr>
      <w:rFonts w:ascii="Tahoma" w:hAnsi="Tahoma" w:eastAsia="黑体"/>
      <w:b w:val="0"/>
      <w:bCs w:val="0"/>
      <w:kern w:val="2"/>
      <w:sz w:val="24"/>
      <w:szCs w:val="20"/>
    </w:rPr>
  </w:style>
  <w:style w:type="paragraph" w:customStyle="1" w:styleId="194">
    <w:name w:val="样式 标题 2h2 + Times New Roman 小三 非加粗 黑色 段前: 0 磅 段后: 0 磅 行距:..."/>
    <w:basedOn w:val="1"/>
    <w:qFormat/>
    <w:uiPriority w:val="99"/>
    <w:pPr>
      <w:keepNext/>
      <w:keepLines/>
      <w:widowControl/>
      <w:autoSpaceDE/>
      <w:autoSpaceDN/>
      <w:snapToGrid w:val="0"/>
      <w:spacing w:beforeLines="50" w:afterLines="50" w:line="360" w:lineRule="auto"/>
      <w:outlineLvl w:val="1"/>
    </w:pPr>
    <w:rPr>
      <w:rFonts w:eastAsia="黑体"/>
      <w:color w:val="000000"/>
      <w:sz w:val="30"/>
      <w:szCs w:val="30"/>
    </w:rPr>
  </w:style>
  <w:style w:type="paragraph" w:customStyle="1" w:styleId="195">
    <w:name w:val="样式5"/>
    <w:basedOn w:val="1"/>
    <w:qFormat/>
    <w:uiPriority w:val="99"/>
    <w:pPr>
      <w:widowControl/>
      <w:autoSpaceDE/>
      <w:autoSpaceDN/>
      <w:snapToGrid w:val="0"/>
      <w:spacing w:beforeLines="50"/>
    </w:pPr>
    <w:rPr>
      <w:rFonts w:ascii="楷体_GB2312" w:eastAsia="楷体_GB2312"/>
      <w:color w:val="000000"/>
      <w:szCs w:val="28"/>
    </w:rPr>
  </w:style>
  <w:style w:type="paragraph" w:customStyle="1" w:styleId="196">
    <w:name w:val="新标题1"/>
    <w:next w:val="101"/>
    <w:uiPriority w:val="99"/>
    <w:pPr>
      <w:spacing w:beforeLines="50" w:afterLines="50"/>
      <w:outlineLvl w:val="1"/>
    </w:pPr>
    <w:rPr>
      <w:rFonts w:ascii="Times New Roman" w:hAnsi="宋体" w:eastAsia="宋体" w:cs="Times New Roman"/>
      <w:b/>
      <w:sz w:val="32"/>
      <w:szCs w:val="32"/>
      <w:lang w:val="en-US" w:eastAsia="zh-CN" w:bidi="ar-SA"/>
    </w:rPr>
  </w:style>
  <w:style w:type="paragraph" w:customStyle="1" w:styleId="197">
    <w:name w:val="表头"/>
    <w:basedOn w:val="1"/>
    <w:uiPriority w:val="99"/>
    <w:pPr>
      <w:widowControl/>
      <w:autoSpaceDE/>
      <w:autoSpaceDN/>
      <w:snapToGrid w:val="0"/>
      <w:spacing w:beforeLines="50" w:line="460" w:lineRule="exact"/>
      <w:jc w:val="center"/>
    </w:pPr>
    <w:rPr>
      <w:color w:val="000000"/>
      <w:sz w:val="24"/>
    </w:rPr>
  </w:style>
  <w:style w:type="paragraph" w:customStyle="1" w:styleId="198">
    <w:name w:val="正文文本缩进 31"/>
    <w:basedOn w:val="1"/>
    <w:qFormat/>
    <w:uiPriority w:val="99"/>
    <w:pPr>
      <w:widowControl/>
      <w:autoSpaceDE/>
      <w:autoSpaceDN/>
      <w:snapToGrid w:val="0"/>
      <w:spacing w:beforeLines="50" w:after="120" w:line="360" w:lineRule="auto"/>
      <w:ind w:left="420" w:leftChars="200"/>
    </w:pPr>
    <w:rPr>
      <w:color w:val="000000"/>
      <w:sz w:val="16"/>
      <w:szCs w:val="16"/>
    </w:rPr>
  </w:style>
  <w:style w:type="paragraph" w:customStyle="1" w:styleId="199">
    <w:name w:val="图名"/>
    <w:basedOn w:val="1"/>
    <w:qFormat/>
    <w:uiPriority w:val="99"/>
    <w:pPr>
      <w:widowControl/>
      <w:autoSpaceDE/>
      <w:autoSpaceDN/>
      <w:snapToGrid w:val="0"/>
      <w:spacing w:beforeLines="50" w:afterLines="50" w:line="360" w:lineRule="auto"/>
      <w:jc w:val="center"/>
    </w:pPr>
    <w:rPr>
      <w:b/>
      <w:color w:val="000000"/>
      <w:spacing w:val="-4"/>
      <w:sz w:val="24"/>
      <w:szCs w:val="20"/>
      <w:lang w:eastAsia="en-US"/>
    </w:rPr>
  </w:style>
  <w:style w:type="paragraph" w:customStyle="1" w:styleId="200">
    <w:name w:val="TOC 标题11"/>
    <w:basedOn w:val="2"/>
    <w:next w:val="1"/>
    <w:qFormat/>
    <w:uiPriority w:val="99"/>
    <w:pPr>
      <w:keepNext w:val="0"/>
      <w:keepLines w:val="0"/>
      <w:widowControl/>
      <w:autoSpaceDE/>
      <w:autoSpaceDN/>
      <w:adjustRightInd/>
      <w:spacing w:beforeLines="0" w:line="276" w:lineRule="auto"/>
      <w:ind w:firstLine="0" w:firstLineChars="0"/>
      <w:jc w:val="left"/>
      <w:outlineLvl w:val="9"/>
    </w:pPr>
    <w:rPr>
      <w:rFonts w:ascii="Cambria" w:hAnsi="Cambria" w:eastAsia="黑体"/>
      <w:b w:val="0"/>
      <w:color w:val="365F91"/>
      <w:kern w:val="0"/>
      <w:sz w:val="28"/>
      <w:szCs w:val="28"/>
    </w:rPr>
  </w:style>
  <w:style w:type="paragraph" w:customStyle="1" w:styleId="201">
    <w:name w:val="Char Char Char2 Char"/>
    <w:basedOn w:val="1"/>
    <w:qFormat/>
    <w:uiPriority w:val="99"/>
    <w:pPr>
      <w:widowControl/>
      <w:tabs>
        <w:tab w:val="left" w:pos="705"/>
      </w:tabs>
      <w:autoSpaceDE/>
      <w:autoSpaceDN/>
      <w:snapToGrid w:val="0"/>
      <w:spacing w:beforeLines="50" w:line="360" w:lineRule="auto"/>
      <w:ind w:left="705" w:hanging="705"/>
    </w:pPr>
    <w:rPr>
      <w:color w:val="000000"/>
      <w:sz w:val="24"/>
    </w:rPr>
  </w:style>
  <w:style w:type="paragraph" w:customStyle="1" w:styleId="202">
    <w:name w:val="表格文字"/>
    <w:basedOn w:val="12"/>
    <w:qFormat/>
    <w:uiPriority w:val="99"/>
    <w:pPr>
      <w:tabs>
        <w:tab w:val="left" w:pos="7770"/>
        <w:tab w:val="left" w:pos="8520"/>
        <w:tab w:val="left" w:pos="8640"/>
      </w:tabs>
      <w:autoSpaceDE/>
      <w:autoSpaceDN/>
      <w:spacing w:afterLines="25" w:line="400" w:lineRule="atLeast"/>
      <w:ind w:firstLine="0"/>
      <w:jc w:val="center"/>
      <w:textAlignment w:val="auto"/>
    </w:pPr>
    <w:rPr>
      <w:rFonts w:ascii="华文中宋" w:hAnsi="华文中宋" w:eastAsia="华文中宋"/>
      <w:kern w:val="2"/>
      <w:sz w:val="21"/>
      <w:szCs w:val="24"/>
    </w:rPr>
  </w:style>
  <w:style w:type="paragraph" w:customStyle="1" w:styleId="203">
    <w:name w:val="标题4+ 小四 加粗 段前: 2.3 磅 段后: 2.3 磅"/>
    <w:basedOn w:val="5"/>
    <w:qFormat/>
    <w:uiPriority w:val="99"/>
    <w:pPr>
      <w:keepNext w:val="0"/>
      <w:keepLines w:val="0"/>
      <w:widowControl/>
      <w:autoSpaceDE/>
      <w:autoSpaceDN/>
      <w:snapToGrid w:val="0"/>
      <w:spacing w:before="46" w:after="46" w:line="240" w:lineRule="auto"/>
      <w:ind w:firstLine="0" w:firstLineChars="0"/>
    </w:pPr>
    <w:rPr>
      <w:rFonts w:cs="宋体"/>
      <w:b w:val="0"/>
      <w:bCs w:val="0"/>
      <w:sz w:val="24"/>
      <w:szCs w:val="20"/>
    </w:rPr>
  </w:style>
  <w:style w:type="paragraph" w:customStyle="1" w:styleId="204">
    <w:name w:val="新标题 2"/>
    <w:next w:val="101"/>
    <w:qFormat/>
    <w:uiPriority w:val="99"/>
    <w:pPr>
      <w:spacing w:beforeLines="30" w:afterLines="30"/>
      <w:outlineLvl w:val="2"/>
    </w:pPr>
    <w:rPr>
      <w:rFonts w:ascii="Times New Roman" w:hAnsi="楷体" w:eastAsia="楷体" w:cs="Times New Roman"/>
      <w:b/>
      <w:sz w:val="30"/>
      <w:szCs w:val="30"/>
      <w:lang w:val="en-US" w:eastAsia="zh-CN" w:bidi="ar-SA"/>
    </w:rPr>
  </w:style>
  <w:style w:type="paragraph" w:customStyle="1" w:styleId="205">
    <w:name w:val="Char Char Char Char Char Char Char"/>
    <w:basedOn w:val="1"/>
    <w:qFormat/>
    <w:uiPriority w:val="99"/>
    <w:pPr>
      <w:autoSpaceDE/>
      <w:autoSpaceDN/>
      <w:adjustRightInd/>
      <w:spacing w:beforeLines="50" w:line="240" w:lineRule="auto"/>
      <w:ind w:firstLine="0" w:firstLineChars="0"/>
      <w:jc w:val="both"/>
    </w:pPr>
    <w:rPr>
      <w:color w:val="000000"/>
      <w:kern w:val="2"/>
      <w:sz w:val="21"/>
      <w:szCs w:val="22"/>
    </w:rPr>
  </w:style>
  <w:style w:type="paragraph" w:customStyle="1" w:styleId="206">
    <w:name w:val="标题 2 + (西文) Times New Roman (中文) 宋体 段前: 11.65 磅 段后: 11.65 ..."/>
    <w:basedOn w:val="3"/>
    <w:qFormat/>
    <w:uiPriority w:val="99"/>
    <w:pPr>
      <w:keepNext w:val="0"/>
      <w:keepLines w:val="0"/>
      <w:widowControl/>
      <w:autoSpaceDE/>
      <w:autoSpaceDN/>
      <w:snapToGrid w:val="0"/>
      <w:spacing w:before="50" w:afterLines="0"/>
      <w:ind w:firstLine="0" w:firstLineChars="0"/>
    </w:pPr>
    <w:rPr>
      <w:rFonts w:ascii="Times New Roman" w:hAnsi="Times New Roman" w:eastAsia="黑体" w:cs="宋体"/>
      <w:b w:val="0"/>
      <w:bCs w:val="0"/>
      <w:color w:val="000000"/>
      <w:sz w:val="28"/>
      <w:szCs w:val="20"/>
    </w:rPr>
  </w:style>
  <w:style w:type="paragraph" w:customStyle="1" w:styleId="207">
    <w:name w:val="样式 (西文) 楷体 (中文) 楷体 五号 居中 首行缩进:  0 厘米"/>
    <w:basedOn w:val="1"/>
    <w:qFormat/>
    <w:uiPriority w:val="99"/>
    <w:pPr>
      <w:widowControl/>
      <w:autoSpaceDE/>
      <w:autoSpaceDN/>
      <w:snapToGrid w:val="0"/>
      <w:spacing w:beforeLines="50" w:line="240" w:lineRule="atLeast"/>
      <w:jc w:val="center"/>
    </w:pPr>
    <w:rPr>
      <w:rFonts w:ascii="楷体_GB2312" w:hAnsi="楷体" w:eastAsia="楷体_GB2312" w:cs="宋体"/>
      <w:color w:val="000000"/>
      <w:sz w:val="24"/>
      <w:szCs w:val="20"/>
      <w:lang w:eastAsia="en-US"/>
    </w:rPr>
  </w:style>
  <w:style w:type="paragraph" w:customStyle="1" w:styleId="208">
    <w:name w:val="Char Char Char Char Char Char Char Char Char1 Char Char Char Char Char Char Char Char Char Char Char Char Char Char Char Char Char Char Char Char Char Char"/>
    <w:basedOn w:val="2"/>
    <w:qFormat/>
    <w:uiPriority w:val="99"/>
    <w:pPr>
      <w:keepNext w:val="0"/>
      <w:keepLines w:val="0"/>
      <w:autoSpaceDE/>
      <w:autoSpaceDN/>
      <w:adjustRightInd/>
      <w:snapToGrid w:val="0"/>
      <w:spacing w:beforeLines="0" w:line="348" w:lineRule="auto"/>
      <w:ind w:firstLine="0" w:firstLineChars="0"/>
      <w:jc w:val="both"/>
    </w:pPr>
    <w:rPr>
      <w:rFonts w:ascii="Tahoma" w:hAnsi="Tahoma" w:eastAsia="黑体"/>
      <w:b w:val="0"/>
      <w:bCs w:val="0"/>
      <w:kern w:val="2"/>
      <w:sz w:val="24"/>
      <w:szCs w:val="20"/>
    </w:rPr>
  </w:style>
  <w:style w:type="character" w:customStyle="1" w:styleId="209">
    <w:name w:val="正文缩进 Char1"/>
    <w:qFormat/>
    <w:uiPriority w:val="0"/>
    <w:rPr>
      <w:rFonts w:ascii="Times New Roman" w:hAnsi="Times New Roman" w:eastAsia="宋体" w:cs="Times New Roman"/>
      <w:kern w:val="0"/>
      <w:sz w:val="28"/>
      <w:szCs w:val="20"/>
    </w:rPr>
  </w:style>
  <w:style w:type="paragraph" w:customStyle="1" w:styleId="210">
    <w:name w:val="标题 311"/>
    <w:basedOn w:val="1"/>
    <w:qFormat/>
    <w:uiPriority w:val="1"/>
    <w:pPr>
      <w:adjustRightInd/>
      <w:spacing w:beforeLines="50" w:line="240" w:lineRule="auto"/>
      <w:ind w:left="980" w:hanging="676" w:firstLineChars="0"/>
      <w:outlineLvl w:val="3"/>
    </w:pPr>
    <w:rPr>
      <w:rFonts w:ascii="楷体" w:hAnsi="楷体" w:eastAsia="楷体" w:cs="楷体"/>
      <w:color w:val="000000"/>
      <w:sz w:val="30"/>
      <w:szCs w:val="30"/>
      <w:lang w:eastAsia="en-US"/>
    </w:rPr>
  </w:style>
  <w:style w:type="paragraph" w:customStyle="1" w:styleId="211">
    <w:name w:val="标题 511"/>
    <w:basedOn w:val="1"/>
    <w:qFormat/>
    <w:uiPriority w:val="1"/>
    <w:pPr>
      <w:adjustRightInd/>
      <w:spacing w:beforeLines="50" w:line="240" w:lineRule="auto"/>
      <w:ind w:left="860" w:hanging="240" w:firstLineChars="0"/>
      <w:outlineLvl w:val="5"/>
    </w:pPr>
    <w:rPr>
      <w:rFonts w:ascii="宋体" w:hAnsi="宋体" w:cs="宋体"/>
      <w:b/>
      <w:bCs/>
      <w:color w:val="000000"/>
      <w:sz w:val="24"/>
      <w:lang w:eastAsia="en-US"/>
    </w:rPr>
  </w:style>
  <w:style w:type="paragraph" w:customStyle="1" w:styleId="212">
    <w:name w:val="标题 411"/>
    <w:basedOn w:val="1"/>
    <w:qFormat/>
    <w:uiPriority w:val="1"/>
    <w:pPr>
      <w:adjustRightInd/>
      <w:spacing w:beforeLines="50" w:line="240" w:lineRule="auto"/>
      <w:ind w:left="667" w:hanging="288" w:firstLineChars="0"/>
      <w:outlineLvl w:val="4"/>
    </w:pPr>
    <w:rPr>
      <w:rFonts w:ascii="宋体" w:hAnsi="宋体" w:cs="宋体"/>
      <w:color w:val="000000"/>
      <w:szCs w:val="28"/>
      <w:lang w:eastAsia="en-US"/>
    </w:rPr>
  </w:style>
  <w:style w:type="paragraph" w:customStyle="1" w:styleId="213">
    <w:name w:val="宿豫区"/>
    <w:basedOn w:val="119"/>
    <w:link w:val="216"/>
    <w:qFormat/>
    <w:uiPriority w:val="0"/>
    <w:pPr>
      <w:spacing w:before="218" w:after="218"/>
    </w:pPr>
  </w:style>
  <w:style w:type="character" w:customStyle="1" w:styleId="214">
    <w:name w:val="标题 1 字符"/>
    <w:qFormat/>
    <w:uiPriority w:val="0"/>
    <w:rPr>
      <w:rFonts w:ascii="宋体" w:hAnsi="宋体" w:eastAsia="黑体"/>
      <w:bCs/>
      <w:color w:val="000000"/>
      <w:kern w:val="44"/>
      <w:sz w:val="32"/>
      <w:szCs w:val="32"/>
    </w:rPr>
  </w:style>
  <w:style w:type="character" w:customStyle="1" w:styleId="215">
    <w:name w:val="章名 字符"/>
    <w:link w:val="119"/>
    <w:qFormat/>
    <w:uiPriority w:val="0"/>
    <w:rPr>
      <w:rFonts w:ascii="Times New Roman" w:hAnsi="Times New Roman" w:eastAsia="黑体"/>
      <w:sz w:val="36"/>
      <w:szCs w:val="24"/>
    </w:rPr>
  </w:style>
  <w:style w:type="character" w:customStyle="1" w:styleId="216">
    <w:name w:val="宿豫区 字符"/>
    <w:basedOn w:val="215"/>
    <w:link w:val="213"/>
    <w:qFormat/>
    <w:uiPriority w:val="0"/>
    <w:rPr>
      <w:rFonts w:ascii="Times New Roman" w:hAnsi="Times New Roman" w:eastAsia="黑体"/>
      <w:sz w:val="36"/>
      <w:szCs w:val="24"/>
    </w:rPr>
  </w:style>
  <w:style w:type="character" w:customStyle="1" w:styleId="217">
    <w:name w:val="标题 2 字符"/>
    <w:qFormat/>
    <w:uiPriority w:val="0"/>
    <w:rPr>
      <w:rFonts w:ascii="宋体" w:hAnsi="宋体" w:eastAsia="黑体"/>
      <w:color w:val="000000"/>
      <w:sz w:val="28"/>
      <w:szCs w:val="32"/>
    </w:rPr>
  </w:style>
  <w:style w:type="character" w:customStyle="1" w:styleId="218">
    <w:name w:val="标题 3 字符"/>
    <w:qFormat/>
    <w:uiPriority w:val="0"/>
    <w:rPr>
      <w:rFonts w:ascii="宋体" w:hAnsi="宋体" w:eastAsia="黑体"/>
      <w:bCs/>
      <w:color w:val="000000"/>
      <w:sz w:val="24"/>
      <w:szCs w:val="18"/>
    </w:rPr>
  </w:style>
  <w:style w:type="character" w:customStyle="1" w:styleId="219">
    <w:name w:val="标题 4 字符"/>
    <w:qFormat/>
    <w:uiPriority w:val="0"/>
    <w:rPr>
      <w:rFonts w:ascii="宋体" w:hAnsi="宋体"/>
      <w:bCs/>
      <w:sz w:val="24"/>
      <w:szCs w:val="28"/>
    </w:rPr>
  </w:style>
  <w:style w:type="character" w:customStyle="1" w:styleId="220">
    <w:name w:val="标题 5 字符"/>
    <w:qFormat/>
    <w:uiPriority w:val="0"/>
    <w:rPr>
      <w:rFonts w:ascii="Times New Roman" w:hAnsi="Times New Roman"/>
      <w:b/>
      <w:bCs/>
      <w:sz w:val="28"/>
      <w:szCs w:val="28"/>
    </w:rPr>
  </w:style>
  <w:style w:type="character" w:customStyle="1" w:styleId="221">
    <w:name w:val="标题 6 字符"/>
    <w:qFormat/>
    <w:uiPriority w:val="0"/>
    <w:rPr>
      <w:rFonts w:ascii="Arial" w:hAnsi="Arial" w:eastAsia="黑体"/>
      <w:b/>
      <w:color w:val="000000"/>
      <w:sz w:val="24"/>
    </w:rPr>
  </w:style>
  <w:style w:type="character" w:customStyle="1" w:styleId="222">
    <w:name w:val="标题 7 字符"/>
    <w:qFormat/>
    <w:uiPriority w:val="0"/>
    <w:rPr>
      <w:rFonts w:ascii="Times New Roman" w:hAnsi="Times New Roman"/>
      <w:b/>
      <w:color w:val="000000"/>
      <w:sz w:val="24"/>
    </w:rPr>
  </w:style>
  <w:style w:type="character" w:customStyle="1" w:styleId="223">
    <w:name w:val="标题 8 字符"/>
    <w:qFormat/>
    <w:uiPriority w:val="0"/>
    <w:rPr>
      <w:rFonts w:ascii="Times New Roman" w:hAnsi="Times New Roman"/>
      <w:color w:val="FF0000"/>
      <w:sz w:val="24"/>
    </w:rPr>
  </w:style>
  <w:style w:type="character" w:customStyle="1" w:styleId="224">
    <w:name w:val="标题 9 字符"/>
    <w:semiHidden/>
    <w:qFormat/>
    <w:uiPriority w:val="9"/>
    <w:rPr>
      <w:rFonts w:ascii="Cambria" w:hAnsi="Cambria"/>
      <w:sz w:val="21"/>
      <w:szCs w:val="21"/>
    </w:rPr>
  </w:style>
  <w:style w:type="character" w:customStyle="1" w:styleId="225">
    <w:name w:val="标题 字符"/>
    <w:qFormat/>
    <w:uiPriority w:val="0"/>
    <w:rPr>
      <w:rFonts w:ascii="宋体" w:hAnsi="宋体" w:cs="Arial"/>
      <w:bCs/>
      <w:sz w:val="24"/>
      <w:szCs w:val="32"/>
    </w:rPr>
  </w:style>
  <w:style w:type="character" w:customStyle="1" w:styleId="226">
    <w:name w:val="副标题 字符"/>
    <w:qFormat/>
    <w:uiPriority w:val="0"/>
    <w:rPr>
      <w:rFonts w:ascii="Cambria" w:hAnsi="Cambria"/>
      <w:b/>
      <w:bCs/>
      <w:kern w:val="28"/>
      <w:szCs w:val="32"/>
    </w:rPr>
  </w:style>
  <w:style w:type="paragraph" w:styleId="227">
    <w:name w:val="Quote"/>
    <w:basedOn w:val="1"/>
    <w:next w:val="1"/>
    <w:link w:val="229"/>
    <w:qFormat/>
    <w:uiPriority w:val="99"/>
    <w:pPr>
      <w:widowControl/>
      <w:autoSpaceDE/>
      <w:autoSpaceDN/>
      <w:snapToGrid w:val="0"/>
      <w:spacing w:beforeLines="50" w:line="360" w:lineRule="auto"/>
    </w:pPr>
    <w:rPr>
      <w:i/>
      <w:iCs/>
      <w:color w:val="000000"/>
      <w:sz w:val="24"/>
      <w:szCs w:val="20"/>
    </w:rPr>
  </w:style>
  <w:style w:type="character" w:customStyle="1" w:styleId="228">
    <w:name w:val="引用 Char"/>
    <w:basedOn w:val="41"/>
    <w:qFormat/>
    <w:uiPriority w:val="99"/>
    <w:rPr>
      <w:rFonts w:ascii="Times New Roman" w:hAnsi="Times New Roman"/>
      <w:i/>
      <w:iCs/>
      <w:color w:val="000000" w:themeColor="text1"/>
      <w:sz w:val="28"/>
      <w:szCs w:val="24"/>
      <w14:textFill>
        <w14:solidFill>
          <w14:schemeClr w14:val="tx1"/>
        </w14:solidFill>
      </w14:textFill>
    </w:rPr>
  </w:style>
  <w:style w:type="character" w:customStyle="1" w:styleId="229">
    <w:name w:val="引用 字符"/>
    <w:link w:val="227"/>
    <w:qFormat/>
    <w:uiPriority w:val="99"/>
    <w:rPr>
      <w:rFonts w:ascii="Times New Roman" w:hAnsi="Times New Roman"/>
      <w:i/>
      <w:iCs/>
      <w:color w:val="000000"/>
      <w:sz w:val="24"/>
    </w:rPr>
  </w:style>
  <w:style w:type="paragraph" w:styleId="230">
    <w:name w:val="Intense Quote"/>
    <w:basedOn w:val="1"/>
    <w:next w:val="1"/>
    <w:link w:val="232"/>
    <w:qFormat/>
    <w:uiPriority w:val="99"/>
    <w:pPr>
      <w:widowControl/>
      <w:pBdr>
        <w:bottom w:val="single" w:color="4F81BD" w:sz="4" w:space="4"/>
      </w:pBdr>
      <w:autoSpaceDE/>
      <w:autoSpaceDN/>
      <w:snapToGrid w:val="0"/>
      <w:spacing w:beforeLines="50" w:after="280" w:line="360" w:lineRule="auto"/>
      <w:ind w:left="936" w:right="936"/>
    </w:pPr>
    <w:rPr>
      <w:b/>
      <w:bCs/>
      <w:i/>
      <w:iCs/>
      <w:color w:val="4F81BD"/>
      <w:sz w:val="24"/>
      <w:szCs w:val="20"/>
    </w:rPr>
  </w:style>
  <w:style w:type="character" w:customStyle="1" w:styleId="231">
    <w:name w:val="明显引用 Char"/>
    <w:basedOn w:val="41"/>
    <w:qFormat/>
    <w:uiPriority w:val="99"/>
    <w:rPr>
      <w:rFonts w:ascii="Times New Roman" w:hAnsi="Times New Roman"/>
      <w:b/>
      <w:bCs/>
      <w:i/>
      <w:iCs/>
      <w:color w:val="4F81BD" w:themeColor="accent1"/>
      <w:sz w:val="28"/>
      <w:szCs w:val="24"/>
      <w14:textFill>
        <w14:solidFill>
          <w14:schemeClr w14:val="accent1"/>
        </w14:solidFill>
      </w14:textFill>
    </w:rPr>
  </w:style>
  <w:style w:type="character" w:customStyle="1" w:styleId="232">
    <w:name w:val="明显引用 字符"/>
    <w:link w:val="230"/>
    <w:qFormat/>
    <w:uiPriority w:val="99"/>
    <w:rPr>
      <w:rFonts w:ascii="Times New Roman" w:hAnsi="Times New Roman"/>
      <w:b/>
      <w:bCs/>
      <w:i/>
      <w:iCs/>
      <w:color w:val="4F81BD"/>
      <w:sz w:val="24"/>
    </w:rPr>
  </w:style>
  <w:style w:type="character" w:customStyle="1" w:styleId="233">
    <w:name w:val="不明显强调1"/>
    <w:qFormat/>
    <w:uiPriority w:val="19"/>
    <w:rPr>
      <w:i/>
      <w:iCs/>
      <w:color w:val="808080"/>
    </w:rPr>
  </w:style>
  <w:style w:type="character" w:customStyle="1" w:styleId="234">
    <w:name w:val="明显强调1"/>
    <w:qFormat/>
    <w:uiPriority w:val="21"/>
    <w:rPr>
      <w:b/>
      <w:bCs/>
      <w:i/>
      <w:iCs/>
      <w:color w:val="4F81BD"/>
    </w:rPr>
  </w:style>
  <w:style w:type="character" w:customStyle="1" w:styleId="235">
    <w:name w:val="不明显参考1"/>
    <w:qFormat/>
    <w:uiPriority w:val="31"/>
    <w:rPr>
      <w:smallCaps/>
      <w:color w:val="C0504D"/>
      <w:u w:val="single"/>
    </w:rPr>
  </w:style>
  <w:style w:type="character" w:customStyle="1" w:styleId="236">
    <w:name w:val="明显参考1"/>
    <w:qFormat/>
    <w:uiPriority w:val="32"/>
    <w:rPr>
      <w:b/>
      <w:bCs/>
      <w:smallCaps/>
      <w:color w:val="C0504D"/>
      <w:spacing w:val="5"/>
      <w:u w:val="single"/>
    </w:rPr>
  </w:style>
  <w:style w:type="character" w:customStyle="1" w:styleId="237">
    <w:name w:val="书籍标题1"/>
    <w:qFormat/>
    <w:uiPriority w:val="33"/>
    <w:rPr>
      <w:b/>
      <w:bCs/>
      <w:smallCaps/>
      <w:spacing w:val="5"/>
    </w:rPr>
  </w:style>
  <w:style w:type="character" w:customStyle="1" w:styleId="238">
    <w:name w:val="页眉 字符"/>
    <w:qFormat/>
    <w:uiPriority w:val="99"/>
    <w:rPr>
      <w:rFonts w:ascii="Times New Roman" w:hAnsi="Times New Roman"/>
      <w:sz w:val="18"/>
      <w:szCs w:val="18"/>
    </w:rPr>
  </w:style>
  <w:style w:type="character" w:customStyle="1" w:styleId="239">
    <w:name w:val="页脚 字符"/>
    <w:qFormat/>
    <w:uiPriority w:val="99"/>
    <w:rPr>
      <w:rFonts w:ascii="Times New Roman" w:hAnsi="Times New Roman"/>
      <w:sz w:val="18"/>
      <w:szCs w:val="18"/>
    </w:rPr>
  </w:style>
  <w:style w:type="character" w:customStyle="1" w:styleId="240">
    <w:name w:val="题注 字符"/>
    <w:qFormat/>
    <w:uiPriority w:val="0"/>
    <w:rPr>
      <w:rFonts w:ascii="Arial" w:hAnsi="Arial" w:cs="Arial"/>
      <w:b/>
      <w:sz w:val="24"/>
    </w:rPr>
  </w:style>
  <w:style w:type="paragraph" w:customStyle="1" w:styleId="241">
    <w:name w:val="Char Char Char Char"/>
    <w:basedOn w:val="1"/>
    <w:semiHidden/>
    <w:qFormat/>
    <w:uiPriority w:val="0"/>
    <w:pPr>
      <w:autoSpaceDE/>
      <w:autoSpaceDN/>
      <w:adjustRightInd/>
      <w:spacing w:beforeLines="50" w:line="240" w:lineRule="auto"/>
      <w:ind w:firstLine="0" w:firstLineChars="0"/>
      <w:jc w:val="both"/>
    </w:pPr>
    <w:rPr>
      <w:color w:val="000000"/>
      <w:kern w:val="2"/>
      <w:sz w:val="21"/>
    </w:rPr>
  </w:style>
  <w:style w:type="character" w:customStyle="1" w:styleId="242">
    <w:name w:val="正文文本 (2)_"/>
    <w:link w:val="243"/>
    <w:qFormat/>
    <w:uiPriority w:val="0"/>
    <w:rPr>
      <w:rFonts w:ascii="MingLiU" w:hAnsi="MingLiU" w:eastAsia="MingLiU" w:cs="MingLiU"/>
      <w:spacing w:val="20"/>
      <w:sz w:val="26"/>
      <w:szCs w:val="26"/>
      <w:shd w:val="clear" w:color="auto" w:fill="FFFFFF"/>
    </w:rPr>
  </w:style>
  <w:style w:type="paragraph" w:customStyle="1" w:styleId="243">
    <w:name w:val="正文文本 (2)"/>
    <w:basedOn w:val="1"/>
    <w:link w:val="242"/>
    <w:qFormat/>
    <w:uiPriority w:val="0"/>
    <w:pPr>
      <w:shd w:val="clear" w:color="auto" w:fill="FFFFFF"/>
      <w:autoSpaceDE/>
      <w:autoSpaceDN/>
      <w:adjustRightInd/>
      <w:spacing w:beforeLines="50" w:line="538" w:lineRule="exact"/>
      <w:ind w:firstLine="0" w:firstLineChars="0"/>
    </w:pPr>
    <w:rPr>
      <w:rFonts w:ascii="MingLiU" w:hAnsi="MingLiU" w:eastAsia="MingLiU" w:cs="MingLiU"/>
      <w:spacing w:val="20"/>
      <w:sz w:val="26"/>
      <w:szCs w:val="26"/>
    </w:rPr>
  </w:style>
  <w:style w:type="character" w:customStyle="1" w:styleId="244">
    <w:name w:val="正文文本 (2) + 间距 0 pt"/>
    <w:qFormat/>
    <w:uiPriority w:val="0"/>
    <w:rPr>
      <w:rFonts w:ascii="MingLiU" w:hAnsi="MingLiU" w:eastAsia="MingLiU" w:cs="MingLiU"/>
      <w:color w:val="000000"/>
      <w:spacing w:val="-10"/>
      <w:w w:val="100"/>
      <w:position w:val="0"/>
      <w:sz w:val="26"/>
      <w:szCs w:val="26"/>
      <w:u w:val="none"/>
      <w:shd w:val="clear" w:color="auto" w:fill="FFFFFF"/>
      <w:lang w:val="zh-TW" w:eastAsia="zh-TW" w:bidi="zh-TW"/>
    </w:rPr>
  </w:style>
  <w:style w:type="character" w:customStyle="1" w:styleId="245">
    <w:name w:val="正文文本 (2) + Times New Roman"/>
    <w:qFormat/>
    <w:uiPriority w:val="0"/>
    <w:rPr>
      <w:rFonts w:ascii="Times New Roman" w:hAnsi="Times New Roman" w:eastAsia="Times New Roman" w:cs="Times New Roman"/>
      <w:color w:val="000000"/>
      <w:spacing w:val="0"/>
      <w:w w:val="100"/>
      <w:position w:val="0"/>
      <w:sz w:val="28"/>
      <w:szCs w:val="28"/>
      <w:u w:val="none"/>
      <w:shd w:val="clear" w:color="auto" w:fill="FFFFFF"/>
      <w:lang w:val="en-US" w:eastAsia="en-US" w:bidi="en-US"/>
    </w:rPr>
  </w:style>
  <w:style w:type="paragraph" w:customStyle="1" w:styleId="246">
    <w:name w:val="样式 样式 样式 样式 普通(Web) + 首行缩进:  2 字符 段前: 0.3 行 段后: 0.2 行 + 首行缩进:  2..."/>
    <w:basedOn w:val="1"/>
    <w:qFormat/>
    <w:uiPriority w:val="99"/>
    <w:pPr>
      <w:widowControl/>
      <w:autoSpaceDE/>
      <w:autoSpaceDN/>
      <w:adjustRightInd/>
      <w:spacing w:beforeLines="30" w:afterLines="20" w:line="432" w:lineRule="auto"/>
    </w:pPr>
    <w:rPr>
      <w:rFonts w:ascii="宋体" w:hAnsi="宋体" w:cs="宋体"/>
      <w:color w:val="000000"/>
      <w:szCs w:val="20"/>
    </w:rPr>
  </w:style>
  <w:style w:type="paragraph" w:customStyle="1" w:styleId="247">
    <w:name w:val="样式 正文文本缩进 + 两端对齐"/>
    <w:basedOn w:val="17"/>
    <w:qFormat/>
    <w:uiPriority w:val="0"/>
    <w:pPr>
      <w:tabs>
        <w:tab w:val="left" w:pos="1080"/>
      </w:tabs>
      <w:autoSpaceDE/>
      <w:autoSpaceDN/>
      <w:spacing w:after="0" w:line="360" w:lineRule="auto"/>
      <w:ind w:left="0" w:leftChars="0"/>
      <w:jc w:val="both"/>
      <w:textAlignment w:val="baseline"/>
    </w:pPr>
    <w:rPr>
      <w:rFonts w:eastAsia="楷体_GB2312" w:cs="宋体"/>
      <w:szCs w:val="28"/>
    </w:rPr>
  </w:style>
  <w:style w:type="character" w:customStyle="1" w:styleId="248">
    <w:name w:val="批注框文本 字符"/>
    <w:semiHidden/>
    <w:qFormat/>
    <w:uiPriority w:val="99"/>
    <w:rPr>
      <w:rFonts w:ascii="Times New Roman" w:hAnsi="Times New Roman" w:eastAsia="宋体" w:cs="Times New Roman"/>
      <w:color w:val="000000"/>
      <w:kern w:val="0"/>
      <w:sz w:val="18"/>
      <w:szCs w:val="18"/>
    </w:rPr>
  </w:style>
  <w:style w:type="character" w:customStyle="1" w:styleId="249">
    <w:name w:val="批注文字 字符"/>
    <w:semiHidden/>
    <w:qFormat/>
    <w:uiPriority w:val="99"/>
    <w:rPr>
      <w:rFonts w:ascii="Times New Roman" w:hAnsi="Times New Roman" w:eastAsia="宋体" w:cs="Times New Roman"/>
      <w:color w:val="000000"/>
      <w:kern w:val="0"/>
      <w:sz w:val="24"/>
      <w:szCs w:val="20"/>
    </w:rPr>
  </w:style>
  <w:style w:type="character" w:customStyle="1" w:styleId="250">
    <w:name w:val="批注主题 字符"/>
    <w:semiHidden/>
    <w:qFormat/>
    <w:uiPriority w:val="99"/>
    <w:rPr>
      <w:rFonts w:ascii="Times New Roman" w:hAnsi="Times New Roman" w:eastAsia="宋体" w:cs="Times New Roman"/>
      <w:b/>
      <w:bCs/>
      <w:color w:val="000000"/>
      <w:kern w:val="0"/>
      <w:sz w:val="24"/>
      <w:szCs w:val="20"/>
    </w:rPr>
  </w:style>
  <w:style w:type="character" w:customStyle="1" w:styleId="251">
    <w:name w:val="正文文本缩进 字符"/>
    <w:semiHidden/>
    <w:qFormat/>
    <w:uiPriority w:val="99"/>
    <w:rPr>
      <w:rFonts w:ascii="Times New Roman" w:hAnsi="Times New Roman" w:eastAsia="宋体" w:cs="Times New Roman"/>
      <w:color w:val="000000"/>
      <w:kern w:val="0"/>
      <w:sz w:val="24"/>
      <w:szCs w:val="20"/>
    </w:rPr>
  </w:style>
  <w:style w:type="character" w:customStyle="1" w:styleId="252">
    <w:name w:val="正文文本 字符"/>
    <w:semiHidden/>
    <w:qFormat/>
    <w:uiPriority w:val="99"/>
    <w:rPr>
      <w:rFonts w:ascii="Times New Roman" w:hAnsi="Times New Roman" w:eastAsia="宋体" w:cs="Times New Roman"/>
      <w:color w:val="000000"/>
      <w:kern w:val="0"/>
      <w:sz w:val="24"/>
      <w:szCs w:val="20"/>
    </w:rPr>
  </w:style>
  <w:style w:type="character" w:customStyle="1" w:styleId="253">
    <w:name w:val="文档结构图 字符"/>
    <w:semiHidden/>
    <w:qFormat/>
    <w:uiPriority w:val="99"/>
    <w:rPr>
      <w:rFonts w:ascii="Microsoft YaHei UI" w:hAnsi="Times New Roman" w:eastAsia="Microsoft YaHei UI" w:cs="Times New Roman"/>
      <w:color w:val="000000"/>
      <w:kern w:val="0"/>
      <w:sz w:val="18"/>
      <w:szCs w:val="18"/>
    </w:rPr>
  </w:style>
  <w:style w:type="character" w:customStyle="1" w:styleId="254">
    <w:name w:val="正文文本缩进 3 字符"/>
    <w:semiHidden/>
    <w:qFormat/>
    <w:uiPriority w:val="99"/>
    <w:rPr>
      <w:rFonts w:ascii="Times New Roman" w:hAnsi="Times New Roman" w:eastAsia="宋体" w:cs="Times New Roman"/>
      <w:color w:val="000000"/>
      <w:kern w:val="0"/>
      <w:sz w:val="16"/>
      <w:szCs w:val="16"/>
    </w:rPr>
  </w:style>
  <w:style w:type="character" w:customStyle="1" w:styleId="255">
    <w:name w:val="纯文本 字符"/>
    <w:semiHidden/>
    <w:qFormat/>
    <w:uiPriority w:val="99"/>
    <w:rPr>
      <w:rFonts w:ascii="等线" w:hAnsi="Courier New" w:cs="Courier New"/>
      <w:color w:val="000000"/>
      <w:kern w:val="0"/>
      <w:sz w:val="24"/>
      <w:szCs w:val="20"/>
    </w:rPr>
  </w:style>
  <w:style w:type="character" w:customStyle="1" w:styleId="256">
    <w:name w:val="脚注文本 字符"/>
    <w:semiHidden/>
    <w:qFormat/>
    <w:uiPriority w:val="99"/>
    <w:rPr>
      <w:rFonts w:ascii="Times New Roman" w:hAnsi="Times New Roman" w:eastAsia="宋体" w:cs="Times New Roman"/>
      <w:color w:val="000000"/>
      <w:kern w:val="0"/>
      <w:sz w:val="18"/>
      <w:szCs w:val="18"/>
    </w:rPr>
  </w:style>
  <w:style w:type="character" w:customStyle="1" w:styleId="257">
    <w:name w:val="日期 字符"/>
    <w:semiHidden/>
    <w:qFormat/>
    <w:uiPriority w:val="99"/>
    <w:rPr>
      <w:rFonts w:ascii="Times New Roman" w:hAnsi="Times New Roman" w:eastAsia="宋体" w:cs="Times New Roman"/>
      <w:color w:val="000000"/>
      <w:kern w:val="0"/>
      <w:sz w:val="24"/>
      <w:szCs w:val="20"/>
    </w:rPr>
  </w:style>
  <w:style w:type="character" w:customStyle="1" w:styleId="258">
    <w:name w:val="正文文本缩进 2 字符"/>
    <w:semiHidden/>
    <w:qFormat/>
    <w:uiPriority w:val="99"/>
    <w:rPr>
      <w:rFonts w:ascii="Times New Roman" w:hAnsi="Times New Roman" w:eastAsia="宋体" w:cs="Times New Roman"/>
      <w:color w:val="000000"/>
      <w:kern w:val="0"/>
      <w:sz w:val="24"/>
      <w:szCs w:val="20"/>
    </w:rPr>
  </w:style>
  <w:style w:type="paragraph" w:customStyle="1" w:styleId="259">
    <w:name w:val="Char Char Char Char1"/>
    <w:basedOn w:val="1"/>
    <w:semiHidden/>
    <w:qFormat/>
    <w:uiPriority w:val="99"/>
    <w:pPr>
      <w:autoSpaceDE/>
      <w:autoSpaceDN/>
      <w:adjustRightInd/>
      <w:spacing w:beforeLines="50" w:line="240" w:lineRule="auto"/>
      <w:ind w:firstLine="0" w:firstLineChars="0"/>
      <w:jc w:val="both"/>
    </w:pPr>
    <w:rPr>
      <w:color w:val="000000"/>
      <w:kern w:val="2"/>
      <w:sz w:val="21"/>
    </w:rPr>
  </w:style>
  <w:style w:type="character" w:customStyle="1" w:styleId="260">
    <w:name w:val="标题 1 字符1"/>
    <w:qFormat/>
    <w:uiPriority w:val="0"/>
    <w:rPr>
      <w:rFonts w:ascii="宋体" w:hAnsi="宋体" w:eastAsia="黑体" w:cs="Times New Roman"/>
      <w:bCs/>
      <w:color w:val="000000"/>
      <w:kern w:val="44"/>
      <w:sz w:val="32"/>
      <w:szCs w:val="32"/>
    </w:rPr>
  </w:style>
  <w:style w:type="character" w:customStyle="1" w:styleId="261">
    <w:name w:val="标题 2 字符1"/>
    <w:qFormat/>
    <w:uiPriority w:val="0"/>
    <w:rPr>
      <w:rFonts w:ascii="宋体" w:hAnsi="宋体" w:eastAsia="黑体" w:cs="Times New Roman"/>
      <w:color w:val="000000"/>
      <w:kern w:val="0"/>
      <w:sz w:val="28"/>
      <w:szCs w:val="32"/>
    </w:rPr>
  </w:style>
  <w:style w:type="character" w:customStyle="1" w:styleId="262">
    <w:name w:val="标题 3 字符1"/>
    <w:qFormat/>
    <w:uiPriority w:val="0"/>
    <w:rPr>
      <w:rFonts w:ascii="宋体" w:hAnsi="宋体" w:eastAsia="黑体" w:cs="Times New Roman"/>
      <w:bCs/>
      <w:color w:val="000000"/>
      <w:kern w:val="0"/>
      <w:sz w:val="24"/>
      <w:szCs w:val="18"/>
    </w:rPr>
  </w:style>
  <w:style w:type="character" w:customStyle="1" w:styleId="263">
    <w:name w:val="标题 4 字符1"/>
    <w:qFormat/>
    <w:uiPriority w:val="0"/>
    <w:rPr>
      <w:rFonts w:ascii="宋体" w:hAnsi="宋体" w:eastAsia="宋体" w:cs="Times New Roman"/>
      <w:bCs/>
      <w:color w:val="000000"/>
      <w:kern w:val="0"/>
      <w:sz w:val="24"/>
      <w:szCs w:val="28"/>
    </w:rPr>
  </w:style>
  <w:style w:type="character" w:customStyle="1" w:styleId="264">
    <w:name w:val="标题 5 字符1"/>
    <w:qFormat/>
    <w:uiPriority w:val="0"/>
    <w:rPr>
      <w:rFonts w:ascii="Times New Roman" w:hAnsi="Times New Roman" w:eastAsia="宋体" w:cs="Times New Roman"/>
      <w:b/>
      <w:bCs/>
      <w:color w:val="000000"/>
      <w:kern w:val="0"/>
      <w:sz w:val="28"/>
      <w:szCs w:val="28"/>
    </w:rPr>
  </w:style>
  <w:style w:type="character" w:customStyle="1" w:styleId="265">
    <w:name w:val="标题 6 字符1"/>
    <w:qFormat/>
    <w:uiPriority w:val="0"/>
    <w:rPr>
      <w:rFonts w:ascii="Arial" w:hAnsi="Arial" w:eastAsia="黑体" w:cs="Times New Roman"/>
      <w:b/>
      <w:color w:val="000000"/>
      <w:kern w:val="0"/>
      <w:sz w:val="24"/>
      <w:szCs w:val="20"/>
    </w:rPr>
  </w:style>
  <w:style w:type="character" w:customStyle="1" w:styleId="266">
    <w:name w:val="标题 7 字符1"/>
    <w:qFormat/>
    <w:uiPriority w:val="0"/>
    <w:rPr>
      <w:rFonts w:ascii="Times New Roman" w:hAnsi="Times New Roman" w:eastAsia="宋体" w:cs="Times New Roman"/>
      <w:b/>
      <w:color w:val="000000"/>
      <w:kern w:val="0"/>
      <w:sz w:val="24"/>
      <w:szCs w:val="20"/>
    </w:rPr>
  </w:style>
  <w:style w:type="character" w:customStyle="1" w:styleId="267">
    <w:name w:val="标题 8 字符1"/>
    <w:qFormat/>
    <w:uiPriority w:val="0"/>
    <w:rPr>
      <w:rFonts w:ascii="Times New Roman" w:hAnsi="Times New Roman" w:eastAsia="宋体" w:cs="Times New Roman"/>
      <w:color w:val="FF0000"/>
      <w:kern w:val="0"/>
      <w:sz w:val="24"/>
      <w:szCs w:val="20"/>
    </w:rPr>
  </w:style>
  <w:style w:type="character" w:customStyle="1" w:styleId="268">
    <w:name w:val="标题 9 字符1"/>
    <w:uiPriority w:val="9"/>
    <w:rPr>
      <w:rFonts w:ascii="Cambria" w:hAnsi="Cambria" w:eastAsia="宋体" w:cs="Times New Roman"/>
      <w:color w:val="000000"/>
      <w:kern w:val="0"/>
      <w:szCs w:val="21"/>
    </w:rPr>
  </w:style>
  <w:style w:type="character" w:customStyle="1" w:styleId="269">
    <w:name w:val="页眉 字符1"/>
    <w:qFormat/>
    <w:uiPriority w:val="99"/>
    <w:rPr>
      <w:rFonts w:ascii="Times New Roman" w:hAnsi="Times New Roman" w:eastAsia="宋体" w:cs="Times New Roman"/>
      <w:color w:val="000000"/>
      <w:kern w:val="0"/>
      <w:sz w:val="18"/>
      <w:szCs w:val="18"/>
    </w:rPr>
  </w:style>
  <w:style w:type="character" w:customStyle="1" w:styleId="270">
    <w:name w:val="页脚 字符1"/>
    <w:qFormat/>
    <w:uiPriority w:val="99"/>
    <w:rPr>
      <w:rFonts w:ascii="Times New Roman" w:hAnsi="Times New Roman" w:eastAsia="宋体" w:cs="Times New Roman"/>
      <w:color w:val="000000"/>
      <w:kern w:val="0"/>
      <w:sz w:val="18"/>
      <w:szCs w:val="18"/>
    </w:rPr>
  </w:style>
  <w:style w:type="character" w:customStyle="1" w:styleId="271">
    <w:name w:val="题注 字符1"/>
    <w:qFormat/>
    <w:uiPriority w:val="0"/>
    <w:rPr>
      <w:rFonts w:ascii="Arial" w:hAnsi="Arial" w:eastAsia="宋体" w:cs="Times New Roman"/>
      <w:b/>
      <w:color w:val="000000"/>
      <w:kern w:val="0"/>
      <w:sz w:val="24"/>
      <w:szCs w:val="20"/>
    </w:rPr>
  </w:style>
  <w:style w:type="character" w:customStyle="1" w:styleId="272">
    <w:name w:val="标题 字符1"/>
    <w:qFormat/>
    <w:uiPriority w:val="0"/>
    <w:rPr>
      <w:rFonts w:ascii="宋体" w:hAnsi="宋体" w:eastAsia="宋体" w:cs="Times New Roman"/>
      <w:bCs/>
      <w:color w:val="000000"/>
      <w:kern w:val="0"/>
      <w:sz w:val="24"/>
      <w:szCs w:val="32"/>
    </w:rPr>
  </w:style>
  <w:style w:type="character" w:customStyle="1" w:styleId="273">
    <w:name w:val="副标题 字符1"/>
    <w:qFormat/>
    <w:uiPriority w:val="0"/>
    <w:rPr>
      <w:rFonts w:ascii="Cambria" w:hAnsi="Cambria" w:eastAsia="宋体" w:cs="Times New Roman"/>
      <w:b/>
      <w:bCs/>
      <w:color w:val="000000"/>
      <w:kern w:val="28"/>
      <w:sz w:val="20"/>
      <w:szCs w:val="32"/>
    </w:rPr>
  </w:style>
  <w:style w:type="character" w:customStyle="1" w:styleId="274">
    <w:name w:val="批注框文本 字符1"/>
    <w:qFormat/>
    <w:uiPriority w:val="0"/>
    <w:rPr>
      <w:rFonts w:ascii="Times New Roman" w:hAnsi="Times New Roman" w:eastAsia="宋体" w:cs="Times New Roman"/>
      <w:kern w:val="0"/>
      <w:sz w:val="18"/>
      <w:szCs w:val="18"/>
    </w:rPr>
  </w:style>
  <w:style w:type="character" w:customStyle="1" w:styleId="275">
    <w:name w:val="批注文字 字符1"/>
    <w:qFormat/>
    <w:uiPriority w:val="0"/>
    <w:rPr>
      <w:rFonts w:ascii="Times New Roman" w:hAnsi="Times New Roman" w:eastAsia="宋体" w:cs="Times New Roman"/>
      <w:kern w:val="0"/>
      <w:sz w:val="24"/>
      <w:szCs w:val="20"/>
    </w:rPr>
  </w:style>
  <w:style w:type="character" w:customStyle="1" w:styleId="276">
    <w:name w:val="批注主题 字符1"/>
    <w:qFormat/>
    <w:uiPriority w:val="0"/>
    <w:rPr>
      <w:rFonts w:ascii="Times New Roman" w:hAnsi="Times New Roman" w:eastAsia="宋体" w:cs="Times New Roman"/>
      <w:b/>
      <w:bCs/>
      <w:kern w:val="0"/>
      <w:sz w:val="24"/>
      <w:szCs w:val="20"/>
    </w:rPr>
  </w:style>
  <w:style w:type="character" w:customStyle="1" w:styleId="277">
    <w:name w:val="普通(网站) 字符"/>
    <w:qFormat/>
    <w:locked/>
    <w:uiPriority w:val="99"/>
    <w:rPr>
      <w:rFonts w:ascii="宋体" w:hAnsi="宋体" w:eastAsia="宋体" w:cs="Times New Roman"/>
      <w:color w:val="000000"/>
      <w:kern w:val="0"/>
      <w:sz w:val="20"/>
      <w:szCs w:val="20"/>
    </w:rPr>
  </w:style>
  <w:style w:type="character" w:customStyle="1" w:styleId="278">
    <w:name w:val="正文文本缩进 字符1"/>
    <w:uiPriority w:val="0"/>
    <w:rPr>
      <w:rFonts w:ascii="Times New Roman" w:hAnsi="Times New Roman" w:eastAsia="宋体" w:cs="Times New Roman"/>
      <w:kern w:val="0"/>
      <w:sz w:val="24"/>
      <w:szCs w:val="20"/>
    </w:rPr>
  </w:style>
  <w:style w:type="character" w:customStyle="1" w:styleId="279">
    <w:name w:val="正文文本 字符1"/>
    <w:qFormat/>
    <w:uiPriority w:val="99"/>
    <w:rPr>
      <w:rFonts w:ascii="Times New Roman" w:hAnsi="Times New Roman" w:eastAsia="宋体" w:cs="Times New Roman"/>
      <w:color w:val="FF0000"/>
      <w:kern w:val="0"/>
      <w:sz w:val="24"/>
      <w:szCs w:val="20"/>
    </w:rPr>
  </w:style>
  <w:style w:type="character" w:customStyle="1" w:styleId="280">
    <w:name w:val="文档结构图 字符1"/>
    <w:qFormat/>
    <w:uiPriority w:val="0"/>
    <w:rPr>
      <w:rFonts w:ascii="宋体" w:hAnsi="Times New Roman" w:eastAsia="宋体" w:cs="Times New Roman"/>
      <w:kern w:val="0"/>
      <w:sz w:val="18"/>
      <w:szCs w:val="18"/>
    </w:rPr>
  </w:style>
  <w:style w:type="character" w:customStyle="1" w:styleId="281">
    <w:name w:val="正文文本缩进 3 字符1"/>
    <w:qFormat/>
    <w:uiPriority w:val="0"/>
    <w:rPr>
      <w:rFonts w:ascii="Times New Roman" w:hAnsi="Times New Roman" w:eastAsia="宋体" w:cs="Times New Roman"/>
      <w:kern w:val="0"/>
      <w:sz w:val="16"/>
      <w:szCs w:val="16"/>
    </w:rPr>
  </w:style>
  <w:style w:type="character" w:customStyle="1" w:styleId="282">
    <w:name w:val="纯文本 字符1"/>
    <w:qFormat/>
    <w:uiPriority w:val="99"/>
    <w:rPr>
      <w:rFonts w:ascii="宋体" w:hAnsi="Courier New" w:eastAsia="宋体" w:cs="Century"/>
      <w:kern w:val="0"/>
      <w:sz w:val="24"/>
      <w:szCs w:val="21"/>
    </w:rPr>
  </w:style>
  <w:style w:type="character" w:customStyle="1" w:styleId="283">
    <w:name w:val="脚注文本 字符1"/>
    <w:uiPriority w:val="0"/>
    <w:rPr>
      <w:rFonts w:ascii="Times New Roman" w:hAnsi="Times New Roman" w:eastAsia="宋体" w:cs="Times New Roman"/>
      <w:kern w:val="0"/>
      <w:sz w:val="18"/>
      <w:szCs w:val="18"/>
    </w:rPr>
  </w:style>
  <w:style w:type="character" w:customStyle="1" w:styleId="284">
    <w:name w:val="正文缩进 字符"/>
    <w:qFormat/>
    <w:uiPriority w:val="0"/>
    <w:rPr>
      <w:rFonts w:ascii="Times New Roman" w:hAnsi="Times New Roman" w:eastAsia="宋体" w:cs="Times New Roman"/>
      <w:kern w:val="0"/>
      <w:sz w:val="28"/>
      <w:szCs w:val="20"/>
    </w:rPr>
  </w:style>
  <w:style w:type="character" w:customStyle="1" w:styleId="285">
    <w:name w:val="日期 字符1"/>
    <w:qFormat/>
    <w:uiPriority w:val="0"/>
    <w:rPr>
      <w:rFonts w:ascii="Calibri" w:hAnsi="Calibri" w:eastAsia="宋体" w:cs="Times New Roman"/>
      <w:kern w:val="0"/>
      <w:sz w:val="20"/>
      <w:szCs w:val="20"/>
    </w:rPr>
  </w:style>
  <w:style w:type="character" w:customStyle="1" w:styleId="286">
    <w:name w:val="正文文本缩进 2 字符1"/>
    <w:qFormat/>
    <w:uiPriority w:val="0"/>
    <w:rPr>
      <w:rFonts w:ascii="Calibri" w:hAnsi="Calibri" w:eastAsia="宋体" w:cs="Times New Roman"/>
      <w:kern w:val="0"/>
      <w:sz w:val="20"/>
      <w:szCs w:val="20"/>
    </w:rPr>
  </w:style>
  <w:style w:type="character" w:customStyle="1" w:styleId="287">
    <w:name w:val="正文文本 (2) + 6.5 pt"/>
    <w:qFormat/>
    <w:uiPriority w:val="0"/>
    <w:rPr>
      <w:rFonts w:ascii="MingLiU" w:hAnsi="MingLiU" w:eastAsia="MingLiU" w:cs="MingLiU"/>
      <w:b/>
      <w:bCs/>
      <w:color w:val="000000"/>
      <w:spacing w:val="0"/>
      <w:w w:val="100"/>
      <w:position w:val="0"/>
      <w:sz w:val="13"/>
      <w:szCs w:val="13"/>
      <w:u w:val="none"/>
      <w:shd w:val="clear" w:color="auto" w:fill="FFFFFF"/>
      <w:lang w:val="en-US" w:eastAsia="en-US" w:bidi="en-US"/>
    </w:rPr>
  </w:style>
  <w:style w:type="character" w:customStyle="1" w:styleId="288">
    <w:name w:val="标题 4 Char1"/>
    <w:basedOn w:val="41"/>
    <w:semiHidden/>
    <w:qFormat/>
    <w:uiPriority w:val="0"/>
    <w:rPr>
      <w:rFonts w:ascii="Cambria" w:hAnsi="Cambria" w:eastAsia="宋体" w:cs="Times New Roman"/>
      <w:b/>
      <w:bCs/>
      <w:color w:val="000000"/>
      <w:sz w:val="28"/>
      <w:szCs w:val="28"/>
    </w:rPr>
  </w:style>
  <w:style w:type="character" w:customStyle="1" w:styleId="289">
    <w:name w:val="标题 5 Char1"/>
    <w:basedOn w:val="41"/>
    <w:semiHidden/>
    <w:qFormat/>
    <w:uiPriority w:val="0"/>
    <w:rPr>
      <w:rFonts w:ascii="Times New Roman" w:hAnsi="Times New Roman"/>
      <w:b/>
      <w:bCs/>
      <w:color w:val="000000"/>
      <w:sz w:val="28"/>
      <w:szCs w:val="28"/>
    </w:rPr>
  </w:style>
  <w:style w:type="character" w:customStyle="1" w:styleId="290">
    <w:name w:val="标题 6 Char1"/>
    <w:basedOn w:val="41"/>
    <w:semiHidden/>
    <w:qFormat/>
    <w:uiPriority w:val="0"/>
    <w:rPr>
      <w:rFonts w:ascii="Cambria" w:hAnsi="Cambria" w:eastAsia="宋体" w:cs="Times New Roman"/>
      <w:b/>
      <w:bCs/>
      <w:color w:val="000000"/>
      <w:sz w:val="24"/>
      <w:szCs w:val="24"/>
    </w:rPr>
  </w:style>
  <w:style w:type="character" w:customStyle="1" w:styleId="291">
    <w:name w:val="标题 7 Char1"/>
    <w:basedOn w:val="41"/>
    <w:semiHidden/>
    <w:qFormat/>
    <w:uiPriority w:val="0"/>
    <w:rPr>
      <w:rFonts w:ascii="Times New Roman" w:hAnsi="Times New Roman"/>
      <w:b/>
      <w:bCs/>
      <w:color w:val="000000"/>
      <w:sz w:val="24"/>
      <w:szCs w:val="24"/>
    </w:rPr>
  </w:style>
  <w:style w:type="character" w:customStyle="1" w:styleId="292">
    <w:name w:val="标题 8 Char1"/>
    <w:basedOn w:val="41"/>
    <w:semiHidden/>
    <w:qFormat/>
    <w:uiPriority w:val="0"/>
    <w:rPr>
      <w:rFonts w:ascii="Cambria" w:hAnsi="Cambria" w:eastAsia="宋体" w:cs="Times New Roman"/>
      <w:color w:val="000000"/>
      <w:sz w:val="24"/>
      <w:szCs w:val="24"/>
    </w:rPr>
  </w:style>
  <w:style w:type="character" w:customStyle="1" w:styleId="293">
    <w:name w:val="副标题 Char1"/>
    <w:basedOn w:val="41"/>
    <w:qFormat/>
    <w:uiPriority w:val="0"/>
    <w:rPr>
      <w:rFonts w:ascii="Cambria" w:hAnsi="Cambria" w:cs="Times New Roman"/>
      <w:b/>
      <w:bCs/>
      <w:color w:val="000000"/>
      <w:kern w:val="28"/>
      <w:sz w:val="32"/>
      <w:szCs w:val="32"/>
    </w:rPr>
  </w:style>
  <w:style w:type="character" w:customStyle="1" w:styleId="294">
    <w:name w:val="引用 Char1"/>
    <w:qFormat/>
    <w:locked/>
    <w:uiPriority w:val="99"/>
    <w:rPr>
      <w:rFonts w:ascii="Times New Roman" w:hAnsi="Times New Roman"/>
      <w:i/>
      <w:iCs/>
      <w:color w:val="000000"/>
      <w:sz w:val="24"/>
    </w:rPr>
  </w:style>
  <w:style w:type="character" w:customStyle="1" w:styleId="295">
    <w:name w:val="明显引用 Char1"/>
    <w:qFormat/>
    <w:locked/>
    <w:uiPriority w:val="99"/>
    <w:rPr>
      <w:rFonts w:ascii="Times New Roman" w:hAnsi="Times New Roman"/>
      <w:b/>
      <w:bCs/>
      <w:i/>
      <w:iCs/>
      <w:color w:val="4F81BD"/>
      <w:sz w:val="24"/>
    </w:rPr>
  </w:style>
  <w:style w:type="character" w:customStyle="1" w:styleId="296">
    <w:name w:val="未处理的提及1"/>
    <w:basedOn w:val="41"/>
    <w:semiHidden/>
    <w:unhideWhenUsed/>
    <w:qFormat/>
    <w:uiPriority w:val="99"/>
    <w:rPr>
      <w:color w:val="808080"/>
      <w:shd w:val="clear" w:color="auto" w:fill="E6E6E6"/>
    </w:rPr>
  </w:style>
</w:styles>
</file>

<file path=word/_rels/document.xml.rels><?xml version="1.0" encoding="UTF-8" standalone="yes"?>
<Relationships xmlns="http://schemas.openxmlformats.org/package/2006/relationships"><Relationship Id="rId99" Type="http://schemas.openxmlformats.org/officeDocument/2006/relationships/customXml" Target="../customXml/item1.xml"/><Relationship Id="rId98" Type="http://schemas.openxmlformats.org/officeDocument/2006/relationships/image" Target="media/image79.png"/><Relationship Id="rId97" Type="http://schemas.openxmlformats.org/officeDocument/2006/relationships/image" Target="media/image78.png"/><Relationship Id="rId96" Type="http://schemas.openxmlformats.org/officeDocument/2006/relationships/image" Target="media/image77.png"/><Relationship Id="rId95" Type="http://schemas.openxmlformats.org/officeDocument/2006/relationships/image" Target="media/image76.png"/><Relationship Id="rId94" Type="http://schemas.openxmlformats.org/officeDocument/2006/relationships/image" Target="media/image75.png"/><Relationship Id="rId93" Type="http://schemas.openxmlformats.org/officeDocument/2006/relationships/image" Target="media/image74.emf"/><Relationship Id="rId92" Type="http://schemas.openxmlformats.org/officeDocument/2006/relationships/image" Target="media/image73.emf"/><Relationship Id="rId91" Type="http://schemas.openxmlformats.org/officeDocument/2006/relationships/image" Target="media/image72.png"/><Relationship Id="rId90" Type="http://schemas.openxmlformats.org/officeDocument/2006/relationships/image" Target="media/image71.png"/><Relationship Id="rId9" Type="http://schemas.openxmlformats.org/officeDocument/2006/relationships/footer" Target="footer2.xml"/><Relationship Id="rId89" Type="http://schemas.openxmlformats.org/officeDocument/2006/relationships/image" Target="media/image70.png"/><Relationship Id="rId88" Type="http://schemas.openxmlformats.org/officeDocument/2006/relationships/image" Target="media/image69.png"/><Relationship Id="rId87" Type="http://schemas.openxmlformats.org/officeDocument/2006/relationships/image" Target="media/image68.jpeg"/><Relationship Id="rId86" Type="http://schemas.openxmlformats.org/officeDocument/2006/relationships/image" Target="media/image67.png"/><Relationship Id="rId85" Type="http://schemas.openxmlformats.org/officeDocument/2006/relationships/image" Target="media/image66.png"/><Relationship Id="rId84" Type="http://schemas.openxmlformats.org/officeDocument/2006/relationships/image" Target="media/image65.png"/><Relationship Id="rId83" Type="http://schemas.openxmlformats.org/officeDocument/2006/relationships/image" Target="media/image64.png"/><Relationship Id="rId82" Type="http://schemas.openxmlformats.org/officeDocument/2006/relationships/image" Target="media/image63.png"/><Relationship Id="rId81" Type="http://schemas.openxmlformats.org/officeDocument/2006/relationships/image" Target="media/image62.png"/><Relationship Id="rId80" Type="http://schemas.openxmlformats.org/officeDocument/2006/relationships/image" Target="media/image61.png"/><Relationship Id="rId8" Type="http://schemas.openxmlformats.org/officeDocument/2006/relationships/footer" Target="footer1.xml"/><Relationship Id="rId79" Type="http://schemas.openxmlformats.org/officeDocument/2006/relationships/image" Target="media/image60.png"/><Relationship Id="rId78" Type="http://schemas.openxmlformats.org/officeDocument/2006/relationships/image" Target="media/image59.wmf"/><Relationship Id="rId77" Type="http://schemas.openxmlformats.org/officeDocument/2006/relationships/image" Target="media/image58.wmf"/><Relationship Id="rId76" Type="http://schemas.openxmlformats.org/officeDocument/2006/relationships/image" Target="media/image57.wmf"/><Relationship Id="rId75" Type="http://schemas.openxmlformats.org/officeDocument/2006/relationships/image" Target="media/image56.wmf"/><Relationship Id="rId74" Type="http://schemas.openxmlformats.org/officeDocument/2006/relationships/image" Target="media/image55.wmf"/><Relationship Id="rId73" Type="http://schemas.openxmlformats.org/officeDocument/2006/relationships/image" Target="media/image54.wmf"/><Relationship Id="rId72" Type="http://schemas.openxmlformats.org/officeDocument/2006/relationships/image" Target="media/image53.wmf"/><Relationship Id="rId71" Type="http://schemas.openxmlformats.org/officeDocument/2006/relationships/image" Target="media/image52.wmf"/><Relationship Id="rId70" Type="http://schemas.openxmlformats.org/officeDocument/2006/relationships/image" Target="media/image51.wmf"/><Relationship Id="rId7" Type="http://schemas.openxmlformats.org/officeDocument/2006/relationships/header" Target="header3.xml"/><Relationship Id="rId69" Type="http://schemas.openxmlformats.org/officeDocument/2006/relationships/image" Target="media/image50.wmf"/><Relationship Id="rId68" Type="http://schemas.openxmlformats.org/officeDocument/2006/relationships/image" Target="media/image49.wmf"/><Relationship Id="rId67" Type="http://schemas.openxmlformats.org/officeDocument/2006/relationships/image" Target="media/image48.wmf"/><Relationship Id="rId66" Type="http://schemas.openxmlformats.org/officeDocument/2006/relationships/image" Target="media/image47.wmf"/><Relationship Id="rId65" Type="http://schemas.openxmlformats.org/officeDocument/2006/relationships/image" Target="media/image46.wmf"/><Relationship Id="rId64" Type="http://schemas.openxmlformats.org/officeDocument/2006/relationships/image" Target="media/image45.wmf"/><Relationship Id="rId63" Type="http://schemas.openxmlformats.org/officeDocument/2006/relationships/image" Target="media/image44.wmf"/><Relationship Id="rId62" Type="http://schemas.openxmlformats.org/officeDocument/2006/relationships/image" Target="media/image43.emf"/><Relationship Id="rId61" Type="http://schemas.openxmlformats.org/officeDocument/2006/relationships/oleObject" Target="embeddings/oleObject1.bin"/><Relationship Id="rId60" Type="http://schemas.openxmlformats.org/officeDocument/2006/relationships/image" Target="media/image42.emf"/><Relationship Id="rId6" Type="http://schemas.openxmlformats.org/officeDocument/2006/relationships/header" Target="header2.xml"/><Relationship Id="rId59" Type="http://schemas.openxmlformats.org/officeDocument/2006/relationships/image" Target="media/image41.jpeg"/><Relationship Id="rId58" Type="http://schemas.openxmlformats.org/officeDocument/2006/relationships/image" Target="media/image40.jpeg"/><Relationship Id="rId57" Type="http://schemas.openxmlformats.org/officeDocument/2006/relationships/image" Target="media/image39.jpeg"/><Relationship Id="rId56" Type="http://schemas.openxmlformats.org/officeDocument/2006/relationships/image" Target="media/image38.jpe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jpeg"/><Relationship Id="rId52" Type="http://schemas.openxmlformats.org/officeDocument/2006/relationships/image" Target="media/image34.png"/><Relationship Id="rId51" Type="http://schemas.openxmlformats.org/officeDocument/2006/relationships/image" Target="media/image33.jpeg"/><Relationship Id="rId50" Type="http://schemas.openxmlformats.org/officeDocument/2006/relationships/image" Target="media/image32.png"/><Relationship Id="rId5" Type="http://schemas.openxmlformats.org/officeDocument/2006/relationships/header" Target="header1.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emf"/><Relationship Id="rId44" Type="http://schemas.openxmlformats.org/officeDocument/2006/relationships/image" Target="media/image26.png"/><Relationship Id="rId43" Type="http://schemas.openxmlformats.org/officeDocument/2006/relationships/image" Target="media/image25.jpeg"/><Relationship Id="rId42" Type="http://schemas.openxmlformats.org/officeDocument/2006/relationships/image" Target="media/image24.jpeg"/><Relationship Id="rId41" Type="http://schemas.openxmlformats.org/officeDocument/2006/relationships/image" Target="media/image23.jpeg"/><Relationship Id="rId40" Type="http://schemas.openxmlformats.org/officeDocument/2006/relationships/image" Target="media/image22.jpeg"/><Relationship Id="rId4" Type="http://schemas.openxmlformats.org/officeDocument/2006/relationships/endnotes" Target="endnotes.xml"/><Relationship Id="rId39" Type="http://schemas.openxmlformats.org/officeDocument/2006/relationships/image" Target="media/image21.jpeg"/><Relationship Id="rId38" Type="http://schemas.openxmlformats.org/officeDocument/2006/relationships/image" Target="media/image20.jpe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png"/><Relationship Id="rId34" Type="http://schemas.openxmlformats.org/officeDocument/2006/relationships/image" Target="media/image16.jpeg"/><Relationship Id="rId33" Type="http://schemas.openxmlformats.org/officeDocument/2006/relationships/image" Target="media/image15.jpeg"/><Relationship Id="rId32" Type="http://schemas.openxmlformats.org/officeDocument/2006/relationships/image" Target="media/image14.jpeg"/><Relationship Id="rId31" Type="http://schemas.openxmlformats.org/officeDocument/2006/relationships/image" Target="media/image13.jpeg"/><Relationship Id="rId30" Type="http://schemas.openxmlformats.org/officeDocument/2006/relationships/image" Target="media/image12.png"/><Relationship Id="rId3" Type="http://schemas.openxmlformats.org/officeDocument/2006/relationships/footnotes" Target="footnotes.xml"/><Relationship Id="rId29" Type="http://schemas.openxmlformats.org/officeDocument/2006/relationships/image" Target="media/image11.jpeg"/><Relationship Id="rId28" Type="http://schemas.openxmlformats.org/officeDocument/2006/relationships/image" Target="media/image10.png"/><Relationship Id="rId27" Type="http://schemas.openxmlformats.org/officeDocument/2006/relationships/image" Target="media/image9.png"/><Relationship Id="rId26" Type="http://schemas.openxmlformats.org/officeDocument/2006/relationships/image" Target="media/image8.png"/><Relationship Id="rId25" Type="http://schemas.openxmlformats.org/officeDocument/2006/relationships/image" Target="media/image7.jpeg"/><Relationship Id="rId24" Type="http://schemas.openxmlformats.org/officeDocument/2006/relationships/image" Target="media/image6.png"/><Relationship Id="rId23" Type="http://schemas.openxmlformats.org/officeDocument/2006/relationships/image" Target="media/image5.png"/><Relationship Id="rId22" Type="http://schemas.openxmlformats.org/officeDocument/2006/relationships/image" Target="media/image4.jpeg"/><Relationship Id="rId21" Type="http://schemas.openxmlformats.org/officeDocument/2006/relationships/image" Target="media/image3.png"/><Relationship Id="rId20" Type="http://schemas.openxmlformats.org/officeDocument/2006/relationships/image" Target="media/image2.jpeg"/><Relationship Id="rId2" Type="http://schemas.openxmlformats.org/officeDocument/2006/relationships/settings" Target="settings.xml"/><Relationship Id="rId19" Type="http://schemas.openxmlformats.org/officeDocument/2006/relationships/image" Target="media/image1.png"/><Relationship Id="rId18" Type="http://schemas.openxmlformats.org/officeDocument/2006/relationships/theme" Target="theme/theme1.xml"/><Relationship Id="rId17" Type="http://schemas.openxmlformats.org/officeDocument/2006/relationships/header" Target="header7.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footer" Target="footer4.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header" Target="header4.xml"/><Relationship Id="rId102" Type="http://schemas.openxmlformats.org/officeDocument/2006/relationships/fontTable" Target="fontTable.xml"/><Relationship Id="rId101" Type="http://schemas.openxmlformats.org/officeDocument/2006/relationships/customXml" Target="../customXml/item2.xml"/><Relationship Id="rId100" Type="http://schemas.openxmlformats.org/officeDocument/2006/relationships/numbering" Target="numbering.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593106E-C546-4DEB-8C1F-D46A607F273F}">
  <ds:schemaRefs/>
</ds:datastoreItem>
</file>

<file path=docProps/app.xml><?xml version="1.0" encoding="utf-8"?>
<Properties xmlns="http://schemas.openxmlformats.org/officeDocument/2006/extended-properties" xmlns:vt="http://schemas.openxmlformats.org/officeDocument/2006/docPropsVTypes">
  <Template>Normal.dotm</Template>
  <Company>SkyUN.Org</Company>
  <Pages>119</Pages>
  <Words>119289</Words>
  <Characters>133743</Characters>
  <Lines>1119</Lines>
  <Paragraphs>315</Paragraphs>
  <TotalTime>102</TotalTime>
  <ScaleCrop>false</ScaleCrop>
  <LinksUpToDate>false</LinksUpToDate>
  <CharactersWithSpaces>136394</CharactersWithSpaces>
  <Application>WPS Office_11.1.0.12302_F1E327BC-269C-435d-A152-05C5408002CA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2018-10-21T13:12:00Z</dcterms:created>
  <dc:creator>Administrator</dc:creator>
  <cp:lastModifiedBy>蜜糖</cp:lastModifiedBy>
  <cp:lastPrinted>2019-08-16T05:52:00Z</cp:lastPrinted>
  <dcterms:modified xsi:type="dcterms:W3CDTF">2022-08-15T00:39:34Z</dcterms:modified>
  <dc:title>说明书.doc</dc:title>
  <cp:revision>825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2052-11.1.0.12302</vt:lpwstr>
  </property>
  <property fmtid="{D5CDD505-2E9C-101B-9397-08002B2CF9AE}" pid="3" name="ICV">
    <vt:lpwstr>CF990C23EFC749AA8C69C085941E8527</vt:lpwstr>
  </property>
</Properties>
</file>