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120" w:line="480" w:lineRule="atLeast"/>
        <w:contextualSpacing/>
        <w:jc w:val="both"/>
        <w:rPr>
          <w:rFonts w:hint="default" w:ascii="宋体" w:hAnsi="宋体" w:eastAsia="宋体" w:cs="仿宋"/>
          <w:b/>
          <w:sz w:val="52"/>
          <w:szCs w:val="5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rPr>
        <w:t>淮北市政府网站集约化平台</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系统代码审计和安全扫描项目</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宋体" w:hAnsi="宋体" w:eastAsia="宋体" w:cs="仿宋"/>
          <w:b w:val="0"/>
          <w:bCs/>
          <w:sz w:val="52"/>
          <w:szCs w:val="52"/>
        </w:rPr>
      </w:pPr>
      <w:r>
        <w:rPr>
          <w:rFonts w:hint="eastAsia" w:ascii="方正小标宋简体" w:hAnsi="方正小标宋简体" w:eastAsia="方正小标宋简体" w:cs="方正小标宋简体"/>
          <w:b w:val="0"/>
          <w:bCs/>
          <w:sz w:val="44"/>
          <w:szCs w:val="44"/>
        </w:rPr>
        <w:t>竞争性磋商文件</w:t>
      </w: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40" w:after="120" w:line="480" w:lineRule="atLeast"/>
        <w:contextualSpacing/>
        <w:rPr>
          <w:rFonts w:hint="default" w:ascii="宋体" w:hAnsi="宋体" w:eastAsia="宋体" w:cs="仿宋"/>
          <w:snapToGrid w:val="0"/>
          <w:sz w:val="28"/>
          <w:szCs w:val="28"/>
        </w:rPr>
      </w:pPr>
    </w:p>
    <w:p>
      <w:pPr>
        <w:spacing w:before="20" w:line="264" w:lineRule="auto"/>
        <w:jc w:val="center"/>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淮北市人民政府办公室</w:t>
      </w:r>
    </w:p>
    <w:p>
      <w:pPr>
        <w:spacing w:before="20" w:line="264" w:lineRule="auto"/>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2022年</w:t>
      </w:r>
      <w:r>
        <w:rPr>
          <w:rFonts w:hint="eastAsia" w:ascii="仿宋_GB2312" w:hAnsi="仿宋_GB2312" w:cs="仿宋_GB2312"/>
          <w:b w:val="0"/>
          <w:bCs/>
          <w:sz w:val="32"/>
          <w:szCs w:val="32"/>
          <w:lang w:val="en-US" w:eastAsia="zh-CN"/>
        </w:rPr>
        <w:t>7</w:t>
      </w:r>
      <w:r>
        <w:rPr>
          <w:rFonts w:hint="eastAsia" w:ascii="仿宋_GB2312" w:hAnsi="仿宋_GB2312" w:eastAsia="仿宋_GB2312" w:cs="仿宋_GB2312"/>
          <w:b w:val="0"/>
          <w:bCs/>
          <w:sz w:val="32"/>
          <w:szCs w:val="32"/>
          <w:lang w:eastAsia="zh-CN"/>
        </w:rPr>
        <w:t>月</w:t>
      </w:r>
      <w:r>
        <w:rPr>
          <w:rFonts w:hint="eastAsia" w:ascii="仿宋_GB2312" w:hAnsi="仿宋_GB2312" w:cs="仿宋_GB2312"/>
          <w:b w:val="0"/>
          <w:bCs/>
          <w:sz w:val="32"/>
          <w:szCs w:val="32"/>
          <w:lang w:val="en-US" w:eastAsia="zh-CN"/>
        </w:rPr>
        <w:t>26</w:t>
      </w:r>
      <w:r>
        <w:rPr>
          <w:rFonts w:hint="eastAsia" w:ascii="仿宋_GB2312" w:hAnsi="仿宋_GB2312" w:eastAsia="仿宋_GB2312" w:cs="仿宋_GB2312"/>
          <w:b w:val="0"/>
          <w:bCs/>
          <w:sz w:val="32"/>
          <w:szCs w:val="32"/>
          <w:lang w:eastAsia="zh-CN"/>
        </w:rPr>
        <w:t>日</w:t>
      </w:r>
    </w:p>
    <w:p>
      <w:pPr>
        <w:pStyle w:val="2"/>
        <w:keepNext/>
        <w:keepLines/>
        <w:pageBreakBefore w:val="0"/>
        <w:widowControl w:val="0"/>
        <w:kinsoku/>
        <w:wordWrap/>
        <w:overflowPunct/>
        <w:topLinePunct w:val="0"/>
        <w:autoSpaceDE/>
        <w:autoSpaceDN/>
        <w:bidi w:val="0"/>
        <w:adjustRightInd/>
        <w:snapToGrid/>
        <w:spacing w:before="0" w:after="300" w:afterLines="100" w:line="520" w:lineRule="exact"/>
        <w:ind w:right="0"/>
        <w:jc w:val="center"/>
        <w:textAlignment w:val="auto"/>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bookmarkStart w:id="15" w:name="_GoBack"/>
      <w:bookmarkEnd w:id="15"/>
    </w:p>
    <w:p>
      <w:pPr>
        <w:pStyle w:val="2"/>
        <w:keepNext/>
        <w:keepLines/>
        <w:pageBreakBefore w:val="0"/>
        <w:widowControl w:val="0"/>
        <w:kinsoku/>
        <w:wordWrap/>
        <w:overflowPunct/>
        <w:topLinePunct w:val="0"/>
        <w:autoSpaceDE/>
        <w:autoSpaceDN/>
        <w:bidi w:val="0"/>
        <w:adjustRightInd/>
        <w:snapToGrid/>
        <w:spacing w:before="0" w:after="300" w:afterLines="100" w:line="520" w:lineRule="exact"/>
        <w:ind w:right="0"/>
        <w:jc w:val="center"/>
        <w:textAlignment w:val="auto"/>
        <w:rPr>
          <w:rFonts w:ascii="Times New Roman"/>
          <w:sz w:val="2"/>
        </w:rPr>
      </w:pPr>
      <w:r>
        <w:rPr>
          <w:rFonts w:hint="eastAsia" w:ascii="方正小标宋简体" w:hAnsi="方正小标宋简体" w:eastAsia="方正小标宋简体" w:cs="方正小标宋简体"/>
          <w:b w:val="0"/>
          <w:bCs w:val="0"/>
        </w:rPr>
        <w:t>供应商须知前附表</w:t>
      </w:r>
      <w:r>
        <mc:AlternateContent>
          <mc:Choice Requires="wps">
            <w:drawing>
              <wp:anchor distT="0" distB="0" distL="114300" distR="114300" simplePos="0" relativeHeight="251659264" behindDoc="1" locked="0" layoutInCell="1" allowOverlap="1">
                <wp:simplePos x="0" y="0"/>
                <wp:positionH relativeFrom="page">
                  <wp:posOffset>6802120</wp:posOffset>
                </wp:positionH>
                <wp:positionV relativeFrom="page">
                  <wp:posOffset>1988820</wp:posOffset>
                </wp:positionV>
                <wp:extent cx="56515" cy="6350"/>
                <wp:effectExtent l="0" t="0" r="0"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6515" cy="635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35.6pt;margin-top:156.6pt;height:0.5pt;width:4.45pt;mso-position-horizontal-relative:page;mso-position-vertical-relative:page;z-index:-251657216;mso-width-relative:page;mso-height-relative:page;" fillcolor="#000000" filled="t" stroked="f" coordsize="21600,21600" o:gfxdata="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Vuoh2gAA&#10;AA0BAAAPAAAAAAAAAAEAIAAAACIAAABkcnMvZG93bnJldi54bWxQSwECFAAUAAAACACHTuJA4U7l&#10;vBwCAAAwBAAADgAAAAAAAAABACAAAAApAQAAZHJzL2Uyb0RvYy54bWxQSwUGAAAAAAYABgBZAQAA&#10;twUAAAAA&#10;">
                <v:fill on="t" focussize="0,0"/>
                <v:stroke on="f"/>
                <v:imagedata o:title=""/>
                <o:lock v:ext="edit" aspectratio="f"/>
              </v:rect>
            </w:pict>
          </mc:Fallback>
        </mc:AlternateContent>
      </w:r>
    </w:p>
    <w:tbl>
      <w:tblPr>
        <w:tblStyle w:val="9"/>
        <w:tblW w:w="85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7"/>
        <w:gridCol w:w="1803"/>
        <w:gridCol w:w="5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27" w:type="dxa"/>
            <w:noWrap w:val="0"/>
            <w:vAlign w:val="center"/>
          </w:tcPr>
          <w:p>
            <w:pPr>
              <w:pStyle w:val="8"/>
              <w:spacing w:before="48"/>
              <w:jc w:val="center"/>
              <w:rPr>
                <w:rFonts w:ascii="Microsoft JhengHei" w:eastAsia="Microsoft JhengHei"/>
                <w:b/>
                <w:sz w:val="21"/>
              </w:rPr>
            </w:pPr>
            <w:r>
              <w:rPr>
                <w:rFonts w:hint="eastAsia" w:ascii="宋体" w:hAnsi="宋体" w:eastAsia="宋体"/>
                <w:b/>
                <w:sz w:val="21"/>
              </w:rPr>
              <w:t>序号</w:t>
            </w:r>
          </w:p>
        </w:tc>
        <w:tc>
          <w:tcPr>
            <w:tcW w:w="1803" w:type="dxa"/>
            <w:noWrap w:val="0"/>
            <w:vAlign w:val="center"/>
          </w:tcPr>
          <w:p>
            <w:pPr>
              <w:pStyle w:val="8"/>
              <w:spacing w:before="48"/>
              <w:jc w:val="center"/>
              <w:rPr>
                <w:rFonts w:ascii="Microsoft JhengHei" w:eastAsia="Microsoft JhengHei"/>
                <w:b/>
                <w:sz w:val="21"/>
              </w:rPr>
            </w:pPr>
            <w:r>
              <w:rPr>
                <w:rFonts w:hint="eastAsia" w:ascii="Microsoft JhengHei" w:eastAsia="Microsoft JhengHei"/>
                <w:b/>
                <w:sz w:val="21"/>
              </w:rPr>
              <w:t>条款名称</w:t>
            </w:r>
          </w:p>
        </w:tc>
        <w:tc>
          <w:tcPr>
            <w:tcW w:w="5535" w:type="dxa"/>
            <w:noWrap w:val="0"/>
            <w:vAlign w:val="center"/>
          </w:tcPr>
          <w:p>
            <w:pPr>
              <w:pStyle w:val="8"/>
              <w:tabs>
                <w:tab w:val="left" w:pos="429"/>
                <w:tab w:val="left" w:pos="849"/>
                <w:tab w:val="left" w:pos="1269"/>
              </w:tabs>
              <w:spacing w:before="48"/>
              <w:jc w:val="center"/>
              <w:rPr>
                <w:rFonts w:ascii="Microsoft JhengHei" w:eastAsia="Microsoft JhengHei"/>
                <w:b/>
                <w:sz w:val="21"/>
              </w:rPr>
            </w:pPr>
            <w:r>
              <w:rPr>
                <w:rFonts w:hint="eastAsia" w:ascii="Microsoft JhengHei" w:eastAsia="Microsoft JhengHei"/>
                <w:b/>
                <w:sz w:val="21"/>
              </w:rPr>
              <w:t>编</w:t>
            </w:r>
            <w:r>
              <w:rPr>
                <w:rFonts w:hint="eastAsia" w:ascii="Microsoft JhengHei" w:eastAsia="Microsoft JhengHei"/>
                <w:b/>
                <w:sz w:val="21"/>
              </w:rPr>
              <w:tab/>
            </w:r>
            <w:r>
              <w:rPr>
                <w:rFonts w:hint="eastAsia" w:ascii="Microsoft JhengHei" w:eastAsia="Microsoft JhengHei"/>
                <w:b/>
                <w:sz w:val="21"/>
              </w:rPr>
              <w:t>列</w:t>
            </w:r>
            <w:r>
              <w:rPr>
                <w:rFonts w:hint="eastAsia" w:ascii="Microsoft JhengHei" w:eastAsia="Microsoft JhengHei"/>
                <w:b/>
                <w:sz w:val="21"/>
              </w:rPr>
              <w:tab/>
            </w:r>
            <w:r>
              <w:rPr>
                <w:rFonts w:hint="eastAsia" w:ascii="Microsoft JhengHei" w:eastAsia="Microsoft JhengHei"/>
                <w:b/>
                <w:sz w:val="21"/>
              </w:rPr>
              <w:t>内</w:t>
            </w:r>
            <w:r>
              <w:rPr>
                <w:rFonts w:hint="eastAsia" w:ascii="Microsoft JhengHei" w:eastAsia="Microsoft JhengHei"/>
                <w:b/>
                <w:sz w:val="21"/>
              </w:rPr>
              <w:tab/>
            </w:r>
            <w:r>
              <w:rPr>
                <w:rFonts w:hint="eastAsia" w:ascii="Microsoft JhengHei" w:eastAsia="Microsoft JhengHei"/>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1</w:t>
            </w:r>
          </w:p>
        </w:tc>
        <w:tc>
          <w:tcPr>
            <w:tcW w:w="1803" w:type="dxa"/>
            <w:noWrap w:val="0"/>
            <w:vAlign w:val="center"/>
          </w:tcPr>
          <w:p>
            <w:pPr>
              <w:pStyle w:val="8"/>
              <w:spacing w:before="117"/>
              <w:jc w:val="both"/>
              <w:rPr>
                <w:sz w:val="21"/>
              </w:rPr>
            </w:pPr>
            <w:r>
              <w:rPr>
                <w:sz w:val="21"/>
              </w:rPr>
              <w:t>采购人</w:t>
            </w:r>
          </w:p>
        </w:tc>
        <w:tc>
          <w:tcPr>
            <w:tcW w:w="5535" w:type="dxa"/>
            <w:noWrap w:val="0"/>
            <w:vAlign w:val="center"/>
          </w:tcPr>
          <w:p>
            <w:pPr>
              <w:pStyle w:val="8"/>
              <w:spacing w:before="117"/>
              <w:jc w:val="both"/>
              <w:rPr>
                <w:rFonts w:hint="eastAsia" w:eastAsia="宋体"/>
                <w:sz w:val="21"/>
                <w:lang w:eastAsia="zh-CN"/>
              </w:rPr>
            </w:pPr>
            <w:r>
              <w:rPr>
                <w:rFonts w:hint="eastAsia"/>
                <w:sz w:val="21"/>
                <w:lang w:eastAsia="zh-CN"/>
              </w:rPr>
              <w:t>淮北市人民政府办公室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2</w:t>
            </w:r>
          </w:p>
        </w:tc>
        <w:tc>
          <w:tcPr>
            <w:tcW w:w="1803" w:type="dxa"/>
            <w:noWrap w:val="0"/>
            <w:vAlign w:val="center"/>
          </w:tcPr>
          <w:p>
            <w:pPr>
              <w:pStyle w:val="8"/>
              <w:spacing w:before="117"/>
              <w:jc w:val="both"/>
              <w:rPr>
                <w:sz w:val="21"/>
              </w:rPr>
            </w:pPr>
            <w:r>
              <w:rPr>
                <w:sz w:val="21"/>
              </w:rPr>
              <w:t>采购项目名称</w:t>
            </w:r>
          </w:p>
        </w:tc>
        <w:tc>
          <w:tcPr>
            <w:tcW w:w="5535" w:type="dxa"/>
            <w:noWrap w:val="0"/>
            <w:vAlign w:val="center"/>
          </w:tcPr>
          <w:p>
            <w:pPr>
              <w:pStyle w:val="8"/>
              <w:spacing w:before="117"/>
              <w:jc w:val="both"/>
              <w:rPr>
                <w:sz w:val="21"/>
              </w:rPr>
            </w:pPr>
            <w:r>
              <w:rPr>
                <w:rFonts w:hint="eastAsia"/>
                <w:sz w:val="21"/>
                <w:lang w:val="en-US" w:eastAsia="zh-CN"/>
              </w:rPr>
              <w:t>2022年</w:t>
            </w:r>
            <w:r>
              <w:rPr>
                <w:rFonts w:hint="eastAsia"/>
                <w:sz w:val="21"/>
              </w:rPr>
              <w:t>淮北市政府网站集约化平台系统代码审计和安全扫描项目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3</w:t>
            </w:r>
          </w:p>
        </w:tc>
        <w:tc>
          <w:tcPr>
            <w:tcW w:w="1803" w:type="dxa"/>
            <w:noWrap w:val="0"/>
            <w:vAlign w:val="center"/>
          </w:tcPr>
          <w:p>
            <w:pPr>
              <w:pStyle w:val="8"/>
              <w:spacing w:before="32"/>
              <w:jc w:val="both"/>
              <w:rPr>
                <w:sz w:val="21"/>
              </w:rPr>
            </w:pPr>
            <w:r>
              <w:rPr>
                <w:sz w:val="21"/>
              </w:rPr>
              <w:t>标段（包别）划分</w:t>
            </w:r>
          </w:p>
        </w:tc>
        <w:tc>
          <w:tcPr>
            <w:tcW w:w="5535" w:type="dxa"/>
            <w:noWrap w:val="0"/>
            <w:vAlign w:val="center"/>
          </w:tcPr>
          <w:p>
            <w:pPr>
              <w:pStyle w:val="8"/>
              <w:spacing w:before="109"/>
              <w:jc w:val="both"/>
              <w:rPr>
                <w:sz w:val="21"/>
              </w:rPr>
            </w:pPr>
            <w:r>
              <w:rPr>
                <w:sz w:val="21"/>
              </w:rPr>
              <w:t xml:space="preserve">本项目共分为 </w:t>
            </w:r>
            <w:r>
              <w:rPr>
                <w:rFonts w:ascii="Times New Roman" w:eastAsia="Times New Roman"/>
                <w:sz w:val="21"/>
              </w:rPr>
              <w:t xml:space="preserve">1 </w:t>
            </w:r>
            <w:r>
              <w:rPr>
                <w:sz w:val="21"/>
              </w:rPr>
              <w:t>个标包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4</w:t>
            </w:r>
          </w:p>
        </w:tc>
        <w:tc>
          <w:tcPr>
            <w:tcW w:w="1803" w:type="dxa"/>
            <w:noWrap w:val="0"/>
            <w:vAlign w:val="center"/>
          </w:tcPr>
          <w:p>
            <w:pPr>
              <w:pStyle w:val="8"/>
              <w:spacing w:before="72"/>
              <w:jc w:val="both"/>
              <w:rPr>
                <w:sz w:val="21"/>
              </w:rPr>
            </w:pPr>
            <w:r>
              <w:rPr>
                <w:sz w:val="21"/>
              </w:rPr>
              <w:t>采购预算</w:t>
            </w:r>
          </w:p>
        </w:tc>
        <w:tc>
          <w:tcPr>
            <w:tcW w:w="5535" w:type="dxa"/>
            <w:noWrap w:val="0"/>
            <w:vAlign w:val="center"/>
          </w:tcPr>
          <w:p>
            <w:pPr>
              <w:pStyle w:val="8"/>
              <w:spacing w:before="195"/>
              <w:jc w:val="both"/>
              <w:rPr>
                <w:sz w:val="21"/>
              </w:rPr>
            </w:pPr>
            <w:r>
              <w:rPr>
                <w:sz w:val="21"/>
              </w:rPr>
              <w:t>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5</w:t>
            </w:r>
          </w:p>
        </w:tc>
        <w:tc>
          <w:tcPr>
            <w:tcW w:w="1803" w:type="dxa"/>
            <w:noWrap w:val="0"/>
            <w:vAlign w:val="center"/>
          </w:tcPr>
          <w:p>
            <w:pPr>
              <w:pStyle w:val="8"/>
              <w:spacing w:before="117"/>
              <w:jc w:val="both"/>
              <w:rPr>
                <w:sz w:val="21"/>
              </w:rPr>
            </w:pPr>
            <w:r>
              <w:rPr>
                <w:sz w:val="21"/>
              </w:rPr>
              <w:t>资金落实情况</w:t>
            </w:r>
          </w:p>
        </w:tc>
        <w:tc>
          <w:tcPr>
            <w:tcW w:w="5535" w:type="dxa"/>
            <w:noWrap w:val="0"/>
            <w:vAlign w:val="center"/>
          </w:tcPr>
          <w:p>
            <w:pPr>
              <w:pStyle w:val="8"/>
              <w:spacing w:before="117"/>
              <w:jc w:val="both"/>
              <w:rPr>
                <w:sz w:val="21"/>
              </w:rPr>
            </w:pPr>
            <w:r>
              <w:rPr>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6</w:t>
            </w:r>
          </w:p>
        </w:tc>
        <w:tc>
          <w:tcPr>
            <w:tcW w:w="1803" w:type="dxa"/>
            <w:noWrap w:val="0"/>
            <w:vAlign w:val="center"/>
          </w:tcPr>
          <w:p>
            <w:pPr>
              <w:pStyle w:val="8"/>
              <w:spacing w:before="117"/>
              <w:jc w:val="both"/>
              <w:rPr>
                <w:sz w:val="21"/>
              </w:rPr>
            </w:pPr>
            <w:r>
              <w:rPr>
                <w:sz w:val="21"/>
              </w:rPr>
              <w:t>采购需求</w:t>
            </w:r>
          </w:p>
        </w:tc>
        <w:tc>
          <w:tcPr>
            <w:tcW w:w="5535" w:type="dxa"/>
            <w:noWrap w:val="0"/>
            <w:vAlign w:val="center"/>
          </w:tcPr>
          <w:p>
            <w:pPr>
              <w:pStyle w:val="8"/>
              <w:spacing w:before="117"/>
              <w:jc w:val="both"/>
              <w:rPr>
                <w:sz w:val="21"/>
              </w:rPr>
            </w:pPr>
            <w:r>
              <w:rPr>
                <w:sz w:val="21"/>
              </w:rPr>
              <w:t>具体采购需求详见第三章采购需求。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ascii="Times New Roman"/>
                <w:sz w:val="21"/>
              </w:rPr>
            </w:pPr>
            <w:r>
              <w:rPr>
                <w:rFonts w:ascii="Times New Roman"/>
                <w:sz w:val="21"/>
              </w:rPr>
              <w:t>7</w:t>
            </w:r>
          </w:p>
        </w:tc>
        <w:tc>
          <w:tcPr>
            <w:tcW w:w="1803" w:type="dxa"/>
            <w:noWrap w:val="0"/>
            <w:vAlign w:val="center"/>
          </w:tcPr>
          <w:p>
            <w:pPr>
              <w:pStyle w:val="8"/>
              <w:jc w:val="both"/>
              <w:rPr>
                <w:sz w:val="21"/>
              </w:rPr>
            </w:pPr>
            <w:r>
              <w:rPr>
                <w:sz w:val="21"/>
              </w:rPr>
              <w:t>服务期限</w:t>
            </w:r>
          </w:p>
        </w:tc>
        <w:tc>
          <w:tcPr>
            <w:tcW w:w="5535" w:type="dxa"/>
            <w:noWrap w:val="0"/>
            <w:vAlign w:val="center"/>
          </w:tcPr>
          <w:p>
            <w:pPr>
              <w:pStyle w:val="8"/>
              <w:spacing w:before="33"/>
              <w:jc w:val="both"/>
              <w:rPr>
                <w:sz w:val="21"/>
              </w:rPr>
            </w:pPr>
            <w:r>
              <w:rPr>
                <w:sz w:val="21"/>
              </w:rPr>
              <w:t>见竞争性磋商公告</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sz w:val="21"/>
                <w:lang w:val="en-US" w:eastAsia="zh-CN"/>
              </w:rPr>
            </w:pPr>
            <w:r>
              <w:rPr>
                <w:rFonts w:hint="eastAsia" w:ascii="Times New Roman"/>
                <w:sz w:val="21"/>
                <w:lang w:val="en-US" w:eastAsia="zh-CN"/>
              </w:rPr>
              <w:t>8</w:t>
            </w:r>
          </w:p>
        </w:tc>
        <w:tc>
          <w:tcPr>
            <w:tcW w:w="1803" w:type="dxa"/>
            <w:noWrap w:val="0"/>
            <w:vAlign w:val="center"/>
          </w:tcPr>
          <w:p>
            <w:pPr>
              <w:pStyle w:val="8"/>
              <w:jc w:val="both"/>
              <w:rPr>
                <w:rFonts w:hint="eastAsia" w:eastAsia="宋体"/>
                <w:sz w:val="21"/>
                <w:lang w:eastAsia="zh-CN"/>
              </w:rPr>
            </w:pPr>
            <w:r>
              <w:rPr>
                <w:rFonts w:hint="eastAsia"/>
                <w:sz w:val="21"/>
                <w:lang w:eastAsia="zh-CN"/>
              </w:rPr>
              <w:t>性能要求</w:t>
            </w:r>
          </w:p>
        </w:tc>
        <w:tc>
          <w:tcPr>
            <w:tcW w:w="5535" w:type="dxa"/>
            <w:noWrap w:val="0"/>
            <w:vAlign w:val="center"/>
          </w:tcPr>
          <w:p>
            <w:pPr>
              <w:pStyle w:val="8"/>
              <w:spacing w:before="33"/>
              <w:jc w:val="both"/>
              <w:rPr>
                <w:sz w:val="21"/>
              </w:rPr>
            </w:pPr>
            <w:r>
              <w:rPr>
                <w:sz w:val="21"/>
              </w:rPr>
              <w:t>是否允许负偏离：</w:t>
            </w:r>
            <w:r>
              <w:rPr>
                <w:rFonts w:ascii="Segoe UI Emoji" w:hAnsi="Segoe UI Emoji" w:eastAsia="Segoe UI Emoji"/>
                <w:sz w:val="21"/>
              </w:rPr>
              <w:t>☑</w:t>
            </w:r>
            <w:r>
              <w:rPr>
                <w:sz w:val="21"/>
              </w:rPr>
              <w:t>不允许</w:t>
            </w:r>
            <w:r>
              <w:rPr>
                <w:sz w:val="21"/>
              </w:rPr>
              <w:tab/>
            </w:r>
            <w:r>
              <w:rPr>
                <w:rFonts w:hint="eastAsia" w:ascii="Times New Roman" w:hAnsi="Times New Roman"/>
                <w:sz w:val="21"/>
                <w:lang w:eastAsia="zh-CN"/>
              </w:rPr>
              <w:t>□</w:t>
            </w:r>
            <w:r>
              <w:rPr>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sz w:val="21"/>
                <w:lang w:eastAsia="zh-CN"/>
              </w:rPr>
            </w:pPr>
            <w:r>
              <w:rPr>
                <w:rFonts w:hint="eastAsia" w:ascii="Times New Roman"/>
                <w:sz w:val="21"/>
                <w:lang w:val="en-US" w:eastAsia="zh-CN"/>
              </w:rPr>
              <w:t>9</w:t>
            </w:r>
          </w:p>
        </w:tc>
        <w:tc>
          <w:tcPr>
            <w:tcW w:w="1803" w:type="dxa"/>
            <w:noWrap w:val="0"/>
            <w:vAlign w:val="center"/>
          </w:tcPr>
          <w:p>
            <w:pPr>
              <w:pStyle w:val="8"/>
              <w:spacing w:before="33"/>
              <w:jc w:val="both"/>
              <w:rPr>
                <w:rFonts w:ascii="宋体" w:hAnsi="宋体" w:eastAsia="宋体" w:cs="宋体"/>
                <w:sz w:val="21"/>
              </w:rPr>
            </w:pPr>
            <w:r>
              <w:rPr>
                <w:rFonts w:ascii="宋体" w:hAnsi="宋体" w:eastAsia="宋体" w:cs="宋体"/>
                <w:sz w:val="21"/>
              </w:rPr>
              <w:t>付款方式</w:t>
            </w:r>
          </w:p>
        </w:tc>
        <w:tc>
          <w:tcPr>
            <w:tcW w:w="5535" w:type="dxa"/>
            <w:noWrap w:val="0"/>
            <w:vAlign w:val="center"/>
          </w:tcPr>
          <w:p>
            <w:pPr>
              <w:pStyle w:val="8"/>
              <w:spacing w:before="33"/>
              <w:jc w:val="both"/>
              <w:rPr>
                <w:rFonts w:ascii="宋体" w:hAnsi="宋体" w:eastAsia="宋体" w:cs="宋体"/>
                <w:sz w:val="21"/>
              </w:rPr>
            </w:pPr>
            <w:r>
              <w:rPr>
                <w:rFonts w:hint="eastAsia" w:ascii="宋体" w:hAnsi="宋体" w:eastAsia="宋体" w:cs="宋体"/>
                <w:sz w:val="21"/>
              </w:rPr>
              <w:t>付款方式：</w:t>
            </w:r>
            <w:r>
              <w:rPr>
                <w:rFonts w:hint="eastAsia" w:ascii="宋体" w:hAnsi="宋体" w:eastAsia="宋体" w:cs="宋体"/>
                <w:sz w:val="21"/>
                <w:lang w:val="en-US" w:eastAsia="zh-CN"/>
              </w:rPr>
              <w:t>服务完成并经甲方审核通过后5个工作日内支付全部费用</w:t>
            </w:r>
            <w:r>
              <w:rPr>
                <w:rFonts w:hint="eastAsia" w:ascii="宋体" w:hAnsi="宋体" w:eastAsia="宋体" w:cs="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default" w:ascii="Times New Roman"/>
                <w:sz w:val="21"/>
                <w:lang w:val="en-US" w:eastAsia="zh-CN"/>
              </w:rPr>
            </w:pPr>
            <w:r>
              <w:rPr>
                <w:rFonts w:hint="eastAsia" w:ascii="Times New Roman"/>
                <w:sz w:val="21"/>
                <w:lang w:val="en-US" w:eastAsia="zh-CN"/>
              </w:rPr>
              <w:t>10</w:t>
            </w:r>
          </w:p>
        </w:tc>
        <w:tc>
          <w:tcPr>
            <w:tcW w:w="1803" w:type="dxa"/>
            <w:noWrap w:val="0"/>
            <w:vAlign w:val="center"/>
          </w:tcPr>
          <w:p>
            <w:pPr>
              <w:pStyle w:val="8"/>
              <w:spacing w:before="104"/>
              <w:jc w:val="both"/>
              <w:rPr>
                <w:rFonts w:hint="eastAsia" w:eastAsia="宋体"/>
                <w:sz w:val="21"/>
                <w:lang w:eastAsia="zh-CN"/>
              </w:rPr>
            </w:pPr>
            <w:r>
              <w:rPr>
                <w:rFonts w:hint="eastAsia"/>
                <w:sz w:val="21"/>
                <w:lang w:eastAsia="zh-CN"/>
              </w:rPr>
              <w:t>性能响应</w:t>
            </w:r>
          </w:p>
        </w:tc>
        <w:tc>
          <w:tcPr>
            <w:tcW w:w="5535" w:type="dxa"/>
            <w:noWrap w:val="0"/>
            <w:vAlign w:val="center"/>
          </w:tcPr>
          <w:p>
            <w:pPr>
              <w:pStyle w:val="8"/>
              <w:spacing w:before="104"/>
              <w:jc w:val="both"/>
              <w:rPr>
                <w:sz w:val="21"/>
              </w:rPr>
            </w:pPr>
            <w:r>
              <w:rPr>
                <w:sz w:val="21"/>
              </w:rPr>
              <w:t>是否允许负偏离：</w:t>
            </w:r>
            <w:r>
              <w:rPr>
                <w:rFonts w:ascii="Segoe UI Emoji" w:hAnsi="Segoe UI Emoji" w:cs="Segoe UI Emoji"/>
                <w:sz w:val="21"/>
              </w:rPr>
              <w:t>☑</w:t>
            </w:r>
            <w:r>
              <w:rPr>
                <w:sz w:val="21"/>
              </w:rPr>
              <w:t xml:space="preserve">不允许 </w:t>
            </w:r>
            <w:r>
              <w:rPr>
                <w:rFonts w:hint="eastAsia" w:ascii="Times New Roman" w:hAnsi="Times New Roman"/>
                <w:sz w:val="21"/>
                <w:lang w:eastAsia="zh-CN"/>
              </w:rPr>
              <w:t>□</w:t>
            </w:r>
            <w:r>
              <w:rPr>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default" w:ascii="Times New Roman" w:eastAsia="宋体"/>
                <w:sz w:val="21"/>
                <w:lang w:val="en-US" w:eastAsia="zh-CN"/>
              </w:rPr>
            </w:pPr>
            <w:r>
              <w:rPr>
                <w:rFonts w:hint="eastAsia" w:ascii="Times New Roman"/>
                <w:sz w:val="21"/>
                <w:lang w:val="en-US" w:eastAsia="zh-CN"/>
              </w:rPr>
              <w:t>11</w:t>
            </w:r>
          </w:p>
        </w:tc>
        <w:tc>
          <w:tcPr>
            <w:tcW w:w="1803" w:type="dxa"/>
            <w:noWrap w:val="0"/>
            <w:vAlign w:val="center"/>
          </w:tcPr>
          <w:p>
            <w:pPr>
              <w:pStyle w:val="8"/>
              <w:spacing w:before="33"/>
              <w:jc w:val="both"/>
              <w:rPr>
                <w:sz w:val="21"/>
              </w:rPr>
            </w:pPr>
            <w:r>
              <w:rPr>
                <w:sz w:val="21"/>
              </w:rPr>
              <w:t>供应商资格条件能力和信誉</w:t>
            </w:r>
          </w:p>
        </w:tc>
        <w:tc>
          <w:tcPr>
            <w:tcW w:w="5535" w:type="dxa"/>
            <w:noWrap w:val="0"/>
            <w:vAlign w:val="center"/>
          </w:tcPr>
          <w:p>
            <w:pPr>
              <w:pStyle w:val="8"/>
              <w:spacing w:before="8"/>
              <w:jc w:val="both"/>
              <w:rPr>
                <w:sz w:val="21"/>
              </w:rPr>
            </w:pPr>
            <w:r>
              <w:rPr>
                <w:sz w:val="21"/>
              </w:rPr>
              <w:t>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89"/>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2</w:t>
            </w:r>
          </w:p>
        </w:tc>
        <w:tc>
          <w:tcPr>
            <w:tcW w:w="1803" w:type="dxa"/>
            <w:noWrap w:val="0"/>
            <w:vAlign w:val="center"/>
          </w:tcPr>
          <w:p>
            <w:pPr>
              <w:pStyle w:val="8"/>
              <w:spacing w:before="45"/>
              <w:jc w:val="both"/>
              <w:rPr>
                <w:sz w:val="21"/>
              </w:rPr>
            </w:pPr>
            <w:r>
              <w:rPr>
                <w:sz w:val="21"/>
              </w:rPr>
              <w:t>是否接受联合体响应</w:t>
            </w:r>
          </w:p>
        </w:tc>
        <w:tc>
          <w:tcPr>
            <w:tcW w:w="5535" w:type="dxa"/>
            <w:noWrap w:val="0"/>
            <w:vAlign w:val="center"/>
          </w:tcPr>
          <w:p>
            <w:pPr>
              <w:pStyle w:val="8"/>
              <w:spacing w:before="16"/>
              <w:jc w:val="both"/>
              <w:rPr>
                <w:sz w:val="21"/>
              </w:rPr>
            </w:pPr>
            <w:r>
              <w:rPr>
                <w:rFonts w:ascii="Segoe UI Emoji" w:hAnsi="Segoe UI Emoji" w:eastAsia="Segoe UI Emoji"/>
                <w:sz w:val="21"/>
              </w:rPr>
              <w:t>☑</w:t>
            </w:r>
            <w:r>
              <w:rPr>
                <w:sz w:val="21"/>
              </w:rPr>
              <w:t>不接受</w:t>
            </w:r>
            <w:r>
              <w:rPr>
                <w:rFonts w:hint="eastAsia"/>
                <w:sz w:val="21"/>
                <w:lang w:val="en-US" w:eastAsia="zh-CN"/>
              </w:rPr>
              <w:t xml:space="preserve">  </w:t>
            </w:r>
            <w:r>
              <w:rPr>
                <w:rFonts w:hint="eastAsia" w:ascii="Times New Roman" w:hAnsi="Times New Roman"/>
                <w:sz w:val="21"/>
                <w:lang w:eastAsia="zh-CN"/>
              </w:rPr>
              <w:t>□</w:t>
            </w:r>
            <w:r>
              <w:rPr>
                <w:sz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default" w:ascii="Times New Roman" w:eastAsia="宋体"/>
                <w:sz w:val="21"/>
                <w:lang w:val="en-US" w:eastAsia="zh-CN"/>
              </w:rPr>
            </w:pPr>
            <w:r>
              <w:rPr>
                <w:rFonts w:hint="eastAsia" w:ascii="Times New Roman"/>
                <w:sz w:val="21"/>
                <w:lang w:val="en-US" w:eastAsia="zh-CN"/>
              </w:rPr>
              <w:t>13</w:t>
            </w:r>
          </w:p>
        </w:tc>
        <w:tc>
          <w:tcPr>
            <w:tcW w:w="1803" w:type="dxa"/>
            <w:noWrap w:val="0"/>
            <w:vAlign w:val="center"/>
          </w:tcPr>
          <w:p>
            <w:pPr>
              <w:pStyle w:val="8"/>
              <w:spacing w:before="71"/>
              <w:jc w:val="both"/>
              <w:rPr>
                <w:sz w:val="21"/>
              </w:rPr>
            </w:pPr>
            <w:r>
              <w:rPr>
                <w:sz w:val="21"/>
              </w:rPr>
              <w:t>竞争性磋商文件澄清发出的形式</w:t>
            </w:r>
          </w:p>
        </w:tc>
        <w:tc>
          <w:tcPr>
            <w:tcW w:w="5535" w:type="dxa"/>
            <w:noWrap w:val="0"/>
            <w:vAlign w:val="center"/>
          </w:tcPr>
          <w:p>
            <w:pPr>
              <w:pStyle w:val="8"/>
              <w:spacing w:before="33" w:line="309" w:lineRule="auto"/>
              <w:jc w:val="both"/>
              <w:rPr>
                <w:sz w:val="21"/>
              </w:rPr>
            </w:pPr>
            <w:r>
              <w:rPr>
                <w:spacing w:val="-1"/>
                <w:sz w:val="21"/>
              </w:rPr>
              <w:t>发出时间：如澄清或修改的内容可能影响响应文件编制的，应当在提交响应文</w:t>
            </w:r>
            <w:r>
              <w:rPr>
                <w:spacing w:val="-7"/>
                <w:sz w:val="21"/>
              </w:rPr>
              <w:t>件截止之日至少</w:t>
            </w:r>
            <w:r>
              <w:rPr>
                <w:rFonts w:ascii="Times New Roman" w:eastAsia="Times New Roman"/>
                <w:sz w:val="21"/>
              </w:rPr>
              <w:t>5</w:t>
            </w:r>
            <w:r>
              <w:rPr>
                <w:sz w:val="21"/>
              </w:rPr>
              <w:t>日前发布澄清或修改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4</w:t>
            </w:r>
          </w:p>
        </w:tc>
        <w:tc>
          <w:tcPr>
            <w:tcW w:w="1803" w:type="dxa"/>
            <w:noWrap w:val="0"/>
            <w:vAlign w:val="center"/>
          </w:tcPr>
          <w:p>
            <w:pPr>
              <w:pStyle w:val="8"/>
              <w:spacing w:before="71"/>
              <w:jc w:val="both"/>
              <w:rPr>
                <w:sz w:val="21"/>
              </w:rPr>
            </w:pPr>
            <w:r>
              <w:rPr>
                <w:sz w:val="21"/>
              </w:rPr>
              <w:t>分包</w:t>
            </w:r>
          </w:p>
        </w:tc>
        <w:tc>
          <w:tcPr>
            <w:tcW w:w="5535" w:type="dxa"/>
            <w:noWrap w:val="0"/>
            <w:vAlign w:val="center"/>
          </w:tcPr>
          <w:p>
            <w:pPr>
              <w:pStyle w:val="8"/>
              <w:spacing w:before="16"/>
              <w:jc w:val="both"/>
              <w:rPr>
                <w:rFonts w:ascii="Times New Roman"/>
                <w:sz w:val="21"/>
              </w:rPr>
            </w:pPr>
            <w:r>
              <w:rPr>
                <w:rFonts w:ascii="Segoe UI Emoji" w:hAnsi="Segoe UI Emoji" w:eastAsia="Segoe UI Emoji"/>
                <w:sz w:val="21"/>
              </w:rPr>
              <w:t>☑</w:t>
            </w:r>
            <w:r>
              <w:rPr>
                <w:sz w:val="21"/>
              </w:rPr>
              <w:t>不允许</w:t>
            </w:r>
            <w:r>
              <w:rPr>
                <w:rFonts w:hint="eastAsia"/>
                <w:sz w:val="21"/>
                <w:lang w:val="en-US" w:eastAsia="zh-CN"/>
              </w:rPr>
              <w:t xml:space="preserve">  </w:t>
            </w:r>
            <w:r>
              <w:rPr>
                <w:rFonts w:hint="eastAsia" w:ascii="Times New Roman" w:hAnsi="Times New Roman"/>
                <w:sz w:val="21"/>
                <w:lang w:eastAsia="zh-CN"/>
              </w:rPr>
              <w:t>□</w:t>
            </w:r>
            <w:r>
              <w:rPr>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5</w:t>
            </w:r>
          </w:p>
        </w:tc>
        <w:tc>
          <w:tcPr>
            <w:tcW w:w="1803" w:type="dxa"/>
            <w:noWrap w:val="0"/>
            <w:vAlign w:val="center"/>
          </w:tcPr>
          <w:p>
            <w:pPr>
              <w:pStyle w:val="8"/>
              <w:spacing w:before="40"/>
              <w:jc w:val="both"/>
              <w:rPr>
                <w:sz w:val="21"/>
              </w:rPr>
            </w:pPr>
            <w:r>
              <w:rPr>
                <w:sz w:val="21"/>
              </w:rPr>
              <w:t>供应商要求澄清竞争性磋商文件</w:t>
            </w:r>
          </w:p>
        </w:tc>
        <w:tc>
          <w:tcPr>
            <w:tcW w:w="5535" w:type="dxa"/>
            <w:noWrap w:val="0"/>
            <w:vAlign w:val="center"/>
          </w:tcPr>
          <w:p>
            <w:pPr>
              <w:pStyle w:val="8"/>
              <w:spacing w:before="33"/>
              <w:jc w:val="both"/>
              <w:rPr>
                <w:sz w:val="21"/>
              </w:rPr>
            </w:pPr>
            <w:r>
              <w:rPr>
                <w:sz w:val="21"/>
              </w:rPr>
              <w:t>时间：在提交响应文件截止之日至少</w:t>
            </w:r>
            <w:r>
              <w:rPr>
                <w:rFonts w:ascii="Times New Roman" w:eastAsia="Times New Roman"/>
                <w:sz w:val="21"/>
              </w:rPr>
              <w:t xml:space="preserve">5 </w:t>
            </w:r>
            <w:r>
              <w:rPr>
                <w:sz w:val="21"/>
              </w:rPr>
              <w:t>前（以收到时间为准），逾期提出采购人可不予受理。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6</w:t>
            </w:r>
          </w:p>
        </w:tc>
        <w:tc>
          <w:tcPr>
            <w:tcW w:w="1803" w:type="dxa"/>
            <w:noWrap w:val="0"/>
            <w:vAlign w:val="center"/>
          </w:tcPr>
          <w:p>
            <w:pPr>
              <w:pStyle w:val="8"/>
              <w:spacing w:before="32"/>
              <w:jc w:val="both"/>
              <w:rPr>
                <w:sz w:val="21"/>
              </w:rPr>
            </w:pPr>
            <w:r>
              <w:rPr>
                <w:sz w:val="21"/>
              </w:rPr>
              <w:t>响应报价包括的内容</w:t>
            </w:r>
          </w:p>
        </w:tc>
        <w:tc>
          <w:tcPr>
            <w:tcW w:w="5535" w:type="dxa"/>
            <w:noWrap w:val="0"/>
            <w:vAlign w:val="center"/>
          </w:tcPr>
          <w:p>
            <w:pPr>
              <w:pStyle w:val="8"/>
              <w:spacing w:before="32"/>
              <w:jc w:val="both"/>
              <w:rPr>
                <w:sz w:val="21"/>
              </w:rPr>
            </w:pPr>
            <w:r>
              <w:rPr>
                <w:sz w:val="21"/>
              </w:rPr>
              <w:t>响应报价包括提供服务的一切成本和费用、管理费、利润和税金，以及采购合同中明示或暗示的所有责任、义务和风险。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7</w:t>
            </w:r>
          </w:p>
        </w:tc>
        <w:tc>
          <w:tcPr>
            <w:tcW w:w="1803" w:type="dxa"/>
            <w:noWrap w:val="0"/>
            <w:vAlign w:val="center"/>
          </w:tcPr>
          <w:p>
            <w:pPr>
              <w:pStyle w:val="8"/>
              <w:spacing w:before="32"/>
              <w:jc w:val="both"/>
              <w:rPr>
                <w:sz w:val="21"/>
              </w:rPr>
            </w:pPr>
            <w:r>
              <w:rPr>
                <w:sz w:val="21"/>
              </w:rPr>
              <w:t>最高限价</w:t>
            </w:r>
          </w:p>
        </w:tc>
        <w:tc>
          <w:tcPr>
            <w:tcW w:w="5535" w:type="dxa"/>
            <w:noWrap w:val="0"/>
            <w:vAlign w:val="center"/>
          </w:tcPr>
          <w:p>
            <w:pPr>
              <w:pStyle w:val="8"/>
              <w:spacing w:before="32"/>
              <w:jc w:val="both"/>
              <w:rPr>
                <w:sz w:val="21"/>
              </w:rPr>
            </w:pPr>
            <w:r>
              <w:rPr>
                <w:sz w:val="21"/>
              </w:rPr>
              <w:t>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89"/>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8</w:t>
            </w:r>
          </w:p>
        </w:tc>
        <w:tc>
          <w:tcPr>
            <w:tcW w:w="1803" w:type="dxa"/>
            <w:noWrap w:val="0"/>
            <w:vAlign w:val="center"/>
          </w:tcPr>
          <w:p>
            <w:pPr>
              <w:pStyle w:val="8"/>
              <w:spacing w:before="32"/>
              <w:jc w:val="both"/>
              <w:rPr>
                <w:sz w:val="21"/>
              </w:rPr>
            </w:pPr>
            <w:r>
              <w:rPr>
                <w:sz w:val="21"/>
              </w:rPr>
              <w:t>提交响应文件截止时间</w:t>
            </w:r>
          </w:p>
        </w:tc>
        <w:tc>
          <w:tcPr>
            <w:tcW w:w="5535" w:type="dxa"/>
            <w:noWrap w:val="0"/>
            <w:vAlign w:val="center"/>
          </w:tcPr>
          <w:p>
            <w:pPr>
              <w:pStyle w:val="8"/>
              <w:spacing w:before="7"/>
              <w:jc w:val="both"/>
              <w:rPr>
                <w:rFonts w:ascii="Times New Roman"/>
                <w:sz w:val="17"/>
              </w:rPr>
            </w:pPr>
          </w:p>
          <w:p>
            <w:pPr>
              <w:pStyle w:val="8"/>
              <w:jc w:val="both"/>
              <w:rPr>
                <w:rFonts w:ascii="Times New Roman" w:eastAsia="Times New Roman"/>
                <w:sz w:val="21"/>
                <w:u w:val="single"/>
              </w:rPr>
            </w:pPr>
            <w:r>
              <w:rPr>
                <w:sz w:val="21"/>
              </w:rPr>
              <w:t>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89"/>
              <w:jc w:val="center"/>
              <w:rPr>
                <w:rFonts w:hint="default" w:ascii="Times New Roman" w:eastAsia="宋体"/>
                <w:sz w:val="21"/>
                <w:lang w:val="en-US" w:eastAsia="zh-CN"/>
              </w:rPr>
            </w:pPr>
            <w:r>
              <w:rPr>
                <w:rFonts w:hint="eastAsia" w:ascii="Times New Roman"/>
                <w:sz w:val="21"/>
                <w:lang w:val="en-US" w:eastAsia="zh-CN"/>
              </w:rPr>
              <w:t>19</w:t>
            </w:r>
          </w:p>
        </w:tc>
        <w:tc>
          <w:tcPr>
            <w:tcW w:w="1803" w:type="dxa"/>
            <w:noWrap w:val="0"/>
            <w:vAlign w:val="center"/>
          </w:tcPr>
          <w:p>
            <w:pPr>
              <w:pStyle w:val="8"/>
              <w:spacing w:before="33"/>
              <w:jc w:val="both"/>
              <w:rPr>
                <w:sz w:val="21"/>
              </w:rPr>
            </w:pPr>
            <w:r>
              <w:rPr>
                <w:sz w:val="21"/>
              </w:rPr>
              <w:t>是否退还响应文件</w:t>
            </w:r>
          </w:p>
        </w:tc>
        <w:tc>
          <w:tcPr>
            <w:tcW w:w="5535" w:type="dxa"/>
            <w:noWrap w:val="0"/>
            <w:vAlign w:val="center"/>
          </w:tcPr>
          <w:p>
            <w:pPr>
              <w:pStyle w:val="8"/>
              <w:spacing w:before="174"/>
              <w:jc w:val="both"/>
              <w:rPr>
                <w:rFonts w:ascii="Times New Roman" w:eastAsia="Times New Roman"/>
                <w:sz w:val="21"/>
                <w:u w:val="single"/>
              </w:rPr>
            </w:pPr>
            <w:r>
              <w:rPr>
                <w:rFonts w:ascii="Segoe UI Emoji" w:hAnsi="Segoe UI Emoji" w:eastAsia="Segoe UI Emoji"/>
                <w:sz w:val="21"/>
              </w:rPr>
              <w:t>☑</w:t>
            </w: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89"/>
              <w:jc w:val="center"/>
              <w:rPr>
                <w:rFonts w:hint="default" w:ascii="Times New Roman" w:eastAsia="宋体"/>
                <w:sz w:val="21"/>
                <w:lang w:val="en-US" w:eastAsia="zh-CN"/>
              </w:rPr>
            </w:pPr>
            <w:r>
              <w:rPr>
                <w:rFonts w:hint="eastAsia" w:ascii="Times New Roman"/>
                <w:sz w:val="21"/>
                <w:lang w:val="en-US" w:eastAsia="zh-CN"/>
              </w:rPr>
              <w:t>20</w:t>
            </w:r>
          </w:p>
        </w:tc>
        <w:tc>
          <w:tcPr>
            <w:tcW w:w="1803" w:type="dxa"/>
            <w:noWrap w:val="0"/>
            <w:vAlign w:val="center"/>
          </w:tcPr>
          <w:p>
            <w:pPr>
              <w:pStyle w:val="8"/>
              <w:spacing w:before="33"/>
              <w:jc w:val="both"/>
              <w:rPr>
                <w:sz w:val="21"/>
              </w:rPr>
            </w:pPr>
            <w:r>
              <w:rPr>
                <w:sz w:val="21"/>
              </w:rPr>
              <w:t>响应文件开启时间和地点</w:t>
            </w:r>
          </w:p>
        </w:tc>
        <w:tc>
          <w:tcPr>
            <w:tcW w:w="5535" w:type="dxa"/>
            <w:noWrap w:val="0"/>
            <w:vAlign w:val="center"/>
          </w:tcPr>
          <w:p>
            <w:pPr>
              <w:pStyle w:val="8"/>
              <w:spacing w:before="33"/>
              <w:jc w:val="both"/>
              <w:rPr>
                <w:sz w:val="21"/>
              </w:rPr>
            </w:pPr>
            <w:r>
              <w:rPr>
                <w:sz w:val="21"/>
              </w:rPr>
              <w:t>开启时间：同提交响应文件截止时间</w:t>
            </w:r>
          </w:p>
          <w:p>
            <w:pPr>
              <w:pStyle w:val="8"/>
              <w:spacing w:before="71"/>
              <w:jc w:val="both"/>
              <w:rPr>
                <w:rFonts w:ascii="Times New Roman" w:eastAsia="Times New Roman"/>
                <w:sz w:val="21"/>
                <w:u w:val="single"/>
              </w:rPr>
            </w:pPr>
            <w:r>
              <w:rPr>
                <w:sz w:val="21"/>
              </w:rPr>
              <w:t>开启地点：同响应文件提交地点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default" w:ascii="Times New Roman" w:eastAsia="宋体"/>
                <w:sz w:val="21"/>
                <w:lang w:val="en-US" w:eastAsia="zh-CN"/>
              </w:rPr>
            </w:pPr>
            <w:r>
              <w:rPr>
                <w:rFonts w:hint="eastAsia" w:ascii="Times New Roman"/>
                <w:sz w:val="21"/>
                <w:lang w:val="en-US" w:eastAsia="zh-CN"/>
              </w:rPr>
              <w:t>21</w:t>
            </w:r>
          </w:p>
        </w:tc>
        <w:tc>
          <w:tcPr>
            <w:tcW w:w="1803" w:type="dxa"/>
            <w:noWrap w:val="0"/>
            <w:vAlign w:val="center"/>
          </w:tcPr>
          <w:p>
            <w:pPr>
              <w:pStyle w:val="8"/>
              <w:spacing w:before="158" w:line="304" w:lineRule="auto"/>
              <w:jc w:val="both"/>
              <w:rPr>
                <w:sz w:val="21"/>
              </w:rPr>
            </w:pPr>
            <w:r>
              <w:rPr>
                <w:sz w:val="21"/>
              </w:rPr>
              <w:t>响应文件开启程序</w:t>
            </w:r>
          </w:p>
        </w:tc>
        <w:tc>
          <w:tcPr>
            <w:tcW w:w="5535" w:type="dxa"/>
            <w:noWrap w:val="0"/>
            <w:vAlign w:val="center"/>
          </w:tcPr>
          <w:p>
            <w:pPr>
              <w:pStyle w:val="8"/>
              <w:spacing w:before="33" w:line="309" w:lineRule="auto"/>
              <w:jc w:val="both"/>
              <w:rPr>
                <w:rFonts w:ascii="Times New Roman" w:eastAsia="Times New Roman"/>
                <w:sz w:val="21"/>
                <w:u w:val="single"/>
              </w:rPr>
            </w:pPr>
            <w:r>
              <w:rPr>
                <w:sz w:val="21"/>
              </w:rPr>
              <w:t>采购人根据有关规定</w:t>
            </w:r>
            <w:r>
              <w:rPr>
                <w:rFonts w:hint="eastAsia"/>
                <w:sz w:val="21"/>
              </w:rPr>
              <w:t>在开标截止时间内组织评标专家到达开标地点。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97"/>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2</w:t>
            </w:r>
          </w:p>
        </w:tc>
        <w:tc>
          <w:tcPr>
            <w:tcW w:w="1803" w:type="dxa"/>
            <w:noWrap w:val="0"/>
            <w:vAlign w:val="center"/>
          </w:tcPr>
          <w:p>
            <w:pPr>
              <w:pStyle w:val="8"/>
              <w:spacing w:before="1"/>
              <w:jc w:val="both"/>
              <w:rPr>
                <w:sz w:val="21"/>
              </w:rPr>
            </w:pPr>
            <w:r>
              <w:rPr>
                <w:sz w:val="21"/>
              </w:rPr>
              <w:t>磋商小组的组建</w:t>
            </w:r>
          </w:p>
        </w:tc>
        <w:tc>
          <w:tcPr>
            <w:tcW w:w="5535" w:type="dxa"/>
            <w:noWrap w:val="0"/>
            <w:vAlign w:val="center"/>
          </w:tcPr>
          <w:p>
            <w:pPr>
              <w:pStyle w:val="8"/>
              <w:spacing w:before="32"/>
              <w:jc w:val="both"/>
              <w:rPr>
                <w:rFonts w:hint="eastAsia" w:ascii="Times New Roman" w:eastAsia="宋体"/>
                <w:sz w:val="21"/>
                <w:u w:val="single"/>
                <w:lang w:eastAsia="zh-CN"/>
              </w:rPr>
            </w:pPr>
            <w:r>
              <w:rPr>
                <w:sz w:val="21"/>
              </w:rPr>
              <w:t>磋商小组的组成：由采购人代表</w:t>
            </w:r>
            <w:r>
              <w:rPr>
                <w:rFonts w:hint="eastAsia"/>
                <w:sz w:val="21"/>
                <w:lang w:val="en-US"/>
              </w:rPr>
              <w:t>选择</w:t>
            </w:r>
            <w:r>
              <w:rPr>
                <w:sz w:val="21"/>
              </w:rPr>
              <w:t>专家组成</w:t>
            </w:r>
            <w:r>
              <w:rPr>
                <w:rFonts w:hint="eastAsia"/>
                <w:sz w:val="21"/>
                <w:lang w:eastAsia="zh-CN"/>
              </w:rPr>
              <w:t>。</w:t>
            </w:r>
            <w:r>
              <w:rPr>
                <w:sz w:val="21"/>
              </w:rPr>
              <w:t>磋商小组的人数：</w:t>
            </w:r>
            <w:r>
              <w:rPr>
                <w:rFonts w:ascii="Times New Roman" w:eastAsia="Times New Roman"/>
                <w:sz w:val="21"/>
              </w:rPr>
              <w:t xml:space="preserve">3 </w:t>
            </w:r>
            <w:r>
              <w:rPr>
                <w:sz w:val="21"/>
              </w:rPr>
              <w:t xml:space="preserve">人或 </w:t>
            </w:r>
            <w:r>
              <w:rPr>
                <w:rFonts w:ascii="Times New Roman" w:eastAsia="Times New Roman"/>
                <w:sz w:val="21"/>
              </w:rPr>
              <w:t xml:space="preserve">3 </w:t>
            </w:r>
            <w:r>
              <w:rPr>
                <w:sz w:val="21"/>
              </w:rPr>
              <w:t>人以上单数组成</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3</w:t>
            </w:r>
          </w:p>
        </w:tc>
        <w:tc>
          <w:tcPr>
            <w:tcW w:w="1803" w:type="dxa"/>
            <w:noWrap w:val="0"/>
            <w:vAlign w:val="center"/>
          </w:tcPr>
          <w:p>
            <w:pPr>
              <w:pStyle w:val="8"/>
              <w:spacing w:before="117"/>
              <w:jc w:val="both"/>
              <w:rPr>
                <w:sz w:val="21"/>
              </w:rPr>
            </w:pPr>
            <w:r>
              <w:rPr>
                <w:sz w:val="21"/>
              </w:rPr>
              <w:t>供应商家数</w:t>
            </w:r>
          </w:p>
        </w:tc>
        <w:tc>
          <w:tcPr>
            <w:tcW w:w="5535" w:type="dxa"/>
            <w:noWrap w:val="0"/>
            <w:vAlign w:val="center"/>
          </w:tcPr>
          <w:p>
            <w:pPr>
              <w:pStyle w:val="8"/>
              <w:spacing w:before="109"/>
              <w:jc w:val="both"/>
              <w:rPr>
                <w:rFonts w:ascii="Times New Roman" w:eastAsia="Times New Roman"/>
                <w:sz w:val="21"/>
                <w:u w:val="single"/>
              </w:rPr>
            </w:pPr>
            <w:r>
              <w:rPr>
                <w:sz w:val="21"/>
              </w:rPr>
              <w:t xml:space="preserve">参与竞争性磋商的供应商不得少于 </w:t>
            </w:r>
            <w:r>
              <w:rPr>
                <w:rFonts w:ascii="Times New Roman" w:eastAsia="Times New Roman"/>
                <w:sz w:val="21"/>
              </w:rPr>
              <w:t xml:space="preserve">3 </w:t>
            </w:r>
            <w:r>
              <w:rPr>
                <w:sz w:val="2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jc w:val="center"/>
              <w:rPr>
                <w:rFonts w:hint="default" w:ascii="Times New Roman" w:eastAsia="宋体"/>
                <w:sz w:val="21"/>
                <w:lang w:val="en-US" w:eastAsia="zh-CN"/>
              </w:rPr>
            </w:pPr>
            <w:r>
              <w:rPr>
                <w:rFonts w:hint="eastAsia" w:ascii="Times New Roman"/>
                <w:sz w:val="21"/>
                <w:lang w:val="en-US" w:eastAsia="zh-CN"/>
              </w:rPr>
              <w:t>24</w:t>
            </w:r>
          </w:p>
        </w:tc>
        <w:tc>
          <w:tcPr>
            <w:tcW w:w="1803" w:type="dxa"/>
            <w:noWrap w:val="0"/>
            <w:vAlign w:val="center"/>
          </w:tcPr>
          <w:p>
            <w:pPr>
              <w:pStyle w:val="8"/>
              <w:spacing w:before="1" w:line="304" w:lineRule="auto"/>
              <w:ind w:hanging="210" w:firstLineChars="0"/>
              <w:jc w:val="both"/>
              <w:rPr>
                <w:sz w:val="21"/>
              </w:rPr>
            </w:pPr>
            <w:r>
              <w:rPr>
                <w:sz w:val="21"/>
              </w:rPr>
              <w:t>确定提交最后报价的供应商</w:t>
            </w:r>
          </w:p>
        </w:tc>
        <w:tc>
          <w:tcPr>
            <w:tcW w:w="5535" w:type="dxa"/>
            <w:noWrap w:val="0"/>
            <w:vAlign w:val="center"/>
          </w:tcPr>
          <w:p>
            <w:pPr>
              <w:pStyle w:val="8"/>
              <w:spacing w:before="33" w:line="304" w:lineRule="auto"/>
              <w:jc w:val="both"/>
              <w:rPr>
                <w:rFonts w:ascii="Times New Roman" w:eastAsia="Times New Roman"/>
                <w:sz w:val="21"/>
                <w:u w:val="single"/>
              </w:rPr>
            </w:pPr>
            <w:r>
              <w:rPr>
                <w:sz w:val="21"/>
              </w:rPr>
              <w:t xml:space="preserve">竞争性磋商文件能够详细列明采购标的的技术、服务要求，磋商结束后，磋商小组将要求所有实质性响应的供应商在规定时间内提交最后报价，提交最后报价的供应商家数不得少于 </w:t>
            </w:r>
            <w:r>
              <w:rPr>
                <w:rFonts w:ascii="Times New Roman" w:eastAsia="Times New Roman"/>
                <w:sz w:val="21"/>
              </w:rPr>
              <w:t xml:space="preserve">3 </w:t>
            </w:r>
            <w:r>
              <w:rPr>
                <w:sz w:val="2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11"/>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5</w:t>
            </w:r>
          </w:p>
        </w:tc>
        <w:tc>
          <w:tcPr>
            <w:tcW w:w="1803" w:type="dxa"/>
            <w:noWrap w:val="0"/>
            <w:vAlign w:val="center"/>
          </w:tcPr>
          <w:p>
            <w:pPr>
              <w:pStyle w:val="8"/>
              <w:spacing w:before="3"/>
              <w:jc w:val="both"/>
              <w:rPr>
                <w:sz w:val="21"/>
              </w:rPr>
            </w:pPr>
            <w:r>
              <w:rPr>
                <w:sz w:val="21"/>
              </w:rPr>
              <w:t>报价轮次</w:t>
            </w:r>
          </w:p>
        </w:tc>
        <w:tc>
          <w:tcPr>
            <w:tcW w:w="5535" w:type="dxa"/>
            <w:noWrap w:val="0"/>
            <w:vAlign w:val="center"/>
          </w:tcPr>
          <w:p>
            <w:pPr>
              <w:pStyle w:val="8"/>
              <w:spacing w:before="33" w:line="304" w:lineRule="auto"/>
              <w:jc w:val="both"/>
              <w:rPr>
                <w:rFonts w:ascii="Times New Roman" w:eastAsia="Times New Roman"/>
                <w:sz w:val="21"/>
                <w:u w:val="single"/>
              </w:rPr>
            </w:pPr>
            <w:r>
              <w:rPr>
                <w:sz w:val="21"/>
              </w:rPr>
              <w:t>一轮，各供应商首轮报价即最终报价。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9"/>
              <w:jc w:val="center"/>
              <w:rPr>
                <w:rFonts w:ascii="Times New Roman"/>
                <w:sz w:val="17"/>
              </w:rPr>
            </w:pPr>
          </w:p>
          <w:p>
            <w:pPr>
              <w:pStyle w:val="8"/>
              <w:spacing w:before="11"/>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6</w:t>
            </w:r>
          </w:p>
        </w:tc>
        <w:tc>
          <w:tcPr>
            <w:tcW w:w="1803" w:type="dxa"/>
            <w:noWrap w:val="0"/>
            <w:vAlign w:val="center"/>
          </w:tcPr>
          <w:p>
            <w:pPr>
              <w:pStyle w:val="8"/>
              <w:spacing w:before="48"/>
              <w:jc w:val="both"/>
              <w:rPr>
                <w:sz w:val="21"/>
              </w:rPr>
            </w:pPr>
            <w:r>
              <w:rPr>
                <w:sz w:val="21"/>
              </w:rPr>
              <w:t>磋商小组推荐成</w:t>
            </w:r>
          </w:p>
          <w:p>
            <w:pPr>
              <w:pStyle w:val="8"/>
              <w:spacing w:before="3"/>
              <w:jc w:val="both"/>
              <w:rPr>
                <w:sz w:val="21"/>
              </w:rPr>
            </w:pPr>
            <w:r>
              <w:rPr>
                <w:sz w:val="21"/>
              </w:rPr>
              <w:t>交候选人的人数</w:t>
            </w:r>
          </w:p>
        </w:tc>
        <w:tc>
          <w:tcPr>
            <w:tcW w:w="5535" w:type="dxa"/>
            <w:noWrap w:val="0"/>
            <w:vAlign w:val="center"/>
          </w:tcPr>
          <w:p>
            <w:pPr>
              <w:pStyle w:val="8"/>
              <w:spacing w:before="33"/>
              <w:jc w:val="both"/>
              <w:rPr>
                <w:rFonts w:ascii="Times New Roman" w:eastAsia="Times New Roman"/>
                <w:sz w:val="21"/>
                <w:u w:val="single"/>
              </w:rPr>
            </w:pPr>
            <w:r>
              <w:rPr>
                <w:sz w:val="21"/>
              </w:rPr>
              <w:t>磋商小组推荐的成交候选人数量：</w:t>
            </w:r>
            <w:r>
              <w:rPr>
                <w:rFonts w:ascii="Times New Roman" w:eastAsia="Times New Roman"/>
                <w:sz w:val="21"/>
              </w:rPr>
              <w:t xml:space="preserve">3 </w:t>
            </w:r>
            <w:r>
              <w:rPr>
                <w:sz w:val="21"/>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227" w:type="dxa"/>
            <w:noWrap w:val="0"/>
            <w:vAlign w:val="center"/>
          </w:tcPr>
          <w:p>
            <w:pPr>
              <w:pStyle w:val="8"/>
              <w:spacing w:before="3"/>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7</w:t>
            </w:r>
          </w:p>
        </w:tc>
        <w:tc>
          <w:tcPr>
            <w:tcW w:w="1803" w:type="dxa"/>
            <w:noWrap w:val="0"/>
            <w:vAlign w:val="center"/>
          </w:tcPr>
          <w:p>
            <w:pPr>
              <w:pStyle w:val="8"/>
              <w:spacing w:before="33" w:line="304" w:lineRule="auto"/>
              <w:jc w:val="both"/>
              <w:rPr>
                <w:sz w:val="21"/>
              </w:rPr>
            </w:pPr>
            <w:r>
              <w:rPr>
                <w:sz w:val="21"/>
              </w:rPr>
              <w:t>合同形式</w:t>
            </w:r>
          </w:p>
        </w:tc>
        <w:tc>
          <w:tcPr>
            <w:tcW w:w="5535" w:type="dxa"/>
            <w:noWrap w:val="0"/>
            <w:vAlign w:val="center"/>
          </w:tcPr>
          <w:p>
            <w:pPr>
              <w:pStyle w:val="8"/>
              <w:spacing w:before="10"/>
              <w:jc w:val="both"/>
              <w:rPr>
                <w:rFonts w:ascii="Times New Roman" w:eastAsia="Times New Roman"/>
                <w:sz w:val="21"/>
                <w:u w:val="single"/>
              </w:rPr>
            </w:pPr>
            <w:r>
              <w:rPr>
                <w:sz w:val="21"/>
              </w:rPr>
              <w:t>固定总价合同</w:t>
            </w:r>
          </w:p>
        </w:tc>
      </w:tr>
    </w:tbl>
    <w:p>
      <w:pPr>
        <w:spacing w:line="266" w:lineRule="exact"/>
        <w:rPr>
          <w:sz w:val="21"/>
        </w:rPr>
        <w:sectPr>
          <w:footerReference r:id="rId3" w:type="default"/>
          <w:pgSz w:w="11910" w:h="16840"/>
          <w:pgMar w:top="1984" w:right="1474" w:bottom="1871" w:left="1587" w:header="623" w:footer="773" w:gutter="0"/>
          <w:pgNumType w:fmt="decimal" w:start="1"/>
          <w:cols w:space="720" w:num="1"/>
          <w:docGrid w:linePitch="299" w:charSpace="0"/>
        </w:sectPr>
      </w:pPr>
    </w:p>
    <w:p>
      <w:pPr>
        <w:pStyle w:val="2"/>
        <w:keepNext w:val="0"/>
        <w:keepLines w:val="0"/>
        <w:pageBreakBefore w:val="0"/>
        <w:widowControl w:val="0"/>
        <w:tabs>
          <w:tab w:val="left" w:pos="1759"/>
        </w:tabs>
        <w:kinsoku/>
        <w:wordWrap/>
        <w:overflowPunct/>
        <w:topLinePunct w:val="0"/>
        <w:autoSpaceDE/>
        <w:autoSpaceDN/>
        <w:bidi w:val="0"/>
        <w:adjustRightInd/>
        <w:snapToGrid/>
        <w:spacing w:after="150" w:afterLines="50" w:line="360" w:lineRule="auto"/>
        <w:ind w:right="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一</w:t>
      </w:r>
      <w:r>
        <w:rPr>
          <w:rFonts w:hint="eastAsia" w:ascii="方正小标宋简体" w:hAnsi="方正小标宋简体" w:eastAsia="方正小标宋简体" w:cs="方正小标宋简体"/>
          <w:b w:val="0"/>
          <w:bCs w:val="0"/>
        </w:rPr>
        <w:t>章</w:t>
      </w:r>
      <w:r>
        <w:rPr>
          <w:rFonts w:hint="eastAsia" w:ascii="方正小标宋简体" w:hAnsi="方正小标宋简体" w:eastAsia="方正小标宋简体" w:cs="方正小标宋简体"/>
          <w:b w:val="0"/>
          <w:bCs w:val="0"/>
        </w:rPr>
        <w:tab/>
      </w:r>
      <w:r>
        <w:rPr>
          <w:rFonts w:hint="eastAsia" w:ascii="方正小标宋简体" w:hAnsi="方正小标宋简体" w:eastAsia="方正小标宋简体" w:cs="方正小标宋简体"/>
          <w:b w:val="0"/>
          <w:bCs w:val="0"/>
        </w:rPr>
        <w:t>采购需求</w:t>
      </w:r>
    </w:p>
    <w:p>
      <w:pPr>
        <w:pStyle w:val="2"/>
        <w:keepNext w:val="0"/>
        <w:keepLines w:val="0"/>
        <w:pageBreakBefore w:val="0"/>
        <w:widowControl w:val="0"/>
        <w:tabs>
          <w:tab w:val="left" w:pos="1759"/>
        </w:tabs>
        <w:kinsoku/>
        <w:wordWrap/>
        <w:overflowPunct/>
        <w:topLinePunct w:val="0"/>
        <w:autoSpaceDE/>
        <w:autoSpaceDN/>
        <w:bidi w:val="0"/>
        <w:adjustRightInd/>
        <w:snapToGrid/>
        <w:spacing w:before="219" w:beforeLines="50" w:after="219" w:afterLines="50" w:line="560" w:lineRule="exact"/>
        <w:ind w:right="0" w:firstLine="422" w:firstLineChars="200"/>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rPr>
        <w:t>一、</w:t>
      </w:r>
      <w:r>
        <w:rPr>
          <w:rFonts w:hint="eastAsia" w:ascii="宋体" w:hAnsi="宋体" w:eastAsia="宋体" w:cs="宋体"/>
          <w:b/>
          <w:bCs w:val="0"/>
          <w:kern w:val="2"/>
          <w:sz w:val="21"/>
          <w:szCs w:val="21"/>
          <w:lang w:val="en-US" w:eastAsia="zh-CN" w:bidi="ar-SA"/>
        </w:rPr>
        <w:t>项目背景</w:t>
      </w:r>
    </w:p>
    <w:p>
      <w:pPr>
        <w:widowControl/>
        <w:spacing w:line="480" w:lineRule="exact"/>
        <w:ind w:firstLine="434" w:firstLineChars="207"/>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为深入贯彻落实习近平总书记关于网络安全工作的重要指示精神，根据《中华人民共和国网络安全法》、《网络安全等级保护条例（征求意见稿）》以及《关于开展全国重要信息系统安全等级保护定级工作的通知》等文件要求，须对淮北市政府网站集约化平台网络安全开展安全扫描和代码审计工作。</w:t>
      </w:r>
    </w:p>
    <w:p>
      <w:pPr>
        <w:spacing w:line="480" w:lineRule="exact"/>
        <w:ind w:firstLine="482"/>
        <w:rPr>
          <w:rFonts w:hint="eastAsia" w:ascii="宋体" w:hAnsi="宋体" w:eastAsia="宋体" w:cs="宋体"/>
          <w:b/>
          <w:bCs w:val="0"/>
          <w:sz w:val="21"/>
          <w:lang w:val="en-US" w:eastAsia="zh-CN"/>
        </w:rPr>
      </w:pPr>
      <w:bookmarkStart w:id="0" w:name="_Toc44515526"/>
      <w:bookmarkStart w:id="1" w:name="_Toc11791059"/>
      <w:r>
        <w:rPr>
          <w:rFonts w:hint="eastAsia" w:ascii="宋体" w:hAnsi="宋体" w:eastAsia="宋体" w:cs="宋体"/>
          <w:b/>
          <w:bCs w:val="0"/>
          <w:sz w:val="21"/>
          <w:lang w:val="en-US" w:eastAsia="zh-CN"/>
        </w:rPr>
        <w:t>二、项目目的</w:t>
      </w:r>
      <w:bookmarkEnd w:id="0"/>
      <w:bookmarkEnd w:id="1"/>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依据《中华人民共和国网络安全法》《信息安全等级保护管理办法》的相关要求，为进一步加强淮北市政府网站集约化平台信息系统的整体安全防护能力，确保政府网站集约化平台系统在使用过程中的安全稳定，拟通过竞争性磋商方式采购政府网站集约化平台系统代码审计和安全扫描服务。根据审计和扫描结果持续推进政府网站集约化平台的安全建设，不断提高政府网站集约化平台系统的安全防护能力。</w:t>
      </w:r>
    </w:p>
    <w:p>
      <w:pPr>
        <w:spacing w:line="480" w:lineRule="exact"/>
        <w:ind w:firstLine="482"/>
        <w:rPr>
          <w:rFonts w:hint="eastAsia" w:ascii="宋体" w:hAnsi="宋体" w:eastAsia="宋体" w:cs="宋体"/>
          <w:b/>
          <w:bCs w:val="0"/>
          <w:sz w:val="21"/>
          <w:lang w:val="en-US" w:eastAsia="zh-CN"/>
        </w:rPr>
      </w:pPr>
      <w:bookmarkStart w:id="2" w:name="_Toc44515528"/>
      <w:bookmarkStart w:id="3" w:name="_Toc11791062"/>
      <w:r>
        <w:rPr>
          <w:rFonts w:hint="eastAsia" w:ascii="宋体" w:hAnsi="宋体" w:eastAsia="宋体" w:cs="宋体"/>
          <w:b/>
          <w:bCs w:val="0"/>
          <w:sz w:val="21"/>
          <w:lang w:val="en-US" w:eastAsia="zh-CN"/>
        </w:rPr>
        <w:t>参考标准</w:t>
      </w:r>
      <w:bookmarkEnd w:id="2"/>
      <w:bookmarkEnd w:id="3"/>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default"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US" w:eastAsia="zh-CN" w:bidi="ar-SA"/>
        </w:rPr>
        <w:t>《中华人民共和国网络安全法》</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《信息安全等级保护管理办法》</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US" w:eastAsia="zh-CN" w:bidi="ar-SA"/>
        </w:rPr>
        <w:t>《信息技术-安全技术-信息技术安全性评估准则》（ GB/T 18336-2015）</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《信息安全技术代码安全审计规范》（GB/T 39412-2020）</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OWASP TOP 10</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CWE/SANS TOP 25</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ASP/ASP.NET/PHP/JSP安全编码规范</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0" w:after="0" w:line="520" w:lineRule="exact"/>
        <w:ind w:left="420" w:leftChars="0" w:hanging="42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代码审计实施规范</w:t>
      </w:r>
    </w:p>
    <w:p>
      <w:pPr>
        <w:spacing w:line="480" w:lineRule="exact"/>
        <w:ind w:firstLine="482"/>
        <w:rPr>
          <w:rFonts w:hint="eastAsia" w:ascii="宋体" w:hAnsi="宋体" w:eastAsia="宋体" w:cs="宋体"/>
          <w:b/>
          <w:bCs w:val="0"/>
          <w:sz w:val="21"/>
          <w:lang w:val="en-US" w:eastAsia="zh-CN"/>
        </w:rPr>
      </w:pPr>
      <w:bookmarkStart w:id="4" w:name="_Toc326160313"/>
      <w:bookmarkStart w:id="5" w:name="_Toc40962931"/>
      <w:bookmarkStart w:id="6" w:name="_Toc80482015"/>
      <w:bookmarkStart w:id="7" w:name="_Toc40911965"/>
      <w:bookmarkStart w:id="8" w:name="_Toc43117751"/>
      <w:r>
        <w:rPr>
          <w:rFonts w:hint="eastAsia" w:ascii="宋体" w:hAnsi="宋体" w:eastAsia="宋体" w:cs="宋体"/>
          <w:b/>
          <w:bCs w:val="0"/>
          <w:sz w:val="21"/>
          <w:lang w:val="en-US" w:eastAsia="zh-CN"/>
        </w:rPr>
        <w:t>三、项目内容</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本次采购服务内容：</w:t>
      </w:r>
    </w:p>
    <w:tbl>
      <w:tblPr>
        <w:tblStyle w:val="6"/>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390"/>
        <w:gridCol w:w="2099"/>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82" w:type="dxa"/>
            <w:vAlign w:val="center"/>
          </w:tcPr>
          <w:p>
            <w:pPr>
              <w:spacing w:line="480" w:lineRule="exact"/>
              <w:jc w:val="center"/>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序号</w:t>
            </w:r>
          </w:p>
        </w:tc>
        <w:tc>
          <w:tcPr>
            <w:tcW w:w="3390" w:type="dxa"/>
            <w:vAlign w:val="center"/>
          </w:tcPr>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服务名称</w:t>
            </w:r>
          </w:p>
        </w:tc>
        <w:tc>
          <w:tcPr>
            <w:tcW w:w="2099" w:type="dxa"/>
            <w:vAlign w:val="center"/>
          </w:tcPr>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期限（次数）</w:t>
            </w:r>
          </w:p>
        </w:tc>
        <w:tc>
          <w:tcPr>
            <w:tcW w:w="3067" w:type="dxa"/>
            <w:vAlign w:val="center"/>
          </w:tcPr>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882" w:type="dxa"/>
            <w:vAlign w:val="center"/>
          </w:tcPr>
          <w:p>
            <w:pPr>
              <w:spacing w:line="480" w:lineRule="exact"/>
              <w:jc w:val="center"/>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w:t>
            </w:r>
          </w:p>
        </w:tc>
        <w:tc>
          <w:tcPr>
            <w:tcW w:w="3390" w:type="dxa"/>
            <w:vAlign w:val="center"/>
          </w:tcPr>
          <w:p>
            <w:pPr>
              <w:spacing w:line="480" w:lineRule="exact"/>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淮北市政府网站集约化平台-代码审计服务</w:t>
            </w:r>
          </w:p>
        </w:tc>
        <w:tc>
          <w:tcPr>
            <w:tcW w:w="2099" w:type="dxa"/>
            <w:vAlign w:val="center"/>
          </w:tcPr>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1次</w:t>
            </w:r>
          </w:p>
        </w:tc>
        <w:tc>
          <w:tcPr>
            <w:tcW w:w="3067" w:type="dxa"/>
            <w:vAlign w:val="center"/>
          </w:tcPr>
          <w:p>
            <w:pPr>
              <w:spacing w:line="480" w:lineRule="exact"/>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按采购人相关要求进行安全代码审计工作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882" w:type="dxa"/>
            <w:vAlign w:val="center"/>
          </w:tcPr>
          <w:p>
            <w:pPr>
              <w:spacing w:line="480" w:lineRule="exact"/>
              <w:jc w:val="center"/>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w:t>
            </w:r>
          </w:p>
        </w:tc>
        <w:tc>
          <w:tcPr>
            <w:tcW w:w="3390" w:type="dxa"/>
            <w:vAlign w:val="center"/>
          </w:tcPr>
          <w:p>
            <w:pPr>
              <w:spacing w:line="480" w:lineRule="exact"/>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淮北市政府网站集约化平台系统-安全扫描服务</w:t>
            </w:r>
          </w:p>
        </w:tc>
        <w:tc>
          <w:tcPr>
            <w:tcW w:w="2099" w:type="dxa"/>
            <w:vAlign w:val="center"/>
          </w:tcPr>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1次</w:t>
            </w:r>
          </w:p>
        </w:tc>
        <w:tc>
          <w:tcPr>
            <w:tcW w:w="3067" w:type="dxa"/>
            <w:vAlign w:val="center"/>
          </w:tcPr>
          <w:p>
            <w:pPr>
              <w:spacing w:line="480" w:lineRule="exact"/>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按采购人相关要求进行安全扫描工作</w:t>
            </w:r>
          </w:p>
        </w:tc>
      </w:tr>
    </w:tbl>
    <w:p>
      <w:pPr>
        <w:spacing w:line="480" w:lineRule="exact"/>
        <w:ind w:firstLine="482"/>
        <w:rPr>
          <w:rFonts w:hint="eastAsia" w:ascii="宋体" w:hAnsi="宋体" w:eastAsia="宋体" w:cs="宋体"/>
          <w:b/>
          <w:bCs w:val="0"/>
          <w:sz w:val="21"/>
          <w:lang w:val="en-US" w:eastAsia="zh-CN"/>
        </w:rPr>
      </w:pPr>
      <w:r>
        <w:rPr>
          <w:rFonts w:hint="eastAsia" w:ascii="宋体" w:hAnsi="宋体" w:eastAsia="宋体" w:cs="宋体"/>
          <w:b/>
          <w:bCs w:val="0"/>
          <w:sz w:val="21"/>
          <w:lang w:val="en-US" w:eastAsia="zh-CN"/>
        </w:rPr>
        <w:t>1、代码审计服务内容：</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依据GBT39412-2020《代码安全审计》采用代码安全审计工具和人工排查的方式对代码中存在的编码漏洞和缺陷等进行检查分析，发现当前应用程序存在的漏洞，如跨站脚本漏洞、SQL注入漏洞、命令执行漏洞、日志伪造漏洞、参数篡改等，并针对检测发现的问题协助进行问题修复。</w:t>
      </w:r>
    </w:p>
    <w:p>
      <w:pPr>
        <w:spacing w:line="480" w:lineRule="exact"/>
        <w:ind w:firstLine="482"/>
        <w:rPr>
          <w:rFonts w:hint="eastAsia" w:ascii="宋体" w:hAnsi="宋体" w:eastAsia="宋体" w:cs="宋体"/>
          <w:b/>
          <w:bCs w:val="0"/>
          <w:sz w:val="21"/>
          <w:lang w:val="en-US" w:eastAsia="zh-CN"/>
        </w:rPr>
      </w:pPr>
      <w:r>
        <w:rPr>
          <w:rFonts w:hint="eastAsia" w:ascii="宋体" w:hAnsi="宋体" w:eastAsia="宋体" w:cs="宋体"/>
          <w:b/>
          <w:bCs w:val="0"/>
          <w:sz w:val="21"/>
          <w:lang w:val="en-US" w:eastAsia="zh-CN"/>
        </w:rPr>
        <w:t>整体代码审计：</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代码审计服务人员对被审计系统的所有源代码进行整体的安全审计，代码覆盖率为100%，整体代码审计采用源代码扫描和人工分析确认相结合的方式进行分析，发现源代码存在的安全漏洞。</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整体代码审计属于白盒静态分析，仅能发现代码编写存在的安全漏洞，无法发现业务功能存在的缺陷。</w:t>
      </w:r>
    </w:p>
    <w:p>
      <w:pPr>
        <w:spacing w:line="480" w:lineRule="exact"/>
        <w:ind w:firstLine="482"/>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功能点人工代码审计</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对某个或某几个重要的功能点的源代码进行人工代码审计，发现功能点存在的代码安全问题。功能点人工代码审计需要收集系统的设计文档、系统开发说明书等技术资料，以便代码审计服务人员能够更好的了解系统业务功能。由于人工代码审计工作量极大，所以需要分析并选择重要的功能点，有针对性的进行人工代码审计。</w:t>
      </w:r>
    </w:p>
    <w:p>
      <w:pPr>
        <w:spacing w:line="480" w:lineRule="exact"/>
        <w:ind w:firstLine="482"/>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2、安全扫描服务内容</w:t>
      </w:r>
    </w:p>
    <w:p>
      <w:pPr>
        <w:spacing w:line="480" w:lineRule="exact"/>
        <w:ind w:firstLine="482"/>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梳理资产</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通过现场调研和网络扫描的方式梳理设备资产、识别开放端口/服务。</w:t>
      </w:r>
    </w:p>
    <w:p>
      <w:pPr>
        <w:spacing w:line="480" w:lineRule="exact"/>
        <w:ind w:firstLine="482"/>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发现漏洞</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通过内网检查发现内部设备脆弱性（如弱口令、系统漏洞、非授权访问等高危漏洞）。</w:t>
      </w:r>
    </w:p>
    <w:p>
      <w:pPr>
        <w:spacing w:line="480" w:lineRule="exact"/>
        <w:ind w:firstLine="482"/>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排除隐患</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通过外网测试全面检测重要信息系统及相关信息系统直接暴露在互联网上的安全隐患，并提供实际可行的安全修复建议。</w:t>
      </w:r>
    </w:p>
    <w:p>
      <w:pPr>
        <w:numPr>
          <w:ilvl w:val="0"/>
          <w:numId w:val="2"/>
        </w:numPr>
        <w:spacing w:line="480" w:lineRule="exact"/>
        <w:ind w:firstLine="482"/>
        <w:rPr>
          <w:rFonts w:hint="eastAsia" w:ascii="宋体" w:hAnsi="宋体" w:eastAsia="宋体" w:cs="宋体"/>
          <w:b/>
          <w:bCs w:val="0"/>
          <w:sz w:val="21"/>
          <w:lang w:val="en-US" w:eastAsia="zh-CN"/>
        </w:rPr>
      </w:pPr>
      <w:r>
        <w:rPr>
          <w:rFonts w:hint="eastAsia" w:ascii="宋体" w:hAnsi="宋体" w:eastAsia="宋体" w:cs="宋体"/>
          <w:b/>
          <w:bCs w:val="0"/>
          <w:sz w:val="21"/>
          <w:lang w:val="en-US" w:eastAsia="zh-CN"/>
        </w:rPr>
        <w:t>服务</w:t>
      </w:r>
      <w:bookmarkEnd w:id="4"/>
      <w:bookmarkEnd w:id="5"/>
      <w:bookmarkEnd w:id="6"/>
      <w:bookmarkEnd w:id="7"/>
      <w:bookmarkEnd w:id="8"/>
      <w:r>
        <w:rPr>
          <w:rFonts w:hint="eastAsia" w:ascii="宋体" w:hAnsi="宋体" w:eastAsia="宋体" w:cs="宋体"/>
          <w:b/>
          <w:bCs w:val="0"/>
          <w:sz w:val="21"/>
          <w:lang w:val="en-US" w:eastAsia="zh-CN"/>
        </w:rPr>
        <w:t>要求</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1.服务原则</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本次代码审计和安全扫描实施方案设计与具体实施应满足以下原则：</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（1）标准性原则：代码审计和安全扫描工作方案的设计与实施应依据国家相关标准进行。</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（2）规范性原则：供应商的工作中的过程和文档，具有很好的规范性，可以便于项目的跟踪和控制。</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（3）可控性原则：代码审计和安全扫描工作服务的进度要跟上进度表的安排，保证测评对于工作进度的可控性。</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（4）整体性原则：代码审计和安全扫描工作的范围和内容应当整体全面，包括国家相关要求涉及的各个层面。</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（5）最小影响原则：代码审计和安全扫描工作应尽可能小的影响系统和网络，并在可控范围内；代码审计和安全扫描工作不能对现有信息系统的正常运行、业务的正常开展产生任何影响。 </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2.质量要求</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服务方应提前制定详细的服务方案，明确本次服务所遵循的标准、服务计划安排、使用的工具以及执行方式。</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3.代码审计和安全扫描报告交付</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供应商应对采购人的信息系统进行代码审计和安全扫描，提供符合要求的测评报告，出具《淮北市政府网站集约化平台系统代码审计安全评估报告》以及《淮北市政府网站集约化平台系统安全扫描报告》一式三份。</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（2）供应商应对所有正式交付件的综合质量审查负责，指定各交付件的相关责任人，明确相关职责。</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4.保密要求</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（1）供应商必须和采购人签订保密协议和非侵害性协议，供应商必须要与参加此次代码审计和安全扫描项目的所有项目组成员签订保密协议和非侵害性协议，在合同签订时一并提供给采购人。</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（2）供应商具体代码审计和安全扫描工作报告的编写，必须在采购人的指定地点进行。对于测评中的重要资料和结果，在代码审计期间和代码审计结束后，供应商不得带离该地点。</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（3）供应商对本规范书中的内容及在应标过程中接触的设备信息、数据资料等负有保密责任，不得泄露给任何第三方。无论供应商中标与否，其对上述内容的保密责任将长期存在。</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5.人员要求</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供应商拟派的安全服务团队不得少于4人，成交供应商需保证在项目实施阶段主要技术人员必须是全职。</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注：以上人员须提供证书复印件加盖供应商单位公章，以及自2</w:t>
      </w:r>
      <w:r>
        <w:rPr>
          <w:rFonts w:hint="default" w:ascii="宋体" w:hAnsi="宋体" w:eastAsia="宋体" w:cs="宋体"/>
          <w:b w:val="0"/>
          <w:bCs/>
          <w:kern w:val="2"/>
          <w:sz w:val="21"/>
          <w:szCs w:val="21"/>
          <w:lang w:val="en-US" w:eastAsia="zh-CN" w:bidi="ar-SA"/>
        </w:rPr>
        <w:t>022</w:t>
      </w:r>
      <w:r>
        <w:rPr>
          <w:rFonts w:hint="eastAsia" w:ascii="宋体" w:hAnsi="宋体" w:eastAsia="宋体" w:cs="宋体"/>
          <w:b w:val="0"/>
          <w:bCs/>
          <w:kern w:val="2"/>
          <w:sz w:val="21"/>
          <w:szCs w:val="21"/>
          <w:lang w:val="en-US" w:eastAsia="zh-CN" w:bidi="ar-SA"/>
        </w:rPr>
        <w:t>年1月起近三个月个人社保缴纳证明。</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6、报价要求</w:t>
      </w:r>
    </w:p>
    <w:p>
      <w:pPr>
        <w:spacing w:line="480" w:lineRule="exact"/>
        <w:ind w:firstLine="482"/>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本项目报总价，报价包含完成本项目服务期间所产生的一切费用，采购人后期不再另行追加费用。</w:t>
      </w:r>
    </w:p>
    <w:p>
      <w:pPr>
        <w:numPr>
          <w:ilvl w:val="0"/>
          <w:numId w:val="0"/>
        </w:numPr>
        <w:spacing w:line="480" w:lineRule="exact"/>
        <w:ind w:firstLine="422" w:firstLineChars="200"/>
        <w:rPr>
          <w:rFonts w:hint="default" w:ascii="宋体" w:hAnsi="宋体" w:eastAsia="宋体" w:cs="宋体"/>
          <w:b/>
          <w:bCs w:val="0"/>
          <w:sz w:val="21"/>
          <w:lang w:val="en-US" w:eastAsia="zh-CN"/>
        </w:rPr>
      </w:pPr>
      <w:r>
        <w:rPr>
          <w:rFonts w:hint="eastAsia" w:ascii="宋体" w:hAnsi="宋体" w:eastAsia="宋体" w:cs="宋体"/>
          <w:b/>
          <w:bCs w:val="0"/>
          <w:sz w:val="21"/>
          <w:lang w:val="en-US" w:eastAsia="zh-CN"/>
        </w:rPr>
        <w:t>7、项目实施时间及地点</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合同签订后10个工作日内完成2022年淮北市政府网站集约化平台系统代码审计和安全扫描报告等系统环境调研工作，完成代码审计和安全扫描工作方案实施计划编制，项目进场实施后30个工作日内完成所有系统代码审计和安全扫描工作，服务地点为淮北市政府办公室指定地点。</w:t>
      </w: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p>
    <w:p>
      <w:pPr>
        <w:pStyle w:val="2"/>
        <w:keepNext/>
        <w:keepLines/>
        <w:pageBreakBefore w:val="0"/>
        <w:widowControl w:val="0"/>
        <w:tabs>
          <w:tab w:val="left" w:pos="1759"/>
        </w:tabs>
        <w:kinsoku/>
        <w:wordWrap/>
        <w:overflowPunct/>
        <w:topLinePunct w:val="0"/>
        <w:autoSpaceDE/>
        <w:autoSpaceDN/>
        <w:bidi w:val="0"/>
        <w:adjustRightInd/>
        <w:snapToGrid/>
        <w:spacing w:before="0" w:after="0" w:line="560" w:lineRule="exact"/>
        <w:ind w:right="0"/>
        <w:jc w:val="center"/>
        <w:textAlignment w:val="auto"/>
        <w:rPr>
          <w:rFonts w:hint="default"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二</w:t>
      </w:r>
      <w:r>
        <w:rPr>
          <w:rFonts w:hint="eastAsia" w:ascii="方正小标宋简体" w:hAnsi="方正小标宋简体" w:eastAsia="方正小标宋简体" w:cs="方正小标宋简体"/>
          <w:b w:val="0"/>
          <w:bCs w:val="0"/>
        </w:rPr>
        <w:t>章</w:t>
      </w:r>
      <w:r>
        <w:rPr>
          <w:rFonts w:hint="eastAsia" w:ascii="方正小标宋简体" w:hAnsi="方正小标宋简体" w:eastAsia="方正小标宋简体" w:cs="方正小标宋简体"/>
          <w:b w:val="0"/>
          <w:bCs w:val="0"/>
        </w:rPr>
        <w:tab/>
      </w:r>
      <w:r>
        <w:rPr>
          <w:rFonts w:hint="eastAsia" w:ascii="方正小标宋简体" w:hAnsi="方正小标宋简体" w:eastAsia="方正小标宋简体" w:cs="方正小标宋简体"/>
          <w:b w:val="0"/>
          <w:bCs w:val="0"/>
        </w:rPr>
        <w:t>磋商和评审办法</w:t>
      </w:r>
    </w:p>
    <w:p>
      <w:pPr>
        <w:pStyle w:val="2"/>
        <w:keepNext/>
        <w:keepLines/>
        <w:pageBreakBefore w:val="0"/>
        <w:widowControl w:val="0"/>
        <w:tabs>
          <w:tab w:val="left" w:pos="1759"/>
        </w:tabs>
        <w:kinsoku/>
        <w:wordWrap/>
        <w:overflowPunct/>
        <w:topLinePunct w:val="0"/>
        <w:autoSpaceDE/>
        <w:autoSpaceDN/>
        <w:bidi w:val="0"/>
        <w:adjustRightInd/>
        <w:snapToGrid/>
        <w:spacing w:before="0" w:after="0" w:line="560" w:lineRule="exact"/>
        <w:ind w:right="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评审办法前附表</w:t>
      </w:r>
    </w:p>
    <w:p>
      <w:pPr>
        <w:spacing w:line="480" w:lineRule="exact"/>
        <w:ind w:firstLine="482"/>
        <w:rPr>
          <w:rFonts w:hint="eastAsia" w:ascii="宋体" w:hAnsi="宋体" w:eastAsia="宋体" w:cs="宋体"/>
          <w:b w:val="0"/>
          <w:bCs/>
          <w:kern w:val="2"/>
          <w:sz w:val="21"/>
          <w:szCs w:val="21"/>
          <w:lang w:val="en-US" w:eastAsia="zh-CN" w:bidi="ar-SA"/>
        </w:rPr>
      </w:pP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以下涉及初步评审及详细评审的资料均须提供复印件并加盖供应商单位公章放入响应文件（供应商提供的资料须清晰、明确、可辨认，否则磋商小组可作出不利于供应商的决定）。</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bCs w:val="0"/>
          <w:kern w:val="2"/>
          <w:sz w:val="21"/>
          <w:szCs w:val="21"/>
          <w:lang w:val="en-US" w:eastAsia="zh-CN" w:bidi="ar-SA"/>
        </w:rPr>
        <w:t>1、符合性审查标准</w:t>
      </w:r>
    </w:p>
    <w:tbl>
      <w:tblPr>
        <w:tblStyle w:val="9"/>
        <w:tblW w:w="8670" w:type="dxa"/>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1104"/>
        <w:gridCol w:w="1512"/>
        <w:gridCol w:w="4896"/>
        <w:gridCol w:w="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sz w:val="21"/>
              </w:rPr>
            </w:pPr>
            <w:r>
              <w:rPr>
                <w:rFonts w:hint="eastAsia" w:ascii="宋体" w:hAnsi="宋体" w:eastAsia="宋体" w:cs="宋体"/>
                <w:b/>
                <w:sz w:val="21"/>
              </w:rPr>
              <w:t>序号</w:t>
            </w:r>
          </w:p>
        </w:tc>
        <w:tc>
          <w:tcPr>
            <w:tcW w:w="1104"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sz w:val="21"/>
              </w:rPr>
            </w:pPr>
            <w:r>
              <w:rPr>
                <w:rFonts w:hint="eastAsia" w:ascii="宋体" w:hAnsi="宋体" w:eastAsia="宋体" w:cs="宋体"/>
                <w:b/>
                <w:sz w:val="21"/>
              </w:rPr>
              <w:t>评审项</w:t>
            </w:r>
          </w:p>
        </w:tc>
        <w:tc>
          <w:tcPr>
            <w:tcW w:w="1512"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sz w:val="21"/>
              </w:rPr>
            </w:pPr>
            <w:r>
              <w:rPr>
                <w:rFonts w:hint="eastAsia" w:ascii="宋体" w:hAnsi="宋体" w:eastAsia="宋体" w:cs="宋体"/>
                <w:b/>
                <w:sz w:val="21"/>
              </w:rPr>
              <w:t>评审因素</w:t>
            </w:r>
          </w:p>
        </w:tc>
        <w:tc>
          <w:tcPr>
            <w:tcW w:w="489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sz w:val="21"/>
              </w:rPr>
            </w:pPr>
            <w:r>
              <w:rPr>
                <w:rFonts w:hint="eastAsia" w:ascii="宋体" w:hAnsi="宋体" w:eastAsia="宋体" w:cs="宋体"/>
                <w:b/>
                <w:sz w:val="21"/>
              </w:rPr>
              <w:t>评审标准</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sz w:val="21"/>
              </w:rPr>
            </w:pPr>
            <w:r>
              <w:rPr>
                <w:rFonts w:hint="eastAsia" w:ascii="宋体" w:hAnsi="宋体" w:eastAsia="宋体" w:cs="宋体"/>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1</w:t>
            </w:r>
          </w:p>
        </w:tc>
        <w:tc>
          <w:tcPr>
            <w:tcW w:w="1104"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形式评审</w:t>
            </w: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供应商名称</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与营业执照一致</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法定代表人身份证明及授权委托书</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法定代表人身份证明及授权委托书符合竞争性磋商文件规定的格式，按规定格式签字盖章</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联合体响应</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本项目不接受联合体响应</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书面承诺函格式及内容</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b/>
                <w:sz w:val="11"/>
              </w:rPr>
            </w:pP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其他要求</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2</w:t>
            </w:r>
          </w:p>
        </w:tc>
        <w:tc>
          <w:tcPr>
            <w:tcW w:w="1104"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资格评审</w:t>
            </w: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资格要求</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具有独立法人资格，提供有效营业执照。</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信用要求</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供应商（含其不具有独立法人资格的分支机构）不得存在下列不良信用记录情形之一：</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1、被人民法院列入失信被执行人的；</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2、被税务部门列入重大税收违法案件当事人名单的；</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备注：是否有不良信用记录，仅以评审当日查询的结果为准。</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10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其他要求</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磋商文件其他实质性要求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12"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3</w:t>
            </w:r>
          </w:p>
        </w:tc>
        <w:tc>
          <w:tcPr>
            <w:tcW w:w="1104"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响应性评审</w:t>
            </w: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响应报价</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响应报价不得超过采购预算（最高限价），只能有一个有效报价，不得提交选择性报价。</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1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响应文件有效期</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1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服务期</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1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付款方式</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1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服务质量</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应符合磋商文件的要求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1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
                <w:szCs w:val="2"/>
              </w:rPr>
            </w:pPr>
          </w:p>
        </w:tc>
        <w:tc>
          <w:tcPr>
            <w:tcW w:w="151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sz w:val="21"/>
              </w:rPr>
            </w:pPr>
            <w:r>
              <w:rPr>
                <w:rFonts w:hint="eastAsia" w:ascii="宋体" w:hAnsi="宋体" w:eastAsia="宋体" w:cs="宋体"/>
                <w:sz w:val="21"/>
              </w:rPr>
              <w:t>其他要求</w:t>
            </w:r>
          </w:p>
        </w:tc>
        <w:tc>
          <w:tcPr>
            <w:tcW w:w="4896"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jc w:val="left"/>
              <w:textAlignment w:val="auto"/>
              <w:rPr>
                <w:rFonts w:hint="eastAsia" w:ascii="宋体" w:hAnsi="宋体" w:eastAsia="宋体" w:cs="宋体"/>
                <w:sz w:val="21"/>
              </w:rPr>
            </w:pPr>
            <w:r>
              <w:rPr>
                <w:rFonts w:hint="eastAsia" w:ascii="宋体" w:hAnsi="宋体" w:eastAsia="宋体" w:cs="宋体"/>
                <w:sz w:val="21"/>
              </w:rPr>
              <w:t>磋商文件其他实质性要求</w:t>
            </w:r>
          </w:p>
        </w:tc>
        <w:tc>
          <w:tcPr>
            <w:tcW w:w="546"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firstLine="0"/>
              <w:textAlignment w:val="auto"/>
              <w:rPr>
                <w:rFonts w:hint="eastAsia" w:ascii="宋体" w:hAnsi="宋体" w:eastAsia="宋体" w:cs="宋体"/>
                <w:sz w:val="20"/>
              </w:rPr>
            </w:pPr>
          </w:p>
        </w:tc>
      </w:tr>
    </w:tbl>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b/>
          <w:bCs w:val="0"/>
          <w:sz w:val="21"/>
          <w:lang w:val="en-US" w:eastAsia="zh-CN"/>
        </w:rPr>
      </w:pPr>
    </w:p>
    <w:p>
      <w:pPr>
        <w:spacing w:line="480" w:lineRule="exact"/>
        <w:ind w:firstLine="482"/>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2、磋商程序及要求</w:t>
      </w:r>
    </w:p>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2.1初步评审合格的供应商进入两阶段磋商程序。</w:t>
      </w:r>
    </w:p>
    <w:p>
      <w:pPr>
        <w:pStyle w:val="4"/>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
        </w:rPr>
      </w:pPr>
    </w:p>
    <w:tbl>
      <w:tblPr>
        <w:tblStyle w:val="9"/>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468"/>
        <w:gridCol w:w="5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174"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sz w:val="21"/>
              </w:rPr>
            </w:pPr>
            <w:r>
              <w:rPr>
                <w:rFonts w:hint="eastAsia" w:ascii="宋体" w:hAnsi="宋体" w:eastAsia="宋体" w:cs="宋体"/>
                <w:b/>
                <w:bCs/>
              </w:rPr>
              <w:t>序号</w:t>
            </w:r>
          </w:p>
        </w:tc>
        <w:tc>
          <w:tcPr>
            <w:tcW w:w="1468"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bCs/>
                <w:sz w:val="21"/>
                <w:lang w:eastAsia="zh-CN"/>
              </w:rPr>
            </w:pPr>
            <w:r>
              <w:rPr>
                <w:rFonts w:hint="eastAsia" w:ascii="宋体" w:hAnsi="宋体" w:eastAsia="宋体" w:cs="宋体"/>
                <w:b/>
                <w:bCs/>
                <w:sz w:val="21"/>
                <w:lang w:eastAsia="zh-CN"/>
              </w:rPr>
              <w:t>类别</w:t>
            </w:r>
          </w:p>
        </w:tc>
        <w:tc>
          <w:tcPr>
            <w:tcW w:w="599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bCs/>
                <w:sz w:val="21"/>
              </w:rPr>
            </w:pPr>
            <w:r>
              <w:rPr>
                <w:rFonts w:hint="eastAsia" w:ascii="宋体" w:hAnsi="宋体" w:eastAsia="宋体" w:cs="宋体"/>
                <w:b/>
                <w:bCs/>
                <w:sz w:val="21"/>
              </w:rPr>
              <w:t>磋商程序（两阶段磋</w:t>
            </w:r>
            <w:r>
              <w:rPr>
                <w:rFonts w:hint="eastAsia" w:ascii="宋体" w:hAnsi="宋体" w:eastAsia="宋体" w:cs="宋体"/>
                <w:b/>
                <w:bCs/>
                <w:sz w:val="21"/>
                <w:lang w:eastAsia="zh-CN"/>
              </w:rPr>
              <w:t>商</w:t>
            </w:r>
            <w:r>
              <w:rPr>
                <w:rFonts w:hint="eastAsia" w:ascii="宋体" w:hAnsi="宋体" w:eastAsia="宋体" w:cs="宋体"/>
                <w:b/>
                <w:bCs/>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174"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sz w:val="21"/>
              </w:rPr>
            </w:pPr>
            <w:r>
              <w:rPr>
                <w:rFonts w:hint="eastAsia" w:ascii="宋体" w:hAnsi="宋体" w:eastAsia="宋体" w:cs="宋体"/>
                <w:sz w:val="21"/>
              </w:rPr>
              <w:t>第一阶段</w:t>
            </w:r>
          </w:p>
        </w:tc>
        <w:tc>
          <w:tcPr>
            <w:tcW w:w="1468"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spacing w:val="-5"/>
                <w:sz w:val="21"/>
              </w:rPr>
            </w:pPr>
            <w:r>
              <w:rPr>
                <w:rFonts w:hint="eastAsia" w:ascii="宋体" w:hAnsi="宋体" w:eastAsia="宋体" w:cs="宋体"/>
                <w:spacing w:val="-5"/>
                <w:sz w:val="21"/>
              </w:rPr>
              <w:t>技术、服务要求方</w:t>
            </w:r>
            <w:r>
              <w:rPr>
                <w:rFonts w:hint="eastAsia" w:ascii="宋体" w:hAnsi="宋体" w:eastAsia="宋体" w:cs="宋体"/>
                <w:sz w:val="21"/>
              </w:rPr>
              <w:t>面磋商</w:t>
            </w:r>
          </w:p>
        </w:tc>
        <w:tc>
          <w:tcPr>
            <w:tcW w:w="5992"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宋体" w:hAnsi="宋体" w:eastAsia="宋体" w:cs="宋体"/>
                <w:sz w:val="21"/>
              </w:rPr>
            </w:pPr>
            <w:r>
              <w:rPr>
                <w:rFonts w:hint="eastAsia" w:ascii="宋体" w:hAnsi="宋体" w:eastAsia="宋体" w:cs="宋体"/>
                <w:sz w:val="21"/>
              </w:rPr>
              <w:t>本项目竞争性磋商文件已详细列明采购标的的技术、服务要求，磋商小组原则上不再与各供应商就采购标的的技术、服务要求及拟签订的合同内容进行一对一磋商。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174"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sz w:val="21"/>
              </w:rPr>
            </w:pPr>
            <w:r>
              <w:rPr>
                <w:rFonts w:hint="eastAsia" w:ascii="宋体" w:hAnsi="宋体" w:eastAsia="宋体" w:cs="宋体"/>
                <w:sz w:val="21"/>
              </w:rPr>
              <w:t>第二阶段</w:t>
            </w:r>
          </w:p>
        </w:tc>
        <w:tc>
          <w:tcPr>
            <w:tcW w:w="1468"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hanging="210"/>
              <w:jc w:val="center"/>
              <w:textAlignment w:val="auto"/>
              <w:rPr>
                <w:rFonts w:hint="eastAsia" w:ascii="宋体" w:hAnsi="宋体" w:eastAsia="宋体" w:cs="宋体"/>
                <w:sz w:val="21"/>
              </w:rPr>
            </w:pPr>
            <w:r>
              <w:rPr>
                <w:rFonts w:hint="eastAsia" w:ascii="宋体" w:hAnsi="宋体" w:eastAsia="宋体" w:cs="宋体"/>
                <w:sz w:val="21"/>
              </w:rPr>
              <w:t>价格方面磋商</w:t>
            </w:r>
          </w:p>
        </w:tc>
        <w:tc>
          <w:tcPr>
            <w:tcW w:w="5992" w:type="dxa"/>
            <w:noWrap w:val="0"/>
            <w:vAlign w:val="top"/>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宋体" w:hAnsi="宋体" w:eastAsia="宋体" w:cs="宋体"/>
                <w:sz w:val="21"/>
              </w:rPr>
            </w:pPr>
            <w:r>
              <w:rPr>
                <w:rFonts w:hint="eastAsia" w:ascii="宋体" w:hAnsi="宋体" w:eastAsia="宋体" w:cs="宋体"/>
                <w:sz w:val="21"/>
              </w:rPr>
              <w:t>由于本项目竞争性磋商文件已能够较详细的列明采购标的的服务方案、内容以及合同条款，在服务方案、内容以及合同条款不变的情况下，各供应商响应文件中的首轮报价即作为最终报价。</w:t>
            </w:r>
          </w:p>
        </w:tc>
      </w:tr>
    </w:tbl>
    <w:p>
      <w:pPr>
        <w:spacing w:line="480" w:lineRule="exact"/>
        <w:ind w:firstLine="482"/>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2.2两阶段磋商程序后，磋商小组采用综合评分法对响应文件进行综合评分。</w:t>
      </w:r>
    </w:p>
    <w:p>
      <w:pPr>
        <w:spacing w:line="480" w:lineRule="exact"/>
        <w:ind w:firstLine="482"/>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3、详细评审标准</w:t>
      </w:r>
    </w:p>
    <w:p>
      <w:pPr>
        <w:pStyle w:val="8"/>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eastAsia="宋体" w:cs="宋体"/>
          <w:sz w:val="21"/>
          <w:szCs w:val="20"/>
          <w:lang w:eastAsia="zh-CN"/>
        </w:rPr>
      </w:pPr>
      <w:r>
        <w:rPr>
          <w:rFonts w:hint="eastAsia" w:ascii="宋体" w:hAnsi="宋体" w:eastAsia="宋体" w:cs="宋体"/>
          <w:b w:val="0"/>
          <w:bCs/>
          <w:kern w:val="2"/>
          <w:sz w:val="21"/>
          <w:szCs w:val="21"/>
          <w:lang w:val="en-US" w:eastAsia="zh-CN" w:bidi="ar-SA"/>
        </w:rPr>
        <w:t>分值构成：总分 100 分，商务报价部分：10 分，商务技术部分：90 分。</w:t>
      </w:r>
    </w:p>
    <w:p>
      <w:pPr>
        <w:spacing w:line="480" w:lineRule="exact"/>
        <w:ind w:firstLine="482"/>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商务报价得分计算方法：</w:t>
      </w:r>
    </w:p>
    <w:p>
      <w:pPr>
        <w:pStyle w:val="8"/>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满足磋商文件要求且各家报价的最低价为响应基准价，其价格分为满分，其他响应报价得分统一按照下列公式计算：响应报价得分=（基准价/响应报价）×10。</w:t>
      </w:r>
    </w:p>
    <w:p>
      <w:pPr>
        <w:spacing w:line="480" w:lineRule="exact"/>
        <w:ind w:firstLine="482"/>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商务技术得分计算方法：</w:t>
      </w:r>
    </w:p>
    <w:p>
      <w:pPr>
        <w:pStyle w:val="8"/>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eastAsia="宋体" w:cs="宋体"/>
          <w:b w:val="0"/>
          <w:bCs/>
          <w:kern w:val="2"/>
          <w:sz w:val="21"/>
          <w:szCs w:val="21"/>
          <w:lang w:val="en-US" w:eastAsia="zh-CN" w:bidi="ar-SA"/>
        </w:rPr>
        <w:sectPr>
          <w:pgSz w:w="11910" w:h="16840"/>
          <w:pgMar w:top="1440" w:right="1800" w:bottom="1440" w:left="1800" w:header="623" w:footer="773" w:gutter="0"/>
          <w:pgNumType w:fmt="decimal"/>
          <w:cols w:space="720" w:num="1"/>
          <w:docGrid w:linePitch="299" w:charSpace="0"/>
        </w:sectPr>
      </w:pPr>
      <w:r>
        <w:rPr>
          <w:rFonts w:hint="eastAsia" w:ascii="宋体" w:hAnsi="宋体" w:eastAsia="宋体" w:cs="宋体"/>
          <w:b w:val="0"/>
          <w:bCs/>
          <w:kern w:val="2"/>
          <w:sz w:val="21"/>
          <w:szCs w:val="21"/>
          <w:lang w:val="en-US" w:eastAsia="zh-CN" w:bidi="ar-SA"/>
        </w:rPr>
        <w:t>先由磋商小组对每个供应商独立打分，然后取所有磋商小组评分的算术平均值。磋商小组根据供应商最终综合得分（商务技术得分+报价得分，取小数点后两位，第三位四舍五入） 由高到低推荐 3 名有排序的成交候选供应商。若出现综合得分相同的情况，则按报价低的列前；最后报价也相等的，则采取供应商抽签方式确定成交候选人排序。</w:t>
      </w:r>
    </w:p>
    <w:p>
      <w:pPr>
        <w:spacing w:line="480" w:lineRule="exact"/>
        <w:ind w:firstLine="482"/>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评分细则：</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5"/>
        <w:gridCol w:w="586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71" w:type="dxa"/>
            <w:shd w:val="clear" w:color="auto" w:fill="F2F2F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default" w:ascii="宋体" w:hAnsi="宋体" w:eastAsia="宋体" w:cs="宋体"/>
                <w:b/>
                <w:bCs/>
                <w:sz w:val="21"/>
                <w:lang w:val="en-US" w:eastAsia="zh-CN"/>
              </w:rPr>
            </w:pPr>
            <w:r>
              <w:rPr>
                <w:rFonts w:hint="eastAsia" w:ascii="宋体" w:hAnsi="宋体" w:eastAsia="宋体" w:cs="宋体"/>
                <w:b/>
                <w:bCs/>
                <w:sz w:val="21"/>
                <w:lang w:val="en-US" w:eastAsia="zh-CN"/>
              </w:rPr>
              <w:t>类别</w:t>
            </w:r>
          </w:p>
        </w:tc>
        <w:tc>
          <w:tcPr>
            <w:tcW w:w="1415" w:type="dxa"/>
            <w:shd w:val="clear" w:color="auto" w:fill="F2F2F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default" w:ascii="宋体" w:hAnsi="宋体" w:eastAsia="宋体" w:cs="宋体"/>
                <w:b/>
                <w:bCs/>
                <w:sz w:val="21"/>
                <w:lang w:val="en-US" w:eastAsia="zh-CN"/>
              </w:rPr>
            </w:pPr>
            <w:r>
              <w:rPr>
                <w:rFonts w:hint="eastAsia" w:ascii="宋体" w:hAnsi="宋体" w:eastAsia="宋体" w:cs="宋体"/>
                <w:b/>
                <w:bCs/>
                <w:sz w:val="21"/>
                <w:lang w:val="en-US" w:eastAsia="zh-CN"/>
              </w:rPr>
              <w:t>评分内容</w:t>
            </w:r>
          </w:p>
        </w:tc>
        <w:tc>
          <w:tcPr>
            <w:tcW w:w="5861" w:type="dxa"/>
            <w:shd w:val="clear" w:color="auto" w:fill="F2F2F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default" w:ascii="宋体" w:hAnsi="宋体" w:eastAsia="宋体" w:cs="宋体"/>
                <w:b/>
                <w:bCs/>
                <w:sz w:val="21"/>
                <w:lang w:val="en-US" w:eastAsia="zh-CN"/>
              </w:rPr>
            </w:pPr>
            <w:r>
              <w:rPr>
                <w:rFonts w:hint="eastAsia" w:ascii="宋体" w:hAnsi="宋体" w:eastAsia="宋体" w:cs="宋体"/>
                <w:b/>
                <w:bCs/>
                <w:sz w:val="21"/>
                <w:lang w:val="en-US" w:eastAsia="zh-CN"/>
              </w:rPr>
              <w:t>评分标准</w:t>
            </w:r>
          </w:p>
        </w:tc>
        <w:tc>
          <w:tcPr>
            <w:tcW w:w="1092" w:type="dxa"/>
            <w:shd w:val="clear" w:color="auto" w:fill="F2F2F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default" w:ascii="宋体" w:hAnsi="宋体" w:eastAsia="宋体" w:cs="宋体"/>
                <w:b/>
                <w:bCs/>
                <w:sz w:val="21"/>
                <w:lang w:val="en-US" w:eastAsia="zh-CN"/>
              </w:rPr>
            </w:pPr>
            <w:r>
              <w:rPr>
                <w:rFonts w:hint="eastAsia" w:ascii="宋体" w:hAnsi="宋体" w:eastAsia="宋体" w:cs="宋体"/>
                <w:b/>
                <w:bCs/>
                <w:sz w:val="21"/>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技术分（35分）</w:t>
            </w: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服务方案</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1、服务方案工作范围清晰，具有完整的服务方案。评委对各家服务方案进行横向比较：</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方案全面、合理、准确，完全符合竞争性磋商文件要求，得11-15分；较合理、准确，基本符合竞争性磋商文件要求，得6-10分；基本合理、准确，部分符合竞争性磋商文件要求，得1-5分；差或未提供不得分。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2、项目管理方案：工作范围清晰，具有完整的项目管理方法论和内容。评委对各家项目管理方案进行横向比较：</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方案全面、合理、准确，完全符合竞争性磋商文件要求，得4-5分；较合理、准确，基本符合竞争性磋商文件要求，得2-3分；基本合理、准确，部分符合竞争性磋商文件要求，得0-1分；差或未提供不得分。</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项目人员</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供应商针对本项目需求拟配备的项目团队应设置质量经理、项目经理等，具体评审指标如下：</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1、质量经理（1人，本小项满分</w:t>
            </w:r>
            <w:r>
              <w:rPr>
                <w:rFonts w:hint="default" w:ascii="宋体" w:hAnsi="宋体" w:eastAsia="宋体" w:cs="宋体"/>
                <w:sz w:val="21"/>
                <w:lang w:val="en-US" w:eastAsia="zh-CN"/>
              </w:rPr>
              <w:t>4</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具有中级（含）以上等级测评师证书，得1分；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（2）具有软件性能测试高级工程师证书，得1分；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（3）具有注册信息安全专业人员（CISP）证书，得</w:t>
            </w:r>
            <w:r>
              <w:rPr>
                <w:rFonts w:hint="default" w:ascii="宋体" w:hAnsi="宋体" w:eastAsia="宋体" w:cs="宋体"/>
                <w:sz w:val="21"/>
                <w:lang w:val="en-US" w:eastAsia="zh-CN"/>
              </w:rPr>
              <w:t>1</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w:t>
            </w:r>
            <w:r>
              <w:rPr>
                <w:rFonts w:hint="default" w:ascii="宋体" w:hAnsi="宋体" w:eastAsia="宋体" w:cs="宋体"/>
                <w:sz w:val="21"/>
                <w:lang w:val="en-US" w:eastAsia="zh-CN"/>
              </w:rPr>
              <w:t>4</w:t>
            </w:r>
            <w:r>
              <w:rPr>
                <w:rFonts w:hint="eastAsia" w:ascii="宋体" w:hAnsi="宋体" w:eastAsia="宋体" w:cs="宋体"/>
                <w:sz w:val="21"/>
                <w:lang w:val="en-US" w:eastAsia="zh-CN"/>
              </w:rPr>
              <w:t>）具有重要信息系统保护人员（证书类别：CIIP-T）证书，得</w:t>
            </w:r>
            <w:r>
              <w:rPr>
                <w:rFonts w:hint="default" w:ascii="宋体" w:hAnsi="宋体" w:eastAsia="宋体" w:cs="宋体"/>
                <w:sz w:val="21"/>
                <w:lang w:val="en-US" w:eastAsia="zh-CN"/>
              </w:rPr>
              <w:t>1</w:t>
            </w:r>
            <w:r>
              <w:rPr>
                <w:rFonts w:hint="eastAsia" w:ascii="宋体" w:hAnsi="宋体" w:eastAsia="宋体" w:cs="宋体"/>
                <w:sz w:val="21"/>
                <w:lang w:val="en-US" w:eastAsia="zh-CN"/>
              </w:rPr>
              <w:t>分；满分</w:t>
            </w:r>
            <w:r>
              <w:rPr>
                <w:rFonts w:hint="default" w:ascii="宋体" w:hAnsi="宋体" w:eastAsia="宋体" w:cs="宋体"/>
                <w:sz w:val="21"/>
                <w:lang w:val="en-US" w:eastAsia="zh-CN"/>
              </w:rPr>
              <w:t>4</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2、项目经理（1人，本小项满分</w:t>
            </w:r>
            <w:r>
              <w:rPr>
                <w:rFonts w:hint="default" w:ascii="宋体" w:hAnsi="宋体" w:eastAsia="宋体" w:cs="宋体"/>
                <w:sz w:val="21"/>
                <w:lang w:val="en-US" w:eastAsia="zh-CN"/>
              </w:rPr>
              <w:t>4</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（1）具有高级测评师证书，得1分；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（2）具有软件性能测试高级工程师证书，得1分；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w:t>
            </w:r>
            <w:r>
              <w:rPr>
                <w:rFonts w:hint="default" w:ascii="宋体" w:hAnsi="宋体" w:eastAsia="宋体" w:cs="宋体"/>
                <w:sz w:val="21"/>
                <w:lang w:val="en-US" w:eastAsia="zh-CN"/>
              </w:rPr>
              <w:t>3</w:t>
            </w:r>
            <w:r>
              <w:rPr>
                <w:rFonts w:hint="eastAsia" w:ascii="宋体" w:hAnsi="宋体" w:eastAsia="宋体" w:cs="宋体"/>
                <w:sz w:val="21"/>
                <w:lang w:val="en-US" w:eastAsia="zh-CN"/>
              </w:rPr>
              <w:t>）具有注册信息安全认证讲师（CISI）证书，得</w:t>
            </w:r>
            <w:r>
              <w:rPr>
                <w:rFonts w:hint="default" w:ascii="宋体" w:hAnsi="宋体" w:eastAsia="宋体" w:cs="宋体"/>
                <w:sz w:val="21"/>
                <w:lang w:val="en-US" w:eastAsia="zh-CN"/>
              </w:rPr>
              <w:t>1</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w:t>
            </w:r>
            <w:r>
              <w:rPr>
                <w:rFonts w:hint="default" w:ascii="宋体" w:hAnsi="宋体" w:eastAsia="宋体" w:cs="宋体"/>
                <w:sz w:val="21"/>
                <w:lang w:val="en-US" w:eastAsia="zh-CN"/>
              </w:rPr>
              <w:t>4</w:t>
            </w:r>
            <w:r>
              <w:rPr>
                <w:rFonts w:hint="eastAsia" w:ascii="宋体" w:hAnsi="宋体" w:eastAsia="宋体" w:cs="宋体"/>
                <w:sz w:val="21"/>
                <w:lang w:val="en-US" w:eastAsia="zh-CN"/>
              </w:rPr>
              <w:t>）具有信息安全保障人员认证（CISAW）证书，且认证方向为风险管理和安全运维方向的，得</w:t>
            </w:r>
            <w:r>
              <w:rPr>
                <w:rFonts w:hint="default" w:ascii="宋体" w:hAnsi="宋体" w:eastAsia="宋体" w:cs="宋体"/>
                <w:sz w:val="21"/>
                <w:lang w:val="en-US" w:eastAsia="zh-CN"/>
              </w:rPr>
              <w:t>1</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3、渗透测试工程师（1人，本小项满分</w:t>
            </w:r>
            <w:r>
              <w:rPr>
                <w:rFonts w:hint="default" w:ascii="宋体" w:hAnsi="宋体" w:eastAsia="宋体" w:cs="宋体"/>
                <w:sz w:val="21"/>
                <w:lang w:val="en-US" w:eastAsia="zh-CN"/>
              </w:rPr>
              <w:t>2</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（1）具有中级（含）以上等级测评师证书，得1分；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（2）具有国家网络安全应用检测专业测评人员（NSATP-A），得</w:t>
            </w:r>
            <w:r>
              <w:rPr>
                <w:rFonts w:hint="default" w:ascii="宋体" w:hAnsi="宋体" w:eastAsia="宋体" w:cs="宋体"/>
                <w:sz w:val="21"/>
                <w:lang w:val="en-US" w:eastAsia="zh-CN"/>
              </w:rPr>
              <w:t>1</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4、团队成员（最少2人，本小项满分5分）：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项目组其他成员（不包括质量经理、项目经理）全部具有初级（含）以上等级测评师证书及工业和信息化人才专业知识测评证书（软件测试科目），满足得3分，否则本小项不得分；在满足上述条件基础上，每提供1名具有CISP证书或CCSC证书或CISAW证书或软件测试工程师证书的，得1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注：以上证书须提供证书扫描件或复印件，且提供持证人员近三个月在投标单位的社保证明。</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资信分（55分）</w:t>
            </w: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供应商业绩</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1、供应商提供自201</w:t>
            </w:r>
            <w:r>
              <w:rPr>
                <w:rFonts w:hint="default" w:ascii="宋体" w:hAnsi="宋体" w:eastAsia="宋体" w:cs="宋体"/>
                <w:sz w:val="21"/>
                <w:lang w:val="en-US" w:eastAsia="zh-CN"/>
              </w:rPr>
              <w:t>9</w:t>
            </w:r>
            <w:r>
              <w:rPr>
                <w:rFonts w:hint="eastAsia" w:ascii="宋体" w:hAnsi="宋体" w:eastAsia="宋体" w:cs="宋体"/>
                <w:sz w:val="21"/>
                <w:lang w:val="en-US" w:eastAsia="zh-CN"/>
              </w:rPr>
              <w:t>年01月01日以来等保测评服务业绩合同（以合同签订日期为准）：每提供一个得3分；最高得</w:t>
            </w:r>
            <w:r>
              <w:rPr>
                <w:rFonts w:hint="default" w:ascii="宋体" w:hAnsi="宋体" w:eastAsia="宋体" w:cs="宋体"/>
                <w:sz w:val="21"/>
                <w:lang w:val="en-US" w:eastAsia="zh-CN"/>
              </w:rPr>
              <w:t>9</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2、供应商提供自201</w:t>
            </w:r>
            <w:r>
              <w:rPr>
                <w:rFonts w:hint="default" w:ascii="宋体" w:hAnsi="宋体" w:eastAsia="宋体" w:cs="宋体"/>
                <w:sz w:val="21"/>
                <w:lang w:val="en-US" w:eastAsia="zh-CN"/>
              </w:rPr>
              <w:t>9</w:t>
            </w:r>
            <w:r>
              <w:rPr>
                <w:rFonts w:hint="eastAsia" w:ascii="宋体" w:hAnsi="宋体" w:eastAsia="宋体" w:cs="宋体"/>
                <w:sz w:val="21"/>
                <w:lang w:val="en-US" w:eastAsia="zh-CN"/>
              </w:rPr>
              <w:t>年01月01日以来软件测试（代码审计、安全扫描、安全测试、漏洞扫描、渗透测试等）业绩合同（以合同签订日期为准）：每提供一个得3分；最高得</w:t>
            </w:r>
            <w:r>
              <w:rPr>
                <w:rFonts w:hint="default" w:ascii="宋体" w:hAnsi="宋体" w:eastAsia="宋体" w:cs="宋体"/>
                <w:sz w:val="21"/>
                <w:lang w:val="en-US" w:eastAsia="zh-CN"/>
              </w:rPr>
              <w:t>6</w:t>
            </w:r>
            <w:r>
              <w:rPr>
                <w:rFonts w:hint="eastAsia" w:ascii="宋体" w:hAnsi="宋体" w:eastAsia="宋体" w:cs="宋体"/>
                <w:sz w:val="21"/>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注：响应文件中须提供业绩合同的扫描件/复印件,合同扫描件至少提供封面、服务内容和签字盖章页。</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供应商实力</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1、供应商具有ISO9001质量管理体系认证证书、ISO/IEC 27001信息安全管理体系认证证书、ISO/IEC20000信息技术服务管理体系认证证书、ISO14001环境管理体系认证证书和ISO45001职业健康安全管理体系认证证书的，每提供一个证书得1分，本小项最多得5分。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2、供应商具有ISO 22301业务连续性管理体系认证证书，</w:t>
            </w:r>
            <w:r>
              <w:rPr>
                <w:rFonts w:hint="eastAsia" w:ascii="宋体" w:hAnsi="宋体" w:eastAsia="宋体" w:cs="宋体"/>
                <w:sz w:val="21"/>
                <w:lang w:val="zh-CN" w:eastAsia="zh-CN"/>
              </w:rPr>
              <w:t>得5分，</w:t>
            </w:r>
            <w:r>
              <w:rPr>
                <w:rFonts w:hint="eastAsia" w:ascii="宋体" w:hAnsi="宋体" w:eastAsia="宋体" w:cs="宋体"/>
                <w:sz w:val="21"/>
                <w:lang w:val="en-US" w:eastAsia="zh-CN"/>
              </w:rPr>
              <w:t>否则不得分。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3、投标人具有检验检测机构资质认定证书（CMA）证书且检验检测的能力范围包括就绪可用软件产品、信息安全风险评估的，得5分，否则不得分。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4、供应商具有信息技术服务标准符合性证书（ITSS）的，得5分，否则不得分。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zh-CN" w:eastAsia="zh-CN"/>
              </w:rPr>
            </w:pPr>
            <w:r>
              <w:rPr>
                <w:rFonts w:hint="eastAsia" w:ascii="宋体" w:hAnsi="宋体" w:eastAsia="宋体" w:cs="宋体"/>
                <w:sz w:val="21"/>
                <w:lang w:val="en-US" w:eastAsia="zh-CN"/>
              </w:rPr>
              <w:t>5、自201</w:t>
            </w:r>
            <w:r>
              <w:rPr>
                <w:rFonts w:hint="default" w:ascii="宋体" w:hAnsi="宋体" w:eastAsia="宋体" w:cs="宋体"/>
                <w:sz w:val="21"/>
                <w:lang w:val="en-US" w:eastAsia="zh-CN"/>
              </w:rPr>
              <w:t>9</w:t>
            </w:r>
            <w:r>
              <w:rPr>
                <w:rFonts w:hint="eastAsia" w:ascii="宋体" w:hAnsi="宋体" w:eastAsia="宋体" w:cs="宋体"/>
                <w:sz w:val="21"/>
                <w:lang w:val="en-US" w:eastAsia="zh-CN"/>
              </w:rPr>
              <w:t>年1月1日以来，供应商获得过国家网络安全等级保护协调小组办公室颁发的“全国网络安全等级保护测评机构先进单位”荣誉证书的，得5分</w:t>
            </w:r>
            <w:r>
              <w:rPr>
                <w:rFonts w:hint="eastAsia" w:ascii="宋体" w:hAnsi="宋体" w:eastAsia="宋体" w:cs="宋体"/>
                <w:sz w:val="21"/>
                <w:lang w:val="zh-CN" w:eastAsia="zh-CN"/>
              </w:rPr>
              <w:t>，</w:t>
            </w:r>
            <w:r>
              <w:rPr>
                <w:rFonts w:hint="eastAsia" w:ascii="宋体" w:hAnsi="宋体" w:eastAsia="宋体" w:cs="宋体"/>
                <w:sz w:val="21"/>
                <w:lang w:val="en-US" w:eastAsia="zh-CN"/>
              </w:rPr>
              <w:t>否则不得分。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6、供应商具有自主研发的网络安全等级保护助手软件、智能测评服务软件、网络流量分析工具、网络安全漏洞扫描工具和关键信息基础设施安全检查工具的，得5分，否则不得分。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 xml:space="preserve">注： </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（1）第1、2两项须提供证书扫描件或复印件及全国认证认可信息公共服务平台（http://cx.cnca.cn/）查询结果截图。</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（2）第3项须提供证书扫描件或复印件及市场监督管理部门证书公示查询系统查询结果截图。</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（3）第4项须提供证书扫描件或复印件及中国电子工业标准化技术协会信息技术服务分会工作网站（www.itss.cn）查询结果。</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（4）第5项须提供荣誉证书扫描件或复印件及省级（含）以上等保办出具的证明文件。</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（5）第6项须提供自主研发工具的软著登记证书扫描件或复印件。</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售后服务能力</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1、供应商在完成测评工作后应为甲方提供常态化的安全技术支撑，提供售后服务承诺书，评委对各家售后服务内容进行横向比较：详实得5分、良好得3分、一般得1分、较差得0分。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注：响应文件中须提供售后服务承诺书。</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2、供应商具有国家互联网应急中心颁发的“网络安全能力认证”培训机构（CCSC）证书的，得5分。</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注：响应文件中须提供证书扫描件/复印件。</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价格分（10分）</w:t>
            </w:r>
          </w:p>
        </w:tc>
        <w:tc>
          <w:tcPr>
            <w:tcW w:w="1415"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投标报价</w:t>
            </w:r>
          </w:p>
        </w:tc>
        <w:tc>
          <w:tcPr>
            <w:tcW w:w="586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价格采用有效报价平均值为评审基准价，报价等于评审基准价时得满分，在此基础上每高于评审基准价1个百分点扣0.2分，扣完为止，不得负分；每低于评审基准价1个百分点扣0.2分，扣完为止，不得负分。</w:t>
            </w:r>
          </w:p>
        </w:tc>
        <w:tc>
          <w:tcPr>
            <w:tcW w:w="109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686" w:type="dxa"/>
            <w:gridSpan w:val="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供应商得分计算方法</w:t>
            </w:r>
          </w:p>
        </w:tc>
        <w:tc>
          <w:tcPr>
            <w:tcW w:w="6953" w:type="dxa"/>
            <w:gridSpan w:val="2"/>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各供应商的技术标得分为各评委所评技术标合计分值的算术平均值（取小数点后两位，第三位的数字四舍五入）。</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供应商总得分=技术分得分+资信分得分+价格分得分</w:t>
            </w:r>
          </w:p>
        </w:tc>
      </w:tr>
    </w:tbl>
    <w:p>
      <w:pPr>
        <w:rPr>
          <w:rFonts w:hint="eastAsia"/>
          <w:lang w:val="en-US" w:eastAsia="zh-CN"/>
        </w:rPr>
      </w:pPr>
    </w:p>
    <w:p>
      <w:pPr>
        <w:jc w:val="center"/>
        <w:rPr>
          <w:rFonts w:hint="eastAsia" w:ascii="仿宋" w:hAnsi="仿宋" w:eastAsia="仿宋" w:cs="仿宋"/>
          <w:b/>
          <w:bCs/>
          <w:sz w:val="36"/>
          <w:szCs w:val="36"/>
        </w:rPr>
      </w:pPr>
    </w:p>
    <w:p>
      <w:pPr>
        <w:jc w:val="center"/>
        <w:rPr>
          <w:rFonts w:hint="eastAsia" w:ascii="仿宋" w:hAnsi="仿宋" w:eastAsia="仿宋" w:cs="仿宋"/>
          <w:sz w:val="44"/>
          <w:szCs w:val="44"/>
        </w:rPr>
      </w:pPr>
      <w:r>
        <w:rPr>
          <w:rFonts w:hint="eastAsia" w:ascii="仿宋" w:hAnsi="仿宋" w:eastAsia="仿宋" w:cs="仿宋"/>
          <w:b/>
          <w:bCs/>
          <w:sz w:val="36"/>
          <w:szCs w:val="36"/>
        </w:rPr>
        <w:t>服务响应表</w:t>
      </w:r>
    </w:p>
    <w:p>
      <w:pPr>
        <w:jc w:val="center"/>
        <w:rPr>
          <w:rFonts w:hint="eastAsia" w:ascii="仿宋" w:hAnsi="仿宋" w:eastAsia="仿宋" w:cs="仿宋"/>
          <w:b/>
          <w:bCs/>
          <w:sz w:val="24"/>
          <w:szCs w:val="24"/>
        </w:rPr>
      </w:pPr>
    </w:p>
    <w:tbl>
      <w:tblPr>
        <w:tblStyle w:val="6"/>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68"/>
        <w:gridCol w:w="2686"/>
        <w:gridCol w:w="204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5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Cs/>
                <w:sz w:val="28"/>
                <w:szCs w:val="28"/>
              </w:rPr>
            </w:pPr>
            <w:r>
              <w:rPr>
                <w:rFonts w:hint="eastAsia" w:ascii="仿宋" w:hAnsi="仿宋" w:eastAsia="仿宋" w:cs="仿宋"/>
                <w:bCs/>
                <w:sz w:val="28"/>
                <w:szCs w:val="28"/>
              </w:rPr>
              <w:t>按招标文件规定填写</w:t>
            </w:r>
          </w:p>
        </w:tc>
        <w:tc>
          <w:tcPr>
            <w:tcW w:w="382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Cs/>
                <w:sz w:val="28"/>
                <w:szCs w:val="28"/>
              </w:rPr>
            </w:pPr>
            <w:r>
              <w:rPr>
                <w:rFonts w:hint="eastAsia" w:ascii="仿宋" w:hAnsi="仿宋" w:eastAsia="仿宋" w:cs="仿宋"/>
                <w:bCs/>
                <w:sz w:val="28"/>
                <w:szCs w:val="28"/>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Cs/>
                <w:sz w:val="28"/>
                <w:szCs w:val="28"/>
              </w:rPr>
            </w:pPr>
            <w:r>
              <w:rPr>
                <w:rFonts w:hint="eastAsia" w:ascii="仿宋" w:hAnsi="仿宋" w:eastAsia="仿宋" w:cs="仿宋"/>
                <w:bCs/>
                <w:sz w:val="28"/>
                <w:szCs w:val="28"/>
              </w:rPr>
              <w:t>序号</w:t>
            </w:r>
          </w:p>
        </w:tc>
        <w:tc>
          <w:tcPr>
            <w:tcW w:w="15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Cs/>
                <w:sz w:val="28"/>
                <w:szCs w:val="28"/>
              </w:rPr>
            </w:pPr>
            <w:r>
              <w:rPr>
                <w:rFonts w:hint="eastAsia" w:ascii="仿宋" w:hAnsi="仿宋" w:eastAsia="仿宋" w:cs="仿宋"/>
                <w:bCs/>
                <w:sz w:val="28"/>
                <w:szCs w:val="28"/>
              </w:rPr>
              <w:t>品名</w:t>
            </w:r>
          </w:p>
        </w:tc>
        <w:tc>
          <w:tcPr>
            <w:tcW w:w="47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2058" w:firstLineChars="735"/>
              <w:textAlignment w:val="auto"/>
              <w:rPr>
                <w:rFonts w:hint="eastAsia" w:ascii="仿宋" w:hAnsi="仿宋" w:eastAsia="仿宋" w:cs="仿宋"/>
                <w:bCs/>
                <w:sz w:val="28"/>
                <w:szCs w:val="28"/>
              </w:rPr>
            </w:pPr>
            <w:r>
              <w:rPr>
                <w:rFonts w:hint="eastAsia" w:ascii="仿宋" w:hAnsi="仿宋" w:eastAsia="仿宋" w:cs="仿宋"/>
                <w:bCs/>
                <w:sz w:val="28"/>
                <w:szCs w:val="28"/>
              </w:rPr>
              <w:t>服务内容</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Cs/>
                <w:sz w:val="28"/>
                <w:szCs w:val="28"/>
              </w:rPr>
            </w:pPr>
            <w:r>
              <w:rPr>
                <w:rFonts w:hint="eastAsia" w:ascii="仿宋" w:hAnsi="仿宋" w:eastAsia="仿宋" w:cs="仿宋"/>
                <w:bCs/>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568"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7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1785"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568"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7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1785"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568"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7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1785"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568"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7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1785"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r>
    </w:tbl>
    <w:p>
      <w:pPr>
        <w:snapToGrid w:val="0"/>
        <w:spacing w:line="360" w:lineRule="auto"/>
        <w:rPr>
          <w:rFonts w:hint="eastAsia" w:ascii="仿宋" w:hAnsi="仿宋" w:eastAsia="仿宋" w:cs="仿宋"/>
          <w:sz w:val="24"/>
          <w:szCs w:val="24"/>
          <w:lang w:eastAsia="zh-CN"/>
        </w:rPr>
      </w:pP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lang w:eastAsia="zh-CN"/>
        </w:rPr>
        <w:t>投标</w:t>
      </w:r>
      <w:r>
        <w:rPr>
          <w:rFonts w:hint="eastAsia" w:ascii="仿宋" w:hAnsi="仿宋" w:eastAsia="仿宋" w:cs="仿宋"/>
          <w:sz w:val="24"/>
          <w:szCs w:val="24"/>
        </w:rPr>
        <w:t xml:space="preserve">供应商签章： </w:t>
      </w:r>
    </w:p>
    <w:p>
      <w:pPr>
        <w:spacing w:line="360" w:lineRule="auto"/>
        <w:jc w:val="right"/>
        <w:rPr>
          <w:rFonts w:hint="eastAsia" w:ascii="仿宋" w:hAnsi="仿宋" w:eastAsia="仿宋" w:cs="仿宋"/>
          <w:bCs/>
          <w:sz w:val="24"/>
          <w:szCs w:val="24"/>
        </w:rPr>
      </w:pPr>
      <w:r>
        <w:rPr>
          <w:rFonts w:hint="eastAsia" w:ascii="仿宋" w:hAnsi="仿宋" w:eastAsia="仿宋" w:cs="仿宋"/>
          <w:bCs/>
          <w:sz w:val="24"/>
          <w:szCs w:val="24"/>
        </w:rPr>
        <w:t>年  月  日</w:t>
      </w:r>
    </w:p>
    <w:p>
      <w:pPr>
        <w:spacing w:before="156" w:beforeLines="50" w:after="156" w:afterLines="50" w:line="360" w:lineRule="auto"/>
        <w:rPr>
          <w:rFonts w:hint="eastAsia" w:ascii="仿宋" w:hAnsi="仿宋" w:eastAsia="仿宋" w:cs="仿宋"/>
          <w:b/>
          <w:bCs/>
          <w:sz w:val="24"/>
          <w:szCs w:val="24"/>
        </w:rPr>
      </w:pPr>
      <w:r>
        <w:rPr>
          <w:rFonts w:hint="eastAsia" w:ascii="仿宋" w:hAnsi="仿宋" w:eastAsia="仿宋" w:cs="仿宋"/>
          <w:b/>
          <w:sz w:val="24"/>
          <w:szCs w:val="24"/>
        </w:rPr>
        <w:t>注：</w:t>
      </w:r>
      <w:r>
        <w:rPr>
          <w:rFonts w:hint="eastAsia" w:ascii="仿宋" w:hAnsi="仿宋" w:eastAsia="仿宋" w:cs="仿宋"/>
          <w:b/>
          <w:bCs/>
          <w:sz w:val="24"/>
          <w:szCs w:val="24"/>
        </w:rPr>
        <w:t>1、供应商必须逐项对应描述服务要求，如不进行描述，仅在响应栏填“响应”或未填写或复制（包括全部复制或部分复制）招标文件采购需求的，包括有选择性的技术响应（例如在某一分项中出现两个及以上的或两种及两种以上的技术规格），均可能导致响应无效；</w:t>
      </w:r>
    </w:p>
    <w:p>
      <w:pPr>
        <w:adjustRightInd w:val="0"/>
        <w:snapToGrid w:val="0"/>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rPr>
        <w:t>2、偏离说明项需注明：完全响应或正偏离或负偏离（满足用户需求）。正偏离或负偏离还需详细描述偏离情况</w:t>
      </w:r>
      <w:r>
        <w:rPr>
          <w:rFonts w:hint="eastAsia" w:ascii="仿宋" w:hAnsi="仿宋" w:eastAsia="仿宋" w:cs="仿宋"/>
          <w:b/>
          <w:bCs/>
          <w:sz w:val="24"/>
          <w:szCs w:val="24"/>
          <w:lang w:eastAsia="zh-CN"/>
        </w:rPr>
        <w:t>；</w:t>
      </w:r>
    </w:p>
    <w:p>
      <w:pPr>
        <w:adjustRightInd w:val="0"/>
        <w:snapToGrid w:val="0"/>
        <w:spacing w:line="360" w:lineRule="auto"/>
        <w:rPr>
          <w:rFonts w:hint="eastAsia" w:ascii="仿宋" w:hAnsi="仿宋" w:eastAsia="仿宋" w:cs="仿宋"/>
          <w:b/>
          <w:sz w:val="24"/>
          <w:szCs w:val="24"/>
        </w:rPr>
      </w:pPr>
      <w:r>
        <w:rPr>
          <w:rFonts w:hint="eastAsia" w:ascii="仿宋" w:hAnsi="仿宋" w:eastAsia="仿宋" w:cs="仿宋"/>
          <w:b/>
          <w:bCs/>
          <w:sz w:val="24"/>
          <w:szCs w:val="24"/>
        </w:rPr>
        <w:t>3、响应部分可后附详细说明及技术资料。</w:t>
      </w:r>
    </w:p>
    <w:p>
      <w:pPr>
        <w:spacing w:line="360" w:lineRule="auto"/>
        <w:jc w:val="center"/>
        <w:outlineLvl w:val="2"/>
        <w:rPr>
          <w:rFonts w:hint="eastAsia" w:ascii="仿宋" w:hAnsi="仿宋" w:eastAsia="仿宋" w:cs="仿宋"/>
          <w:bCs/>
          <w:sz w:val="36"/>
          <w:szCs w:val="36"/>
        </w:rPr>
      </w:pPr>
      <w:r>
        <w:rPr>
          <w:rFonts w:hint="eastAsia" w:ascii="仿宋" w:hAnsi="仿宋" w:eastAsia="仿宋" w:cs="仿宋"/>
          <w:bCs/>
          <w:sz w:val="36"/>
          <w:szCs w:val="36"/>
        </w:rPr>
        <w:br w:type="page"/>
      </w:r>
      <w:r>
        <w:rPr>
          <w:rFonts w:hint="eastAsia" w:ascii="仿宋" w:hAnsi="仿宋" w:eastAsia="仿宋" w:cs="仿宋"/>
          <w:b/>
          <w:bCs/>
          <w:sz w:val="36"/>
          <w:szCs w:val="36"/>
        </w:rPr>
        <w:t>投标企业符合《政府采购法》</w:t>
      </w:r>
      <w:r>
        <w:rPr>
          <w:rFonts w:hint="eastAsia" w:ascii="仿宋" w:hAnsi="仿宋" w:eastAsia="仿宋" w:cs="仿宋"/>
          <w:b/>
          <w:bCs/>
          <w:sz w:val="36"/>
          <w:szCs w:val="36"/>
          <w:lang w:val="zh-CN"/>
        </w:rPr>
        <w:t>第二十二条</w:t>
      </w:r>
      <w:r>
        <w:rPr>
          <w:rFonts w:hint="eastAsia" w:ascii="仿宋" w:hAnsi="仿宋" w:eastAsia="仿宋" w:cs="仿宋"/>
          <w:b/>
          <w:bCs/>
          <w:sz w:val="36"/>
          <w:szCs w:val="36"/>
        </w:rPr>
        <w:t>规定声明函</w:t>
      </w:r>
    </w:p>
    <w:p>
      <w:pPr>
        <w:jc w:val="center"/>
        <w:rPr>
          <w:rFonts w:hint="eastAsia" w:ascii="仿宋" w:hAnsi="仿宋" w:eastAsia="仿宋" w:cs="仿宋"/>
          <w:b/>
          <w:sz w:val="24"/>
        </w:rPr>
      </w:pPr>
    </w:p>
    <w:p>
      <w:pPr>
        <w:autoSpaceDE w:val="0"/>
        <w:autoSpaceDN w:val="0"/>
        <w:spacing w:line="480" w:lineRule="auto"/>
        <w:ind w:left="122" w:leftChars="38" w:right="4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根据《财政部关于促进政府采购公平竞争优化营商环境的通知》（财库〔201</w:t>
      </w:r>
      <w:r>
        <w:rPr>
          <w:rFonts w:hint="eastAsia" w:ascii="仿宋" w:hAnsi="仿宋" w:eastAsia="仿宋" w:cs="仿宋"/>
          <w:sz w:val="32"/>
          <w:szCs w:val="32"/>
        </w:rPr>
        <w:t>9</w:t>
      </w:r>
      <w:r>
        <w:rPr>
          <w:rFonts w:hint="eastAsia" w:ascii="仿宋" w:hAnsi="仿宋" w:eastAsia="仿宋" w:cs="仿宋"/>
          <w:sz w:val="32"/>
          <w:szCs w:val="32"/>
          <w:lang w:val="zh-CN"/>
        </w:rPr>
        <w:t>〕</w:t>
      </w:r>
      <w:r>
        <w:rPr>
          <w:rFonts w:hint="eastAsia" w:ascii="仿宋" w:hAnsi="仿宋" w:eastAsia="仿宋" w:cs="仿宋"/>
          <w:sz w:val="32"/>
          <w:szCs w:val="32"/>
        </w:rPr>
        <w:t>38</w:t>
      </w:r>
      <w:r>
        <w:rPr>
          <w:rFonts w:hint="eastAsia" w:ascii="仿宋" w:hAnsi="仿宋" w:eastAsia="仿宋" w:cs="仿宋"/>
          <w:sz w:val="32"/>
          <w:szCs w:val="32"/>
          <w:lang w:val="zh-CN"/>
        </w:rPr>
        <w:t>号）的规定，本公司郑重声明</w:t>
      </w:r>
      <w:r>
        <w:rPr>
          <w:rFonts w:hint="eastAsia" w:ascii="仿宋" w:hAnsi="仿宋" w:eastAsia="仿宋" w:cs="仿宋"/>
          <w:sz w:val="32"/>
          <w:szCs w:val="32"/>
        </w:rPr>
        <w:t>,</w:t>
      </w:r>
      <w:r>
        <w:rPr>
          <w:rFonts w:hint="eastAsia" w:ascii="仿宋" w:hAnsi="仿宋" w:eastAsia="仿宋" w:cs="仿宋"/>
          <w:sz w:val="32"/>
          <w:szCs w:val="32"/>
          <w:lang w:val="zh-CN"/>
        </w:rPr>
        <w:t>本公司同时满足以下条件：</w:t>
      </w:r>
    </w:p>
    <w:p>
      <w:pPr>
        <w:autoSpaceDE w:val="0"/>
        <w:autoSpaceDN w:val="0"/>
        <w:spacing w:line="480" w:lineRule="auto"/>
        <w:ind w:left="122" w:leftChars="38" w:right="4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1.符合《中华人民共和国政府采购法》第二十二条规定。</w:t>
      </w:r>
    </w:p>
    <w:p>
      <w:pPr>
        <w:autoSpaceDE w:val="0"/>
        <w:autoSpaceDN w:val="0"/>
        <w:spacing w:line="480" w:lineRule="auto"/>
        <w:ind w:left="122" w:leftChars="38" w:right="4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2.本公司参加</w:t>
      </w:r>
      <w:r>
        <w:rPr>
          <w:rFonts w:hint="eastAsia" w:ascii="仿宋" w:hAnsi="仿宋" w:eastAsia="仿宋" w:cs="仿宋"/>
          <w:sz w:val="32"/>
          <w:szCs w:val="32"/>
        </w:rPr>
        <w:t>本项目</w:t>
      </w:r>
      <w:r>
        <w:rPr>
          <w:rFonts w:hint="eastAsia" w:ascii="仿宋" w:hAnsi="仿宋" w:eastAsia="仿宋" w:cs="仿宋"/>
          <w:bCs/>
          <w:sz w:val="32"/>
          <w:szCs w:val="32"/>
        </w:rPr>
        <w:t>采购活动</w:t>
      </w:r>
      <w:r>
        <w:rPr>
          <w:rFonts w:hint="eastAsia" w:ascii="仿宋" w:hAnsi="仿宋" w:eastAsia="仿宋" w:cs="仿宋"/>
          <w:sz w:val="32"/>
          <w:szCs w:val="32"/>
          <w:lang w:val="zh-CN"/>
        </w:rPr>
        <w:t>由本企业提供服务。</w:t>
      </w:r>
    </w:p>
    <w:p>
      <w:pPr>
        <w:tabs>
          <w:tab w:val="left" w:pos="4620"/>
        </w:tabs>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本公司对上述声明的真实性负责。如有虚假，将依法承担相应责任。</w:t>
      </w:r>
    </w:p>
    <w:p>
      <w:pPr>
        <w:tabs>
          <w:tab w:val="left" w:pos="4620"/>
        </w:tabs>
        <w:spacing w:line="360" w:lineRule="auto"/>
        <w:rPr>
          <w:rFonts w:hint="eastAsia" w:ascii="仿宋" w:hAnsi="仿宋" w:eastAsia="仿宋" w:cs="仿宋"/>
          <w:sz w:val="32"/>
          <w:szCs w:val="32"/>
          <w:lang w:val="zh-CN"/>
        </w:rPr>
      </w:pPr>
    </w:p>
    <w:p>
      <w:pPr>
        <w:tabs>
          <w:tab w:val="left" w:pos="4620"/>
        </w:tabs>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200" w:firstLineChars="1000"/>
        <w:jc w:val="left"/>
        <w:textAlignment w:val="auto"/>
        <w:rPr>
          <w:rFonts w:hint="eastAsia" w:ascii="仿宋" w:hAnsi="仿宋" w:eastAsia="仿宋" w:cs="仿宋"/>
          <w:sz w:val="32"/>
          <w:szCs w:val="32"/>
          <w:u w:val="single"/>
        </w:rPr>
      </w:pPr>
      <w:r>
        <w:rPr>
          <w:rFonts w:hint="eastAsia" w:ascii="仿宋" w:hAnsi="仿宋" w:eastAsia="仿宋" w:cs="仿宋"/>
          <w:sz w:val="32"/>
          <w:szCs w:val="32"/>
          <w:lang w:eastAsia="zh-CN"/>
        </w:rPr>
        <w:t>投标</w:t>
      </w:r>
      <w:r>
        <w:rPr>
          <w:rFonts w:hint="eastAsia" w:ascii="仿宋" w:hAnsi="仿宋" w:eastAsia="仿宋" w:cs="仿宋"/>
          <w:sz w:val="32"/>
          <w:szCs w:val="32"/>
        </w:rPr>
        <w:t>供应商签章：</w:t>
      </w:r>
      <w:r>
        <w:rPr>
          <w:rFonts w:hint="eastAsia" w:ascii="仿宋" w:hAnsi="仿宋" w:eastAsia="仿宋" w:cs="仿宋"/>
          <w:sz w:val="32"/>
          <w:szCs w:val="32"/>
          <w:u w:val="single"/>
        </w:rPr>
        <w:t xml:space="preserve">                </w:t>
      </w:r>
    </w:p>
    <w:p>
      <w:pPr>
        <w:keepNext w:val="0"/>
        <w:keepLines w:val="0"/>
        <w:pageBreakBefore w:val="0"/>
        <w:widowControl w:val="0"/>
        <w:tabs>
          <w:tab w:val="left" w:pos="4620"/>
        </w:tabs>
        <w:kinsoku/>
        <w:wordWrap/>
        <w:overflowPunct/>
        <w:topLinePunct w:val="0"/>
        <w:autoSpaceDE/>
        <w:autoSpaceDN/>
        <w:bidi w:val="0"/>
        <w:adjustRightInd/>
        <w:snapToGrid/>
        <w:spacing w:line="360" w:lineRule="auto"/>
        <w:ind w:firstLine="3200" w:firstLineChars="1000"/>
        <w:jc w:val="left"/>
        <w:textAlignment w:val="auto"/>
        <w:rPr>
          <w:rFonts w:hint="eastAsia" w:ascii="仿宋" w:hAnsi="仿宋" w:eastAsia="仿宋" w:cs="仿宋"/>
          <w:sz w:val="32"/>
          <w:szCs w:val="32"/>
          <w:u w:val="single"/>
        </w:rPr>
      </w:pPr>
      <w:r>
        <w:rPr>
          <w:rFonts w:hint="eastAsia" w:ascii="仿宋" w:hAnsi="仿宋" w:eastAsia="仿宋" w:cs="仿宋"/>
          <w:sz w:val="32"/>
          <w:szCs w:val="32"/>
        </w:rPr>
        <w:t xml:space="preserve">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期：</w:t>
      </w:r>
      <w:r>
        <w:rPr>
          <w:rFonts w:hint="eastAsia" w:ascii="仿宋" w:hAnsi="仿宋" w:eastAsia="仿宋" w:cs="仿宋"/>
          <w:sz w:val="32"/>
          <w:szCs w:val="32"/>
          <w:u w:val="single"/>
        </w:rPr>
        <w:t xml:space="preserve">                </w:t>
      </w:r>
    </w:p>
    <w:p>
      <w:pPr>
        <w:rPr>
          <w:rFonts w:hint="eastAsia" w:ascii="仿宋" w:hAnsi="仿宋" w:eastAsia="仿宋" w:cs="仿宋"/>
          <w:sz w:val="28"/>
        </w:rPr>
      </w:pPr>
      <w:bookmarkStart w:id="9" w:name="_Toc38014477"/>
      <w:bookmarkStart w:id="10" w:name="_Toc31720"/>
      <w:bookmarkStart w:id="11" w:name="_Toc38014437"/>
    </w:p>
    <w:p>
      <w:pPr>
        <w:pStyle w:val="3"/>
        <w:keepNext w:val="0"/>
        <w:keepLines w:val="0"/>
        <w:spacing w:line="415" w:lineRule="auto"/>
        <w:jc w:val="center"/>
        <w:rPr>
          <w:rFonts w:hint="eastAsia" w:ascii="仿宋" w:hAnsi="仿宋" w:eastAsia="仿宋" w:cs="仿宋"/>
          <w:b w:val="0"/>
          <w:bCs w:val="0"/>
          <w:sz w:val="36"/>
          <w:szCs w:val="36"/>
        </w:rPr>
      </w:pPr>
    </w:p>
    <w:p>
      <w:pPr>
        <w:pStyle w:val="3"/>
        <w:keepNext w:val="0"/>
        <w:keepLines w:val="0"/>
        <w:spacing w:line="415" w:lineRule="auto"/>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br w:type="page"/>
      </w:r>
      <w:r>
        <w:rPr>
          <w:rFonts w:hint="eastAsia" w:ascii="仿宋" w:hAnsi="仿宋" w:eastAsia="仿宋" w:cs="仿宋"/>
          <w:b/>
          <w:bCs/>
          <w:kern w:val="2"/>
          <w:sz w:val="36"/>
          <w:szCs w:val="36"/>
          <w:lang w:val="en-US" w:eastAsia="zh-CN" w:bidi="ar-SA"/>
        </w:rPr>
        <w:t>无不良信用记录声明函</w:t>
      </w:r>
      <w:bookmarkEnd w:id="9"/>
      <w:bookmarkEnd w:id="10"/>
      <w:bookmarkEnd w:id="11"/>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本公司郑重声明，我公司无以下不良信用记录情形：</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1、公司被人民法院列入失信被执行人；</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2、公司、法定代表人或拟派项目经理（项目负责人）被人民检察院列入行贿犯罪档案；</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3、公司被工商行政管理部门列入企业经营异常名录；</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4、公司被税务部门列入重大税收违法案件当事人名单；</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5、公司被政府采购监管部门列入政府采购严重违法失信行为记录名单。</w:t>
      </w:r>
    </w:p>
    <w:p>
      <w:pPr>
        <w:spacing w:line="360" w:lineRule="auto"/>
        <w:ind w:firstLine="643" w:firstLineChars="200"/>
        <w:rPr>
          <w:rFonts w:hint="eastAsia" w:ascii="仿宋" w:hAnsi="仿宋" w:eastAsia="仿宋" w:cs="仿宋"/>
          <w:kern w:val="0"/>
          <w:sz w:val="32"/>
          <w:szCs w:val="32"/>
        </w:rPr>
      </w:pPr>
      <w:r>
        <w:rPr>
          <w:rFonts w:hint="eastAsia" w:ascii="仿宋" w:hAnsi="仿宋" w:eastAsia="仿宋" w:cs="仿宋"/>
          <w:b/>
          <w:sz w:val="32"/>
          <w:szCs w:val="32"/>
        </w:rPr>
        <w:t>我公司已就上述不良信用行为按照招标文件中投标供应商须知前附表规定进行了查询。</w:t>
      </w:r>
      <w:r>
        <w:rPr>
          <w:rFonts w:hint="eastAsia" w:ascii="仿宋" w:hAnsi="仿宋" w:eastAsia="仿宋" w:cs="仿宋"/>
          <w:sz w:val="32"/>
          <w:szCs w:val="32"/>
        </w:rPr>
        <w:t xml:space="preserve">我公司承诺：合同签订前，若我公司具有不良信用记录情形，贵方可取消我公司中标资格或者不授予合同，所有责任由我公司自行承担。同时，我公司愿意无条件接受监管部门的调查处理。 </w:t>
      </w:r>
    </w:p>
    <w:p>
      <w:pPr>
        <w:tabs>
          <w:tab w:val="left" w:pos="630"/>
        </w:tabs>
        <w:spacing w:line="360" w:lineRule="auto"/>
        <w:rPr>
          <w:rFonts w:hint="eastAsia" w:ascii="仿宋" w:hAnsi="仿宋" w:eastAsia="仿宋" w:cs="仿宋"/>
          <w:sz w:val="32"/>
          <w:szCs w:val="32"/>
        </w:rPr>
      </w:pPr>
    </w:p>
    <w:p>
      <w:pPr>
        <w:tabs>
          <w:tab w:val="left" w:pos="630"/>
        </w:tabs>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200" w:firstLineChars="1000"/>
        <w:textAlignment w:val="auto"/>
        <w:rPr>
          <w:rFonts w:hint="eastAsia" w:ascii="仿宋" w:hAnsi="仿宋" w:eastAsia="仿宋" w:cs="仿宋"/>
          <w:sz w:val="32"/>
          <w:szCs w:val="32"/>
          <w:u w:val="single"/>
        </w:rPr>
      </w:pPr>
      <w:r>
        <w:rPr>
          <w:rFonts w:hint="eastAsia" w:ascii="仿宋" w:hAnsi="仿宋" w:eastAsia="仿宋" w:cs="仿宋"/>
          <w:sz w:val="32"/>
          <w:szCs w:val="32"/>
        </w:rPr>
        <w:t>投标供应商签章：</w:t>
      </w:r>
      <w:r>
        <w:rPr>
          <w:rFonts w:hint="eastAsia" w:ascii="仿宋" w:hAnsi="仿宋" w:eastAsia="仿宋" w:cs="仿宋"/>
          <w:sz w:val="32"/>
          <w:szCs w:val="32"/>
          <w:u w:val="single"/>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3200" w:firstLineChars="1000"/>
        <w:textAlignment w:val="auto"/>
        <w:rPr>
          <w:rFonts w:hint="eastAsia" w:ascii="仿宋" w:hAnsi="仿宋" w:eastAsia="仿宋" w:cs="仿宋"/>
          <w:sz w:val="32"/>
          <w:szCs w:val="32"/>
        </w:rPr>
      </w:pPr>
      <w:r>
        <w:rPr>
          <w:rFonts w:hint="eastAsia" w:ascii="仿宋" w:hAnsi="仿宋" w:eastAsia="仿宋" w:cs="仿宋"/>
          <w:sz w:val="32"/>
          <w:szCs w:val="32"/>
        </w:rPr>
        <w:t xml:space="preserve">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期：</w:t>
      </w:r>
      <w:r>
        <w:rPr>
          <w:rFonts w:hint="eastAsia" w:ascii="仿宋" w:hAnsi="仿宋" w:eastAsia="仿宋" w:cs="仿宋"/>
          <w:sz w:val="32"/>
          <w:szCs w:val="32"/>
          <w:u w:val="single"/>
        </w:rPr>
        <w:t xml:space="preserve">               </w:t>
      </w:r>
    </w:p>
    <w:p>
      <w:pPr>
        <w:pStyle w:val="3"/>
        <w:keepNext w:val="0"/>
        <w:keepLines w:val="0"/>
        <w:spacing w:line="415" w:lineRule="auto"/>
        <w:jc w:val="center"/>
        <w:rPr>
          <w:rFonts w:hint="eastAsia" w:ascii="仿宋" w:hAnsi="仿宋" w:eastAsia="仿宋" w:cs="仿宋"/>
          <w:b/>
          <w:bCs/>
          <w:kern w:val="2"/>
          <w:sz w:val="36"/>
          <w:szCs w:val="36"/>
          <w:lang w:val="en-US" w:eastAsia="zh-CN" w:bidi="ar-SA"/>
        </w:rPr>
      </w:pPr>
      <w:bookmarkStart w:id="12" w:name="_Toc38014476"/>
      <w:bookmarkStart w:id="13" w:name="_Toc7042"/>
      <w:bookmarkStart w:id="14" w:name="_Toc38014436"/>
      <w:r>
        <w:rPr>
          <w:rFonts w:hint="eastAsia" w:ascii="仿宋" w:hAnsi="仿宋" w:eastAsia="仿宋" w:cs="仿宋"/>
          <w:b/>
          <w:bCs/>
          <w:kern w:val="2"/>
          <w:sz w:val="36"/>
          <w:szCs w:val="36"/>
          <w:lang w:val="en-US" w:eastAsia="zh-CN" w:bidi="ar-SA"/>
        </w:rPr>
        <w:br w:type="page"/>
      </w:r>
      <w:r>
        <w:rPr>
          <w:rFonts w:hint="eastAsia" w:ascii="仿宋" w:hAnsi="仿宋" w:eastAsia="仿宋" w:cs="仿宋"/>
          <w:b/>
          <w:bCs/>
          <w:kern w:val="2"/>
          <w:sz w:val="36"/>
          <w:szCs w:val="36"/>
          <w:lang w:val="en-US" w:eastAsia="zh-CN" w:bidi="ar-SA"/>
        </w:rPr>
        <w:t>无重大违法记录声明函</w:t>
      </w:r>
      <w:bookmarkEnd w:id="12"/>
      <w:bookmarkEnd w:id="13"/>
      <w:bookmarkEnd w:id="14"/>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int="eastAsia" w:ascii="仿宋" w:hAnsi="仿宋" w:eastAsia="仿宋" w:cs="仿宋"/>
          <w:sz w:val="32"/>
          <w:szCs w:val="32"/>
        </w:rPr>
      </w:pPr>
      <w:r>
        <w:rPr>
          <w:rFonts w:hint="eastAsia" w:ascii="仿宋" w:hAnsi="仿宋" w:eastAsia="仿宋" w:cs="仿宋"/>
          <w:sz w:val="32"/>
          <w:szCs w:val="32"/>
        </w:rPr>
        <w:t>本公司对上述声明的真实性负责。如有虚假，将依法承担相应责任。</w:t>
      </w:r>
    </w:p>
    <w:p>
      <w:pPr>
        <w:spacing w:line="360" w:lineRule="auto"/>
        <w:rPr>
          <w:rFonts w:hint="eastAsia" w:ascii="仿宋" w:hAnsi="仿宋" w:eastAsia="仿宋" w:cs="仿宋"/>
          <w:sz w:val="32"/>
          <w:szCs w:val="32"/>
        </w:rPr>
      </w:pPr>
    </w:p>
    <w:p>
      <w:pPr>
        <w:tabs>
          <w:tab w:val="left" w:pos="630"/>
        </w:tabs>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200" w:firstLineChars="1000"/>
        <w:textAlignment w:val="auto"/>
        <w:rPr>
          <w:rFonts w:hint="eastAsia" w:ascii="仿宋" w:hAnsi="仿宋" w:eastAsia="仿宋" w:cs="仿宋"/>
          <w:sz w:val="32"/>
          <w:szCs w:val="32"/>
          <w:u w:val="single"/>
        </w:rPr>
      </w:pPr>
      <w:r>
        <w:rPr>
          <w:rFonts w:hint="eastAsia" w:ascii="仿宋" w:hAnsi="仿宋" w:eastAsia="仿宋" w:cs="仿宋"/>
          <w:sz w:val="32"/>
          <w:szCs w:val="32"/>
        </w:rPr>
        <w:t>投标供应商签章：</w:t>
      </w:r>
      <w:r>
        <w:rPr>
          <w:rFonts w:hint="eastAsia" w:ascii="仿宋" w:hAnsi="仿宋" w:eastAsia="仿宋" w:cs="仿宋"/>
          <w:sz w:val="32"/>
          <w:szCs w:val="32"/>
          <w:u w:val="single"/>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3200" w:firstLineChars="1000"/>
        <w:textAlignment w:val="auto"/>
        <w:rPr>
          <w:rFonts w:hint="eastAsia" w:ascii="仿宋" w:hAnsi="仿宋" w:eastAsia="仿宋" w:cs="仿宋"/>
          <w:sz w:val="32"/>
          <w:szCs w:val="32"/>
        </w:rPr>
      </w:pPr>
      <w:r>
        <w:rPr>
          <w:rFonts w:hint="eastAsia" w:ascii="仿宋" w:hAnsi="仿宋" w:eastAsia="仿宋" w:cs="仿宋"/>
          <w:sz w:val="32"/>
          <w:szCs w:val="32"/>
        </w:rPr>
        <w:t>日          期：</w:t>
      </w:r>
      <w:r>
        <w:rPr>
          <w:rFonts w:hint="eastAsia" w:ascii="仿宋" w:hAnsi="仿宋" w:eastAsia="仿宋" w:cs="仿宋"/>
          <w:sz w:val="32"/>
          <w:szCs w:val="32"/>
          <w:u w:val="single"/>
        </w:rPr>
        <w:t xml:space="preserve">               </w:t>
      </w:r>
    </w:p>
    <w:p>
      <w:pPr>
        <w:adjustRightInd w:val="0"/>
        <w:snapToGrid w:val="0"/>
        <w:spacing w:line="360" w:lineRule="auto"/>
        <w:ind w:left="-214" w:leftChars="-67" w:firstLine="640" w:firstLineChars="200"/>
        <w:jc w:val="left"/>
        <w:rPr>
          <w:rFonts w:hint="eastAsia"/>
        </w:rPr>
      </w:pPr>
    </w:p>
    <w:p>
      <w:pPr>
        <w:adjustRightInd w:val="0"/>
        <w:snapToGrid w:val="0"/>
        <w:spacing w:line="360" w:lineRule="auto"/>
        <w:ind w:left="-214" w:leftChars="-67" w:firstLine="640" w:firstLineChars="200"/>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4C7A"/>
    <w:multiLevelType w:val="singleLevel"/>
    <w:tmpl w:val="9E914C7A"/>
    <w:lvl w:ilvl="0" w:tentative="0">
      <w:start w:val="1"/>
      <w:numFmt w:val="bullet"/>
      <w:lvlText w:val=""/>
      <w:lvlJc w:val="left"/>
      <w:pPr>
        <w:ind w:left="420" w:hanging="420"/>
      </w:pPr>
      <w:rPr>
        <w:rFonts w:hint="default" w:ascii="Wingdings" w:hAnsi="Wingdings"/>
      </w:rPr>
    </w:lvl>
  </w:abstractNum>
  <w:abstractNum w:abstractNumId="1">
    <w:nsid w:val="27ED9AD6"/>
    <w:multiLevelType w:val="singleLevel"/>
    <w:tmpl w:val="27ED9AD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ZGExNTRjNzM0MmUzNjdiODUxM2ZjZjVhNGZiZGYifQ=="/>
  </w:docVars>
  <w:rsids>
    <w:rsidRoot w:val="7BEA07C0"/>
    <w:rsid w:val="7BEA0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hint="default" w:eastAsia="方正粗黑宋简体"/>
      <w:kern w:val="44"/>
      <w:sz w:val="44"/>
    </w:rPr>
  </w:style>
  <w:style w:type="paragraph" w:styleId="3">
    <w:name w:val="heading 3"/>
    <w:basedOn w:val="1"/>
    <w:next w:val="1"/>
    <w:qFormat/>
    <w:uiPriority w:val="9"/>
    <w:pPr>
      <w:keepNext/>
      <w:keepLines/>
      <w:spacing w:before="260" w:after="260" w:line="416" w:lineRule="auto"/>
      <w:outlineLvl w:val="2"/>
    </w:pPr>
    <w:rPr>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14"/>
    </w:pPr>
    <w:rPr>
      <w:sz w:val="21"/>
      <w:szCs w:val="21"/>
    </w:rPr>
  </w:style>
  <w:style w:type="paragraph" w:styleId="5">
    <w:name w:val="footer"/>
    <w:basedOn w:val="1"/>
    <w:qFormat/>
    <w:uiPriority w:val="99"/>
    <w:pPr>
      <w:tabs>
        <w:tab w:val="center" w:pos="4153"/>
        <w:tab w:val="right" w:pos="8306"/>
      </w:tabs>
      <w:snapToGrid w:val="0"/>
      <w:jc w:val="left"/>
    </w:pPr>
    <w:rPr>
      <w:sz w:val="18"/>
    </w:rPr>
  </w:style>
  <w:style w:type="paragraph" w:customStyle="1" w:styleId="8">
    <w:name w:val="Table Paragraph"/>
    <w:basedOn w:val="1"/>
    <w:qFormat/>
    <w:uiPriority w:val="1"/>
    <w:pPr>
      <w:autoSpaceDE w:val="0"/>
      <w:autoSpaceDN w:val="0"/>
      <w:jc w:val="left"/>
    </w:pPr>
    <w:rPr>
      <w:rFonts w:hint="default" w:ascii="宋体" w:hAnsi="宋体" w:eastAsia="宋体" w:cs="宋体"/>
      <w:kern w:val="0"/>
      <w:sz w:val="22"/>
      <w:szCs w:val="22"/>
      <w:lang w:val="zh-CN" w:bidi="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正文首行缩进（深信服）"/>
    <w:basedOn w:val="1"/>
    <w:qFormat/>
    <w:uiPriority w:val="0"/>
    <w:pPr>
      <w:widowControl/>
      <w:adjustRightInd w:val="0"/>
      <w:snapToGrid w:val="0"/>
      <w:spacing w:before="0" w:after="50" w:line="360" w:lineRule="auto"/>
      <w:ind w:firstLine="200" w:firstLineChars="200"/>
      <w:jc w:val="left"/>
    </w:pPr>
    <w:rPr>
      <w:rFonts w:ascii="仿宋" w:hAnsi="仿宋" w:eastAsia="仿宋" w:cs="Times New Roman"/>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2022-07-26T06:39:00Z</dcterms:created>
  <dc:creator>地狱伞兵</dc:creator>
  <cp:lastModifiedBy>地狱伞兵</cp:lastModifiedBy>
  <dcterms:modified xsi:type="dcterms:W3CDTF">2022-07-26T06:41:18Z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9D2EE0776FFC4FA5A6B720884875FBC4</vt:lpwstr>
  </property>
</Properties>
</file>