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Cs w:val="32"/>
        </w:rPr>
      </w:pPr>
      <w:r>
        <w:rPr>
          <w:rFonts w:hint="default" w:ascii="Times New Roman" w:hAnsi="Times New Roman" w:eastAsia="黑体" w:cs="Times New Roman"/>
          <w:szCs w:val="32"/>
        </w:rPr>
        <w:t>附件1-1</w:t>
      </w:r>
    </w:p>
    <w:p/>
    <w:p/>
    <w:p/>
    <w:p/>
    <w:p/>
    <w:p/>
    <w:p/>
    <w:p/>
    <w:p/>
    <w:p>
      <w:pPr>
        <w:spacing w:line="560" w:lineRule="exact"/>
        <w:jc w:val="center"/>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lang w:eastAsia="zh-CN"/>
        </w:rPr>
        <w:t>淮北市归国华侨联合会</w:t>
      </w:r>
      <w:r>
        <w:rPr>
          <w:rFonts w:hint="default" w:ascii="Times New Roman" w:hAnsi="Times New Roman" w:eastAsia="宋体" w:cs="Times New Roman"/>
          <w:b/>
          <w:sz w:val="44"/>
          <w:szCs w:val="44"/>
        </w:rPr>
        <w:t>2025</w:t>
      </w:r>
      <w:r>
        <w:rPr>
          <w:rFonts w:hint="eastAsia" w:ascii="Times New Roman" w:hAnsi="Times New Roman" w:eastAsia="宋体" w:cs="Times New Roman"/>
          <w:b/>
          <w:sz w:val="44"/>
          <w:szCs w:val="44"/>
        </w:rPr>
        <w:t>年部门预算</w:t>
      </w:r>
    </w:p>
    <w:p/>
    <w:p/>
    <w:p/>
    <w:p/>
    <w:p/>
    <w:p/>
    <w:p/>
    <w:p/>
    <w:p/>
    <w:p/>
    <w:p/>
    <w:p/>
    <w:p/>
    <w:p/>
    <w:p/>
    <w:p/>
    <w:p/>
    <w:p/>
    <w:p/>
    <w:p/>
    <w:p/>
    <w:p/>
    <w:p/>
    <w:p>
      <w:pPr>
        <w:pStyle w:val="7"/>
        <w:adjustRightInd w:val="0"/>
        <w:snapToGrid w:val="0"/>
        <w:spacing w:line="560" w:lineRule="exact"/>
        <w:jc w:val="center"/>
        <w:rPr>
          <w:rFonts w:ascii="Times New Roman" w:hAnsi="Times New Roman" w:eastAsia="黑体" w:cs="Times New Roman"/>
          <w:bCs/>
          <w:sz w:val="44"/>
          <w:szCs w:val="44"/>
        </w:rPr>
      </w:pPr>
    </w:p>
    <w:p>
      <w:pPr>
        <w:pStyle w:val="7"/>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2025年</w:t>
      </w:r>
      <w:r>
        <w:rPr>
          <w:rFonts w:hint="default" w:ascii="Times New Roman" w:hAnsi="Times New Roman" w:eastAsia="黑体" w:cs="Times New Roman"/>
          <w:bCs/>
          <w:sz w:val="44"/>
          <w:szCs w:val="44"/>
          <w:lang w:val="en-US" w:eastAsia="zh-CN"/>
        </w:rPr>
        <w:t>2</w:t>
      </w:r>
      <w:r>
        <w:rPr>
          <w:rFonts w:hint="default" w:ascii="Times New Roman" w:hAnsi="Times New Roman" w:eastAsia="黑体" w:cs="Times New Roman"/>
          <w:bCs/>
          <w:sz w:val="44"/>
          <w:szCs w:val="44"/>
        </w:rPr>
        <w:t>月</w:t>
      </w:r>
    </w:p>
    <w:p/>
    <w:p/>
    <w:p>
      <w:pPr>
        <w:pStyle w:val="7"/>
        <w:adjustRightInd w:val="0"/>
        <w:snapToGrid w:val="0"/>
        <w:spacing w:line="560" w:lineRule="exact"/>
        <w:jc w:val="center"/>
        <w:rPr>
          <w:rFonts w:ascii="Times New Roman" w:hAnsi="Times New Roman" w:eastAsia="黑体" w:cs="Times New Roman"/>
          <w:bCs/>
          <w:sz w:val="44"/>
          <w:szCs w:val="44"/>
        </w:rPr>
      </w:pPr>
      <w:r>
        <w:rPr>
          <w:rFonts w:hint="eastAsia" w:ascii="Times New Roman" w:hAnsi="Times New Roman" w:eastAsia="黑体" w:cs="Times New Roman"/>
          <w:bCs/>
          <w:sz w:val="44"/>
          <w:szCs w:val="44"/>
        </w:rPr>
        <w:t>目  录</w:t>
      </w:r>
    </w:p>
    <w:p/>
    <w:p>
      <w:pPr>
        <w:pStyle w:val="7"/>
        <w:adjustRightInd w:val="0"/>
        <w:snapToGrid w:val="0"/>
        <w:spacing w:line="4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 xml:space="preserve">第一部分 </w:t>
      </w:r>
      <w:r>
        <w:rPr>
          <w:rFonts w:hint="eastAsia" w:ascii="Times New Roman" w:hAnsi="Times New Roman" w:eastAsia="仿宋_GB2312" w:cs="Times New Roman"/>
          <w:b/>
          <w:sz w:val="32"/>
          <w:szCs w:val="32"/>
          <w:lang w:eastAsia="zh-CN"/>
        </w:rPr>
        <w:t>部门</w:t>
      </w:r>
      <w:r>
        <w:rPr>
          <w:rFonts w:hint="eastAsia" w:ascii="Times New Roman" w:hAnsi="Times New Roman" w:eastAsia="仿宋_GB2312" w:cs="Times New Roman"/>
          <w:b/>
          <w:sz w:val="32"/>
          <w:szCs w:val="32"/>
        </w:rPr>
        <w:t>概况</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部门</w:t>
      </w:r>
      <w:r>
        <w:rPr>
          <w:rFonts w:hint="default" w:ascii="Times New Roman" w:hAnsi="Times New Roman" w:eastAsia="仿宋_GB2312" w:cs="Times New Roman"/>
          <w:bCs/>
          <w:sz w:val="32"/>
          <w:szCs w:val="32"/>
        </w:rPr>
        <w:t>预算构成</w:t>
      </w:r>
    </w:p>
    <w:p>
      <w:pPr>
        <w:pStyle w:val="7"/>
        <w:adjustRightInd w:val="0"/>
        <w:snapToGrid w:val="0"/>
        <w:spacing w:line="400" w:lineRule="exact"/>
        <w:ind w:firstLine="800" w:firstLineChars="250"/>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2025</w:t>
      </w:r>
      <w:r>
        <w:rPr>
          <w:rFonts w:hint="eastAsia" w:ascii="Times New Roman" w:hAnsi="Times New Roman" w:eastAsia="仿宋_GB2312" w:cs="Times New Roman"/>
          <w:bCs/>
          <w:sz w:val="32"/>
          <w:szCs w:val="32"/>
        </w:rPr>
        <w:t>年度主要工作任务</w:t>
      </w:r>
    </w:p>
    <w:p>
      <w:pPr>
        <w:pStyle w:val="7"/>
        <w:adjustRightInd w:val="0"/>
        <w:snapToGrid w:val="0"/>
        <w:spacing w:line="4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第二部分</w:t>
      </w:r>
      <w:r>
        <w:rPr>
          <w:rFonts w:hint="default" w:ascii="Times New Roman" w:hAnsi="Times New Roman" w:eastAsia="仿宋_GB2312" w:cs="Times New Roman"/>
          <w:b/>
          <w:sz w:val="32"/>
          <w:szCs w:val="32"/>
        </w:rPr>
        <w:t xml:space="preserve"> 2025年</w:t>
      </w:r>
      <w:r>
        <w:rPr>
          <w:rFonts w:hint="eastAsia" w:ascii="Times New Roman" w:hAnsi="Times New Roman" w:eastAsia="仿宋_GB2312" w:cs="Times New Roman"/>
          <w:b/>
          <w:sz w:val="32"/>
          <w:szCs w:val="32"/>
          <w:lang w:eastAsia="zh-CN"/>
        </w:rPr>
        <w:t>部门</w:t>
      </w:r>
      <w:r>
        <w:rPr>
          <w:rFonts w:hint="eastAsia" w:ascii="Times New Roman" w:hAnsi="Times New Roman" w:eastAsia="仿宋_GB2312" w:cs="Times New Roman"/>
          <w:b/>
          <w:sz w:val="32"/>
          <w:szCs w:val="32"/>
        </w:rPr>
        <w:t>预算表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2025年收支总表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2025年收入总表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2025年支出总表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2025年财政拨款收支总表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2025年一般公共预算支出表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2025年一般公共预算基本支出表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2025年政府性基金预算支出表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2025年国有资本经营预算支出表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2025年项目支出表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2025年政府采购支出表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2025年政府购买服务支出表</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2025年通用资产配置支出表</w:t>
      </w:r>
    </w:p>
    <w:p>
      <w:pPr>
        <w:pStyle w:val="7"/>
        <w:adjustRightInd w:val="0"/>
        <w:snapToGrid w:val="0"/>
        <w:spacing w:line="4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2025年</w:t>
      </w:r>
      <w:r>
        <w:rPr>
          <w:rFonts w:hint="default" w:ascii="Times New Roman" w:hAnsi="Times New Roman" w:eastAsia="仿宋_GB2312" w:cs="Times New Roman"/>
          <w:b/>
          <w:sz w:val="32"/>
          <w:szCs w:val="32"/>
          <w:lang w:eastAsia="zh-CN"/>
        </w:rPr>
        <w:t>部门</w:t>
      </w:r>
      <w:r>
        <w:rPr>
          <w:rFonts w:hint="default" w:ascii="Times New Roman" w:hAnsi="Times New Roman" w:eastAsia="仿宋_GB2312" w:cs="Times New Roman"/>
          <w:b/>
          <w:sz w:val="32"/>
          <w:szCs w:val="32"/>
        </w:rPr>
        <w:t>预算情况说明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1、关于2025年收支总表的说明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2、关于2025年收入总表的说明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3、关于2025年支出总表的说明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4、关于2025年财政拨款收支总表的说明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5、关于2025年一般公共预算支出表的说明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6、关于2025年一般公共预算基本支出表的说明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7、关于2025年政府性基金预算支出表的说明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8、关于2025年国有资本经营预算支出表的说明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9、关于2025年项目支出表的说明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10、关于2025年政府采购支出表的说明</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11、关于2025年政府购买服务支出表的说明</w:t>
      </w:r>
    </w:p>
    <w:p>
      <w:pPr>
        <w:widowControl/>
        <w:adjustRightInd w:val="0"/>
        <w:snapToGrid w:val="0"/>
        <w:spacing w:before="100" w:beforeAutospacing="1" w:after="100" w:afterAutospacing="1" w:line="400" w:lineRule="exact"/>
        <w:ind w:firstLine="800" w:firstLineChars="250"/>
        <w:jc w:val="left"/>
        <w:rPr>
          <w:rFonts w:hint="eastAsia" w:ascii="Times New Roman" w:hAnsi="Times New Roman" w:eastAsia="仿宋_GB2312" w:cs="Times New Roman"/>
          <w:bCs/>
          <w:kern w:val="0"/>
          <w:sz w:val="32"/>
          <w:szCs w:val="32"/>
          <w:highlight w:val="none"/>
          <w:lang w:val="en-US" w:eastAsia="zh-CN" w:bidi="ar-SA"/>
        </w:rPr>
      </w:pPr>
      <w:r>
        <w:rPr>
          <w:rFonts w:hint="eastAsia" w:ascii="Times New Roman" w:hAnsi="Times New Roman" w:eastAsia="仿宋_GB2312" w:cs="Times New Roman"/>
          <w:bCs/>
          <w:kern w:val="0"/>
          <w:sz w:val="32"/>
          <w:szCs w:val="32"/>
          <w:highlight w:val="none"/>
          <w:lang w:val="en-US" w:eastAsia="zh-CN" w:bidi="ar-SA"/>
        </w:rPr>
        <w:t>12、关于2025年通用资产配置支出表的说明</w:t>
      </w:r>
    </w:p>
    <w:p>
      <w:pPr>
        <w:widowControl/>
        <w:adjustRightInd w:val="0"/>
        <w:snapToGrid w:val="0"/>
        <w:spacing w:before="100" w:beforeAutospacing="1" w:after="100" w:afterAutospacing="1" w:line="400" w:lineRule="exact"/>
        <w:ind w:firstLine="800" w:firstLineChars="250"/>
        <w:jc w:val="left"/>
        <w:rPr>
          <w:rFonts w:hint="eastAsia" w:ascii="Times New Roman" w:hAnsi="Times New Roman" w:eastAsia="仿宋_GB2312" w:cs="Times New Roman"/>
          <w:bCs/>
          <w:kern w:val="0"/>
          <w:sz w:val="32"/>
          <w:szCs w:val="32"/>
          <w:highlight w:val="none"/>
          <w:lang w:val="en-US" w:eastAsia="zh-CN" w:bidi="ar-SA"/>
        </w:rPr>
      </w:pPr>
      <w:r>
        <w:rPr>
          <w:rFonts w:hint="eastAsia" w:ascii="Times New Roman" w:hAnsi="Times New Roman" w:eastAsia="仿宋_GB2312" w:cs="Times New Roman"/>
          <w:bCs/>
          <w:kern w:val="0"/>
          <w:sz w:val="32"/>
          <w:szCs w:val="32"/>
          <w:highlight w:val="none"/>
          <w:lang w:val="en-US" w:eastAsia="zh-CN" w:bidi="ar-SA"/>
        </w:rPr>
        <w:t>13、其他重要事项情况说明</w:t>
      </w:r>
    </w:p>
    <w:p>
      <w:pPr>
        <w:pStyle w:val="7"/>
        <w:adjustRightInd w:val="0"/>
        <w:snapToGrid w:val="0"/>
        <w:spacing w:line="4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第四部分 名词解释</w:t>
      </w:r>
    </w:p>
    <w:p>
      <w:pPr>
        <w:pStyle w:val="7"/>
        <w:adjustRightInd w:val="0"/>
        <w:snapToGrid w:val="0"/>
        <w:spacing w:line="4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第五部分 其它公开事项</w:t>
      </w:r>
    </w:p>
    <w:p>
      <w:pPr>
        <w:pStyle w:val="7"/>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2025年部门预算纳入绩效考评项目表</w:t>
      </w:r>
    </w:p>
    <w:p>
      <w:pPr>
        <w:pStyle w:val="7"/>
        <w:adjustRightInd w:val="0"/>
        <w:snapToGrid w:val="0"/>
        <w:spacing w:line="400" w:lineRule="exact"/>
        <w:ind w:firstLine="800" w:firstLineChars="250"/>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bCs/>
          <w:sz w:val="32"/>
          <w:szCs w:val="32"/>
        </w:rPr>
        <w:t>2025年部门预算专项资金管理清单（专栏公开）</w:t>
      </w:r>
    </w:p>
    <w:p>
      <w:pPr>
        <w:pStyle w:val="7"/>
        <w:adjustRightInd w:val="0"/>
        <w:snapToGrid w:val="0"/>
        <w:spacing w:line="400" w:lineRule="exact"/>
        <w:ind w:firstLine="800" w:firstLineChars="250"/>
        <w:rPr>
          <w:rFonts w:ascii="Times New Roman" w:hAnsi="Times New Roman" w:eastAsia="仿宋_GB2312" w:cs="Times New Roman"/>
          <w:bCs/>
          <w:sz w:val="32"/>
          <w:szCs w:val="32"/>
        </w:rPr>
      </w:pPr>
    </w:p>
    <w:p>
      <w:pPr>
        <w:pStyle w:val="7"/>
        <w:adjustRightInd w:val="0"/>
        <w:snapToGrid w:val="0"/>
        <w:spacing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 xml:space="preserve">第一部分 </w:t>
      </w:r>
      <w:r>
        <w:rPr>
          <w:rFonts w:hint="eastAsia" w:ascii="Times New Roman" w:hAnsi="Times New Roman" w:eastAsia="黑体" w:cs="Times New Roman"/>
          <w:bCs/>
          <w:sz w:val="36"/>
          <w:szCs w:val="36"/>
          <w:lang w:eastAsia="zh-CN"/>
        </w:rPr>
        <w:t>部门</w:t>
      </w:r>
      <w:r>
        <w:rPr>
          <w:rFonts w:hint="eastAsia" w:ascii="Times New Roman" w:hAnsi="Times New Roman" w:eastAsia="黑体" w:cs="Times New Roman"/>
          <w:bCs/>
          <w:sz w:val="36"/>
          <w:szCs w:val="36"/>
        </w:rPr>
        <w:t>概况</w:t>
      </w:r>
    </w:p>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一、主要职责</w:t>
      </w:r>
    </w:p>
    <w:p>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黑体" w:eastAsia="仿宋_GB2312"/>
          <w:bCs/>
          <w:sz w:val="32"/>
          <w:szCs w:val="32"/>
        </w:rPr>
        <w:t>（一）</w:t>
      </w:r>
      <w:r>
        <w:rPr>
          <w:rFonts w:hint="eastAsia" w:ascii="仿宋_GB2312" w:hAnsi="仿宋" w:eastAsia="仿宋_GB2312" w:cs="仿宋"/>
          <w:bCs/>
          <w:sz w:val="32"/>
          <w:szCs w:val="32"/>
        </w:rPr>
        <w:t>贯彻执行党和国家的侨务方针、政策，引导和组织归侨侨眷弘扬中华优秀传统文化。</w:t>
      </w:r>
    </w:p>
    <w:p>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黑体" w:eastAsia="仿宋_GB2312"/>
          <w:bCs/>
          <w:sz w:val="32"/>
          <w:szCs w:val="32"/>
        </w:rPr>
        <w:t>（二）</w:t>
      </w:r>
      <w:r>
        <w:rPr>
          <w:rFonts w:hint="eastAsia" w:ascii="仿宋_GB2312" w:hAnsi="仿宋" w:eastAsia="仿宋_GB2312" w:cs="仿宋"/>
          <w:bCs/>
          <w:sz w:val="32"/>
          <w:szCs w:val="32"/>
        </w:rPr>
        <w:t>依法维护归侨、侨眷合法权益，关心海外侨胞的正当权益；为广大归侨侨眷、留学人员家属和海外侨胞提供法律服务。</w:t>
      </w:r>
    </w:p>
    <w:p>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黑体" w:eastAsia="仿宋_GB2312"/>
          <w:bCs/>
          <w:sz w:val="32"/>
          <w:szCs w:val="32"/>
        </w:rPr>
        <w:t>（三）</w:t>
      </w:r>
      <w:r>
        <w:rPr>
          <w:rFonts w:hint="eastAsia" w:ascii="仿宋_GB2312" w:hAnsi="仿宋" w:eastAsia="仿宋_GB2312" w:cs="仿宋"/>
          <w:bCs/>
          <w:sz w:val="32"/>
          <w:szCs w:val="32"/>
        </w:rPr>
        <w:t>调查了解《中华人民共和国归侨侨眷权益保护法》贯彻落实的情况，听取和反映广大归侨侨眷、留学人员家属的意见和要求，及时研究解决侨联工作遇到的新问题，积极探索建立符合全市市情的侨联工作方针和侨联组织体制。</w:t>
      </w:r>
      <w:r>
        <w:rPr>
          <w:rFonts w:hint="eastAsia"/>
          <w:bCs/>
          <w:sz w:val="32"/>
          <w:szCs w:val="32"/>
        </w:rPr>
        <w:t>  </w:t>
      </w:r>
    </w:p>
    <w:p>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黑体" w:eastAsia="仿宋_GB2312"/>
          <w:bCs/>
          <w:sz w:val="32"/>
          <w:szCs w:val="32"/>
        </w:rPr>
        <w:t>（四）</w:t>
      </w:r>
      <w:r>
        <w:rPr>
          <w:rFonts w:hint="eastAsia" w:ascii="仿宋_GB2312" w:hAnsi="仿宋" w:eastAsia="仿宋_GB2312" w:cs="仿宋"/>
          <w:bCs/>
          <w:sz w:val="32"/>
          <w:szCs w:val="32"/>
        </w:rPr>
        <w:t>密切与海外侨胞、留学人员及其社团的联系，及时掌握国内外重大侨情动态，提出侨务工作政策的意见建议。</w:t>
      </w:r>
      <w:r>
        <w:rPr>
          <w:rFonts w:hint="eastAsia"/>
          <w:bCs/>
          <w:sz w:val="32"/>
          <w:szCs w:val="32"/>
        </w:rPr>
        <w:t> </w:t>
      </w:r>
    </w:p>
    <w:p>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黑体" w:eastAsia="仿宋_GB2312"/>
          <w:bCs/>
          <w:sz w:val="32"/>
          <w:szCs w:val="32"/>
        </w:rPr>
        <w:t>（五）</w:t>
      </w:r>
      <w:r>
        <w:rPr>
          <w:rFonts w:hint="eastAsia" w:ascii="仿宋_GB2312" w:hAnsi="仿宋" w:eastAsia="仿宋_GB2312" w:cs="仿宋"/>
          <w:bCs/>
          <w:sz w:val="32"/>
          <w:szCs w:val="32"/>
        </w:rPr>
        <w:t>积极引进华侨华人、港澳同胞的资金、技术，协助海外侨胞来我市捐资兴办公益事业；开展与海外侨胞在经济、科技、文化、社会福利等方面的交流与合作；为海外侨胞和留学人员在市内投资兴办实业提供服务。</w:t>
      </w:r>
      <w:r>
        <w:rPr>
          <w:rFonts w:hint="eastAsia"/>
          <w:bCs/>
          <w:sz w:val="32"/>
          <w:szCs w:val="32"/>
        </w:rPr>
        <w:t> </w:t>
      </w:r>
    </w:p>
    <w:p>
      <w:pPr>
        <w:pStyle w:val="7"/>
        <w:adjustRightInd w:val="0"/>
        <w:snapToGrid w:val="0"/>
        <w:spacing w:before="0" w:beforeAutospacing="0" w:after="0" w:afterAutospacing="0" w:line="500" w:lineRule="exact"/>
        <w:ind w:firstLine="640" w:firstLineChars="200"/>
        <w:outlineLvl w:val="0"/>
        <w:rPr>
          <w:rFonts w:hint="eastAsia" w:ascii="仿宋_GB2312" w:hAnsi="黑体" w:eastAsia="仿宋_GB2312"/>
          <w:bCs/>
          <w:sz w:val="32"/>
          <w:szCs w:val="32"/>
        </w:rPr>
      </w:pPr>
      <w:r>
        <w:rPr>
          <w:rFonts w:hint="eastAsia" w:ascii="仿宋_GB2312" w:hAnsi="黑体" w:eastAsia="仿宋_GB2312"/>
          <w:bCs/>
          <w:sz w:val="32"/>
          <w:szCs w:val="32"/>
        </w:rPr>
        <w:t>（六）依法做好市人大、市政协侨界代表、委员人选的推荐工作，帮助他们代表侨界参加地方政治、经济和社会事务活动，履行职责。</w:t>
      </w:r>
    </w:p>
    <w:p>
      <w:pPr>
        <w:ind w:firstLine="640" w:firstLineChars="200"/>
        <w:rPr>
          <w:rFonts w:hint="eastAsia" w:ascii="仿宋_GB2312" w:eastAsia="仿宋_GB2312"/>
          <w:sz w:val="32"/>
          <w:szCs w:val="32"/>
        </w:rPr>
      </w:pPr>
      <w:r>
        <w:rPr>
          <w:rFonts w:hint="eastAsia" w:ascii="仿宋_GB2312" w:hAnsi="黑体" w:eastAsia="仿宋_GB2312"/>
          <w:bCs/>
          <w:sz w:val="32"/>
          <w:szCs w:val="32"/>
        </w:rPr>
        <w:t>（七）承办市委、市政府和上级侨联交办的各项工作。</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w:t>
      </w:r>
      <w:r>
        <w:rPr>
          <w:rFonts w:hint="eastAsia" w:ascii="Times New Roman" w:hAnsi="Times New Roman" w:eastAsia="黑体" w:cs="Times New Roman"/>
          <w:bCs/>
          <w:sz w:val="32"/>
          <w:szCs w:val="32"/>
          <w:lang w:eastAsia="zh-CN"/>
        </w:rPr>
        <w:t>部门</w:t>
      </w:r>
      <w:r>
        <w:rPr>
          <w:rFonts w:hint="eastAsia" w:ascii="Times New Roman" w:hAnsi="Times New Roman" w:eastAsia="黑体" w:cs="Times New Roman"/>
          <w:bCs/>
          <w:sz w:val="32"/>
          <w:szCs w:val="32"/>
        </w:rPr>
        <w:t>预算构成</w:t>
      </w:r>
    </w:p>
    <w:p>
      <w:pPr>
        <w:pStyle w:val="7"/>
        <w:adjustRightInd w:val="0"/>
        <w:snapToGrid w:val="0"/>
        <w:spacing w:line="560" w:lineRule="exact"/>
        <w:ind w:firstLine="627" w:firstLineChars="19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从预算单位构成看，</w:t>
      </w:r>
      <w:r>
        <w:rPr>
          <w:rFonts w:hint="eastAsia" w:ascii="Times New Roman" w:hAnsi="Times New Roman" w:eastAsia="仿宋_GB2312" w:cs="Times New Roman"/>
          <w:bCs/>
          <w:sz w:val="32"/>
          <w:szCs w:val="32"/>
          <w:lang w:eastAsia="zh-CN"/>
        </w:rPr>
        <w:t>淮北市归国华侨联合会</w:t>
      </w: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rPr>
        <w:t>度部门预算仅包括</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本级预算，无其他下属单位预算。</w:t>
      </w:r>
    </w:p>
    <w:p>
      <w:pPr>
        <w:pStyle w:val="7"/>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三、2025年度主要工作任务</w:t>
      </w:r>
    </w:p>
    <w:p>
      <w:pPr>
        <w:pStyle w:val="7"/>
        <w:adjustRightInd w:val="0"/>
        <w:snapToGrid w:val="0"/>
        <w:spacing w:before="0" w:beforeAutospacing="0" w:after="0" w:afterAutospacing="0" w:line="500" w:lineRule="exact"/>
        <w:ind w:firstLine="640" w:firstLineChars="200"/>
        <w:outlineLvl w:val="0"/>
        <w:rPr>
          <w:rFonts w:hint="eastAsia" w:ascii="仿宋_GB2312" w:hAnsi="黑体" w:eastAsia="仿宋_GB2312"/>
          <w:bCs/>
          <w:sz w:val="32"/>
          <w:szCs w:val="32"/>
        </w:rPr>
      </w:pPr>
      <w:r>
        <w:rPr>
          <w:rFonts w:hint="eastAsia" w:ascii="仿宋_GB2312" w:hAnsi="黑体" w:eastAsia="仿宋_GB2312"/>
          <w:bCs/>
          <w:sz w:val="32"/>
          <w:szCs w:val="32"/>
        </w:rPr>
        <w:t>（一）强引领、铸忠诚，进一步画好最大同心圆</w:t>
      </w:r>
    </w:p>
    <w:p>
      <w:pPr>
        <w:pStyle w:val="7"/>
        <w:adjustRightInd w:val="0"/>
        <w:snapToGrid w:val="0"/>
        <w:spacing w:before="0" w:beforeAutospacing="0" w:after="0" w:afterAutospacing="0" w:line="500" w:lineRule="exact"/>
        <w:ind w:firstLine="640" w:firstLineChars="200"/>
        <w:outlineLvl w:val="0"/>
        <w:rPr>
          <w:rFonts w:hint="eastAsia" w:ascii="仿宋_GB2312" w:hAnsi="黑体" w:eastAsia="仿宋_GB2312"/>
          <w:bCs/>
          <w:sz w:val="32"/>
          <w:szCs w:val="32"/>
        </w:rPr>
      </w:pPr>
      <w:r>
        <w:rPr>
          <w:rFonts w:hint="eastAsia" w:ascii="仿宋_GB2312" w:hAnsi="黑体" w:eastAsia="仿宋_GB2312"/>
          <w:bCs/>
          <w:sz w:val="32"/>
          <w:szCs w:val="32"/>
        </w:rPr>
        <w:t>（二）强发展、汇侨力，进一步提高侨界贡献度</w:t>
      </w:r>
    </w:p>
    <w:p>
      <w:pPr>
        <w:pStyle w:val="7"/>
        <w:adjustRightInd w:val="0"/>
        <w:snapToGrid w:val="0"/>
        <w:spacing w:before="0" w:beforeAutospacing="0" w:after="0" w:afterAutospacing="0" w:line="500" w:lineRule="exact"/>
        <w:ind w:firstLine="640" w:firstLineChars="200"/>
        <w:outlineLvl w:val="0"/>
        <w:rPr>
          <w:rFonts w:hint="eastAsia" w:ascii="仿宋_GB2312" w:hAnsi="黑体" w:eastAsia="仿宋_GB2312"/>
          <w:bCs/>
          <w:sz w:val="32"/>
          <w:szCs w:val="32"/>
        </w:rPr>
      </w:pPr>
      <w:r>
        <w:rPr>
          <w:rFonts w:hint="eastAsia" w:ascii="仿宋_GB2312" w:hAnsi="黑体" w:eastAsia="仿宋_GB2312"/>
          <w:bCs/>
          <w:sz w:val="32"/>
          <w:szCs w:val="32"/>
        </w:rPr>
        <w:t>（三）强作风、优服务，进一步维护侨胞权益</w:t>
      </w:r>
    </w:p>
    <w:p>
      <w:pPr>
        <w:pStyle w:val="7"/>
        <w:adjustRightInd w:val="0"/>
        <w:snapToGrid w:val="0"/>
        <w:spacing w:before="0" w:beforeAutospacing="0" w:after="0" w:afterAutospacing="0" w:line="500" w:lineRule="exact"/>
        <w:ind w:firstLine="640" w:firstLineChars="200"/>
        <w:outlineLvl w:val="0"/>
        <w:rPr>
          <w:rFonts w:hint="eastAsia" w:ascii="仿宋_GB2312" w:hAnsi="黑体" w:eastAsia="仿宋_GB2312"/>
          <w:bCs/>
          <w:sz w:val="32"/>
          <w:szCs w:val="32"/>
        </w:rPr>
      </w:pPr>
      <w:r>
        <w:rPr>
          <w:rFonts w:hint="eastAsia" w:ascii="仿宋_GB2312" w:hAnsi="黑体" w:eastAsia="仿宋_GB2312"/>
          <w:bCs/>
          <w:sz w:val="32"/>
          <w:szCs w:val="32"/>
        </w:rPr>
        <w:t>（四）强组织、固基础，进一步深化侨联改革</w:t>
      </w:r>
    </w:p>
    <w:p>
      <w:pPr>
        <w:pStyle w:val="7"/>
        <w:adjustRightInd w:val="0"/>
        <w:snapToGrid w:val="0"/>
        <w:spacing w:line="560" w:lineRule="exact"/>
        <w:jc w:val="center"/>
        <w:rPr>
          <w:rFonts w:hint="default" w:ascii="Times New Roman" w:hAnsi="Times New Roman" w:eastAsia="黑体" w:cs="Times New Roman"/>
          <w:bCs/>
          <w:sz w:val="36"/>
          <w:szCs w:val="36"/>
        </w:rPr>
      </w:pPr>
      <w:r>
        <w:rPr>
          <w:rFonts w:hint="eastAsia" w:ascii="Times New Roman" w:hAnsi="Times New Roman" w:eastAsia="黑体" w:cs="Times New Roman"/>
          <w:bCs/>
          <w:sz w:val="36"/>
          <w:szCs w:val="36"/>
        </w:rPr>
        <w:t>第二部分</w:t>
      </w:r>
      <w:r>
        <w:rPr>
          <w:rFonts w:hint="default" w:ascii="Times New Roman" w:hAnsi="Times New Roman" w:eastAsia="黑体" w:cs="Times New Roman"/>
          <w:bCs/>
          <w:sz w:val="36"/>
          <w:szCs w:val="36"/>
        </w:rPr>
        <w:t xml:space="preserve"> 2025年</w:t>
      </w:r>
      <w:r>
        <w:rPr>
          <w:rFonts w:hint="default" w:ascii="Times New Roman" w:hAnsi="Times New Roman" w:eastAsia="黑体" w:cs="Times New Roman"/>
          <w:bCs/>
          <w:sz w:val="36"/>
          <w:szCs w:val="36"/>
          <w:lang w:eastAsia="zh-CN"/>
        </w:rPr>
        <w:t>部门</w:t>
      </w:r>
      <w:r>
        <w:rPr>
          <w:rFonts w:hint="default" w:ascii="Times New Roman" w:hAnsi="Times New Roman" w:eastAsia="黑体" w:cs="Times New Roman"/>
          <w:bCs/>
          <w:sz w:val="36"/>
          <w:szCs w:val="36"/>
        </w:rPr>
        <w:t>预算表</w:t>
      </w:r>
    </w:p>
    <w:p>
      <w:pPr>
        <w:pStyle w:val="7"/>
        <w:adjustRightInd w:val="0"/>
        <w:snapToGrid w:val="0"/>
        <w:spacing w:line="560" w:lineRule="exact"/>
        <w:ind w:firstLine="627" w:firstLineChars="196"/>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r>
        <w:t xml:space="preserve">                                        </w:t>
      </w:r>
    </w:p>
    <w:p>
      <w:pPr>
        <w:pStyle w:val="7"/>
        <w:adjustRightInd w:val="0"/>
        <w:snapToGrid w:val="0"/>
        <w:spacing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第三部分</w:t>
      </w:r>
      <w:r>
        <w:rPr>
          <w:rFonts w:hint="default" w:ascii="Times New Roman" w:hAnsi="Times New Roman" w:eastAsia="黑体" w:cs="Times New Roman"/>
          <w:bCs/>
          <w:sz w:val="36"/>
          <w:szCs w:val="36"/>
        </w:rPr>
        <w:t xml:space="preserve"> 2025年</w:t>
      </w:r>
      <w:r>
        <w:rPr>
          <w:rFonts w:hint="default" w:ascii="Times New Roman" w:hAnsi="Times New Roman" w:eastAsia="黑体" w:cs="Times New Roman"/>
          <w:bCs/>
          <w:sz w:val="36"/>
          <w:szCs w:val="36"/>
          <w:lang w:eastAsia="zh-CN"/>
        </w:rPr>
        <w:t>部门</w:t>
      </w:r>
      <w:r>
        <w:rPr>
          <w:rFonts w:hint="default" w:ascii="Times New Roman" w:hAnsi="Times New Roman" w:eastAsia="黑体" w:cs="Times New Roman"/>
          <w:bCs/>
          <w:sz w:val="36"/>
          <w:szCs w:val="36"/>
        </w:rPr>
        <w:t>预</w:t>
      </w:r>
      <w:r>
        <w:rPr>
          <w:rFonts w:hint="eastAsia" w:ascii="Times New Roman" w:hAnsi="Times New Roman" w:eastAsia="黑体" w:cs="Times New Roman"/>
          <w:bCs/>
          <w:sz w:val="36"/>
          <w:szCs w:val="36"/>
        </w:rPr>
        <w:t>算情况说明</w:t>
      </w:r>
    </w:p>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一、关于</w:t>
      </w:r>
      <w:r>
        <w:rPr>
          <w:rFonts w:hint="default" w:ascii="Times New Roman" w:hAnsi="Times New Roman" w:eastAsia="黑体" w:cs="Times New Roman"/>
          <w:bCs/>
          <w:sz w:val="32"/>
          <w:szCs w:val="32"/>
        </w:rPr>
        <w:t>2025年收支</w:t>
      </w:r>
      <w:r>
        <w:rPr>
          <w:rFonts w:hint="eastAsia" w:ascii="Times New Roman" w:hAnsi="Times New Roman" w:eastAsia="黑体" w:cs="Times New Roman"/>
          <w:bCs/>
          <w:sz w:val="32"/>
          <w:szCs w:val="32"/>
        </w:rPr>
        <w:t>总表的说明</w:t>
      </w:r>
    </w:p>
    <w:p>
      <w:pPr>
        <w:pStyle w:val="7"/>
        <w:adjustRightInd w:val="0"/>
        <w:snapToGrid w:val="0"/>
        <w:spacing w:line="560" w:lineRule="exact"/>
        <w:ind w:firstLine="627" w:firstLineChars="19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按照综合预算的原则，</w:t>
      </w:r>
      <w:r>
        <w:rPr>
          <w:rFonts w:hint="eastAsia" w:ascii="Times New Roman" w:hAnsi="Times New Roman" w:eastAsia="仿宋_GB2312" w:cs="Times New Roman"/>
          <w:sz w:val="32"/>
          <w:szCs w:val="32"/>
          <w:lang w:eastAsia="zh-CN"/>
        </w:rPr>
        <w:t>淮北市归国华侨联合会</w:t>
      </w:r>
      <w:r>
        <w:rPr>
          <w:rFonts w:hint="eastAsia" w:ascii="Times New Roman" w:hAnsi="Times New Roman" w:eastAsia="仿宋_GB2312" w:cs="Times New Roman"/>
          <w:sz w:val="32"/>
          <w:szCs w:val="32"/>
        </w:rPr>
        <w:t>所有收入和支出均纳入</w:t>
      </w:r>
      <w:r>
        <w:rPr>
          <w:rFonts w:hint="eastAsia" w:ascii="Times New Roman" w:hAnsi="Times New Roman" w:eastAsia="仿宋_GB2312" w:cs="Times New Roman"/>
          <w:sz w:val="32"/>
          <w:szCs w:val="32"/>
          <w:lang w:eastAsia="zh-CN"/>
        </w:rPr>
        <w:t>部门</w:t>
      </w:r>
      <w:r>
        <w:rPr>
          <w:rFonts w:hint="eastAsia" w:ascii="Times New Roman" w:hAnsi="Times New Roman" w:eastAsia="仿宋_GB2312" w:cs="Times New Roman"/>
          <w:sz w:val="32"/>
          <w:szCs w:val="32"/>
        </w:rPr>
        <w:t>预算管理。</w:t>
      </w:r>
      <w:r>
        <w:rPr>
          <w:rFonts w:hint="eastAsia" w:ascii="Times New Roman" w:hAnsi="Times New Roman" w:eastAsia="仿宋_GB2312" w:cs="Times New Roman"/>
          <w:sz w:val="32"/>
          <w:szCs w:val="32"/>
          <w:lang w:eastAsia="zh-CN"/>
        </w:rPr>
        <w:t>淮北市归国华侨联合会</w:t>
      </w: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rPr>
        <w:t>收支总预</w:t>
      </w:r>
      <w:r>
        <w:rPr>
          <w:rFonts w:hint="default" w:ascii="Times New Roman" w:hAnsi="Times New Roman" w:eastAsia="仿宋_GB2312" w:cs="Times New Roman"/>
          <w:sz w:val="32"/>
          <w:szCs w:val="32"/>
        </w:rPr>
        <w:t>算86.73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收入全部是一般公共预算拨款收入</w:t>
      </w:r>
      <w:r>
        <w:rPr>
          <w:rFonts w:hint="default" w:ascii="Times New Roman" w:hAnsi="Times New Roman" w:eastAsia="仿宋_GB2312" w:cs="Times New Roman"/>
          <w:sz w:val="32"/>
          <w:szCs w:val="32"/>
        </w:rPr>
        <w:t>86.73</w:t>
      </w:r>
      <w:r>
        <w:rPr>
          <w:rFonts w:hint="eastAsia" w:ascii="Times New Roman" w:hAnsi="Times New Roman" w:eastAsia="仿宋_GB2312" w:cs="Times New Roman"/>
          <w:sz w:val="32"/>
          <w:szCs w:val="32"/>
          <w:lang w:eastAsia="zh-CN"/>
        </w:rPr>
        <w:t>万元，支出包括：一般公共服务</w:t>
      </w:r>
      <w:r>
        <w:rPr>
          <w:rFonts w:hint="eastAsia" w:ascii="Times New Roman" w:hAnsi="Times New Roman" w:eastAsia="仿宋_GB2312" w:cs="Times New Roman"/>
          <w:sz w:val="32"/>
          <w:szCs w:val="32"/>
        </w:rPr>
        <w:t>支出、社会保障和就业支出、卫生健康支出、住房保障支出。</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二、关</w:t>
      </w:r>
      <w:r>
        <w:rPr>
          <w:rFonts w:hint="default" w:ascii="Times New Roman" w:hAnsi="Times New Roman" w:eastAsia="黑体" w:cs="Times New Roman"/>
          <w:bCs/>
          <w:sz w:val="32"/>
          <w:szCs w:val="32"/>
        </w:rPr>
        <w:t>于2025年</w:t>
      </w:r>
      <w:r>
        <w:rPr>
          <w:rFonts w:hint="eastAsia" w:ascii="Times New Roman" w:hAnsi="Times New Roman" w:eastAsia="黑体" w:cs="Times New Roman"/>
          <w:bCs/>
          <w:sz w:val="32"/>
          <w:szCs w:val="32"/>
        </w:rPr>
        <w:t>收入总表的说明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2025年收入预算</w:t>
      </w:r>
      <w:r>
        <w:rPr>
          <w:rFonts w:hint="default" w:ascii="Times New Roman" w:hAnsi="Times New Roman" w:eastAsia="仿宋_GB2312" w:cs="Times New Roman"/>
          <w:sz w:val="32"/>
          <w:szCs w:val="32"/>
        </w:rPr>
        <w:t>86.73</w:t>
      </w:r>
      <w:r>
        <w:rPr>
          <w:rFonts w:hint="default" w:ascii="Times New Roman" w:hAnsi="Times New Roman" w:eastAsia="仿宋_GB2312" w:cs="Times New Roman"/>
          <w:kern w:val="0"/>
          <w:sz w:val="32"/>
          <w:szCs w:val="32"/>
        </w:rPr>
        <w:t>万元，其中，本年收入</w:t>
      </w:r>
      <w:r>
        <w:rPr>
          <w:rFonts w:hint="default" w:ascii="Times New Roman" w:hAnsi="Times New Roman" w:eastAsia="仿宋_GB2312" w:cs="Times New Roman"/>
          <w:sz w:val="32"/>
          <w:szCs w:val="32"/>
        </w:rPr>
        <w:t>86.73</w:t>
      </w:r>
      <w:r>
        <w:rPr>
          <w:rFonts w:hint="default" w:ascii="Times New Roman" w:hAnsi="Times New Roman" w:eastAsia="仿宋_GB2312" w:cs="Times New Roman"/>
          <w:kern w:val="0"/>
          <w:sz w:val="32"/>
          <w:szCs w:val="32"/>
        </w:rPr>
        <w:t>万元。</w:t>
      </w:r>
    </w:p>
    <w:p>
      <w:pPr>
        <w:ind w:firstLine="642"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b/>
          <w:kern w:val="0"/>
          <w:sz w:val="32"/>
          <w:szCs w:val="32"/>
        </w:rPr>
        <w:t>（一）本年收</w:t>
      </w:r>
      <w:r>
        <w:rPr>
          <w:rFonts w:hint="eastAsia" w:ascii="Times New Roman" w:hAnsi="Times New Roman" w:eastAsia="仿宋_GB2312" w:cs="Times New Roman"/>
          <w:b/>
          <w:bCs w:val="0"/>
          <w:kern w:val="0"/>
          <w:sz w:val="32"/>
          <w:szCs w:val="32"/>
        </w:rPr>
        <w:t>入</w:t>
      </w:r>
      <w:r>
        <w:rPr>
          <w:rFonts w:hint="default" w:ascii="Times New Roman" w:hAnsi="Times New Roman" w:eastAsia="仿宋_GB2312" w:cs="Times New Roman"/>
          <w:b/>
          <w:bCs/>
          <w:sz w:val="32"/>
          <w:szCs w:val="32"/>
        </w:rPr>
        <w:t>86.73</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w:t>
      </w:r>
      <w:r>
        <w:rPr>
          <w:rFonts w:hint="default" w:ascii="Times New Roman" w:hAnsi="Times New Roman" w:eastAsia="仿宋_GB2312" w:cs="Times New Roman"/>
          <w:sz w:val="32"/>
          <w:szCs w:val="32"/>
        </w:rPr>
        <w:t>86.73</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%，比2024年预算</w:t>
      </w:r>
      <w:r>
        <w:rPr>
          <w:rFonts w:hint="default" w:ascii="Times New Roman" w:hAnsi="Times New Roman" w:eastAsia="仿宋_GB2312" w:cs="Times New Roman"/>
          <w:b w:val="0"/>
          <w:bCs w:val="0"/>
          <w:kern w:val="0"/>
          <w:sz w:val="32"/>
          <w:szCs w:val="32"/>
        </w:rPr>
        <w:t>增加</w:t>
      </w:r>
      <w:r>
        <w:rPr>
          <w:rFonts w:hint="default" w:ascii="Times New Roman" w:hAnsi="Times New Roman" w:eastAsia="仿宋_GB2312" w:cs="Times New Roman"/>
          <w:b w:val="0"/>
          <w:bCs w:val="0"/>
          <w:sz w:val="32"/>
          <w:szCs w:val="32"/>
        </w:rPr>
        <w:t>10.71</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b w:val="0"/>
          <w:bCs/>
          <w:sz w:val="32"/>
          <w:szCs w:val="32"/>
          <w:highlight w:val="none"/>
        </w:rPr>
        <w:t>14.09%</w:t>
      </w:r>
      <w:r>
        <w:rPr>
          <w:rFonts w:hint="default" w:ascii="Times New Roman" w:hAnsi="Times New Roman" w:eastAsia="仿宋_GB2312" w:cs="Times New Roman"/>
          <w:b w:val="0"/>
          <w:bCs/>
          <w:kern w:val="0"/>
          <w:sz w:val="32"/>
          <w:szCs w:val="32"/>
        </w:rPr>
        <w:t>，</w:t>
      </w:r>
      <w:r>
        <w:rPr>
          <w:rFonts w:hint="default" w:ascii="Times New Roman" w:hAnsi="Times New Roman" w:eastAsia="仿宋_GB2312" w:cs="Times New Roman"/>
          <w:kern w:val="0"/>
          <w:sz w:val="32"/>
          <w:szCs w:val="32"/>
        </w:rPr>
        <w:t>原因主要是</w:t>
      </w:r>
      <w:r>
        <w:rPr>
          <w:rFonts w:hint="eastAsia" w:ascii="仿宋_GB2312" w:hAnsi="Times New Roman" w:eastAsia="仿宋_GB2312" w:cs="Times New Roman"/>
          <w:sz w:val="32"/>
          <w:szCs w:val="32"/>
          <w:lang w:val="en-US" w:eastAsia="zh-CN"/>
        </w:rPr>
        <w:t>人员增加</w:t>
      </w:r>
      <w:r>
        <w:rPr>
          <w:rFonts w:hint="default" w:ascii="Times New Roman" w:hAnsi="Times New Roman" w:eastAsia="仿宋_GB2312" w:cs="Times New Roman"/>
          <w:kern w:val="0"/>
          <w:sz w:val="32"/>
          <w:szCs w:val="32"/>
        </w:rPr>
        <w:t>；政府性基金预算拨款收入</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%，比2024年预算增加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%，原因主要是</w:t>
      </w:r>
      <w:r>
        <w:rPr>
          <w:rFonts w:hint="eastAsia" w:ascii="仿宋_GB2312" w:eastAsia="仿宋_GB2312"/>
          <w:sz w:val="32"/>
          <w:szCs w:val="32"/>
        </w:rPr>
        <w:t>本单位无政府性基金预算收入</w:t>
      </w:r>
      <w:r>
        <w:rPr>
          <w:rFonts w:hint="default" w:ascii="Times New Roman" w:hAnsi="Times New Roman" w:eastAsia="仿宋_GB2312" w:cs="Times New Roman"/>
          <w:kern w:val="0"/>
          <w:sz w:val="32"/>
          <w:szCs w:val="32"/>
        </w:rPr>
        <w:t>；财政专户管理资金收入</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%，比2024年预算增加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%，原因主要是</w:t>
      </w:r>
      <w:r>
        <w:rPr>
          <w:rFonts w:hint="eastAsia" w:ascii="仿宋_GB2312" w:eastAsia="仿宋_GB2312"/>
          <w:sz w:val="32"/>
          <w:szCs w:val="32"/>
        </w:rPr>
        <w:t>本单位无财政专户管理的非税收入</w:t>
      </w:r>
      <w:r>
        <w:rPr>
          <w:rFonts w:hint="default" w:ascii="Times New Roman" w:hAnsi="Times New Roman" w:eastAsia="仿宋_GB2312" w:cs="Times New Roman"/>
          <w:kern w:val="0"/>
          <w:sz w:val="32"/>
          <w:szCs w:val="32"/>
        </w:rPr>
        <w:t>。</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三、关于</w:t>
      </w:r>
      <w:r>
        <w:rPr>
          <w:rFonts w:hint="default" w:ascii="Times New Roman" w:hAnsi="Times New Roman" w:eastAsia="黑体" w:cs="Times New Roman"/>
          <w:bCs/>
          <w:sz w:val="32"/>
          <w:szCs w:val="32"/>
        </w:rPr>
        <w:t>2025年支出</w:t>
      </w:r>
      <w:r>
        <w:rPr>
          <w:rFonts w:hint="eastAsia" w:ascii="Times New Roman" w:hAnsi="Times New Roman" w:eastAsia="黑体" w:cs="Times New Roman"/>
          <w:bCs/>
          <w:sz w:val="32"/>
          <w:szCs w:val="32"/>
        </w:rPr>
        <w:t>总表的说明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b w:val="0"/>
          <w:bCs w:val="0"/>
          <w:kern w:val="0"/>
          <w:sz w:val="32"/>
          <w:szCs w:val="32"/>
        </w:rPr>
        <w:t>2025年支出预算</w:t>
      </w:r>
      <w:r>
        <w:rPr>
          <w:rFonts w:hint="default" w:ascii="Times New Roman" w:hAnsi="Times New Roman" w:eastAsia="仿宋_GB2312" w:cs="Times New Roman"/>
          <w:sz w:val="32"/>
          <w:szCs w:val="32"/>
        </w:rPr>
        <w:t>86.73</w:t>
      </w:r>
      <w:r>
        <w:rPr>
          <w:rFonts w:hint="default" w:ascii="Times New Roman" w:hAnsi="Times New Roman" w:eastAsia="仿宋_GB2312" w:cs="Times New Roman"/>
          <w:b w:val="0"/>
          <w:bCs w:val="0"/>
          <w:kern w:val="0"/>
          <w:sz w:val="32"/>
          <w:szCs w:val="32"/>
        </w:rPr>
        <w:t>万元，比2024年预算增加</w:t>
      </w:r>
      <w:r>
        <w:rPr>
          <w:rFonts w:hint="default" w:ascii="Times New Roman" w:hAnsi="Times New Roman" w:eastAsia="仿宋_GB2312" w:cs="Times New Roman"/>
          <w:b w:val="0"/>
          <w:bCs w:val="0"/>
          <w:sz w:val="32"/>
          <w:szCs w:val="32"/>
        </w:rPr>
        <w:t>10.71</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b w:val="0"/>
          <w:bCs/>
          <w:sz w:val="32"/>
          <w:szCs w:val="32"/>
          <w:highlight w:val="none"/>
        </w:rPr>
        <w:t>14.09%</w:t>
      </w:r>
      <w:r>
        <w:rPr>
          <w:rFonts w:hint="default" w:ascii="Times New Roman" w:hAnsi="Times New Roman" w:eastAsia="仿宋_GB2312" w:cs="Times New Roman"/>
          <w:b w:val="0"/>
          <w:bCs w:val="0"/>
          <w:kern w:val="0"/>
          <w:sz w:val="32"/>
          <w:szCs w:val="32"/>
        </w:rPr>
        <w:t>，</w:t>
      </w:r>
      <w:r>
        <w:rPr>
          <w:rFonts w:hint="eastAsia" w:ascii="Times New Roman" w:hAnsi="Times New Roman" w:eastAsia="仿宋_GB2312" w:cs="Times New Roman"/>
          <w:kern w:val="0"/>
          <w:sz w:val="32"/>
          <w:szCs w:val="32"/>
        </w:rPr>
        <w:t>原因主要是</w:t>
      </w:r>
      <w:r>
        <w:rPr>
          <w:rFonts w:hint="eastAsia" w:ascii="仿宋_GB2312" w:hAnsi="Times New Roman" w:eastAsia="仿宋_GB2312" w:cs="Times New Roman"/>
          <w:sz w:val="32"/>
          <w:szCs w:val="32"/>
          <w:lang w:val="en-US" w:eastAsia="zh-CN"/>
        </w:rPr>
        <w:t>人员增加</w:t>
      </w:r>
      <w:r>
        <w:rPr>
          <w:rFonts w:hint="eastAsia" w:ascii="Times New Roman" w:hAnsi="Times New Roman" w:eastAsia="仿宋_GB2312" w:cs="Times New Roman"/>
          <w:kern w:val="0"/>
          <w:sz w:val="32"/>
          <w:szCs w:val="32"/>
        </w:rPr>
        <w:t>。其中，基本支出</w:t>
      </w:r>
      <w:r>
        <w:rPr>
          <w:rFonts w:hint="default" w:ascii="Times New Roman" w:hAnsi="Times New Roman" w:eastAsia="仿宋_GB2312" w:cs="Times New Roman"/>
          <w:kern w:val="0"/>
          <w:sz w:val="32"/>
          <w:szCs w:val="32"/>
        </w:rPr>
        <w:t>77.93万元，占89.85%，主要用于保障机构</w:t>
      </w:r>
      <w:r>
        <w:rPr>
          <w:rFonts w:hint="default" w:ascii="Times New Roman" w:hAnsi="Times New Roman" w:eastAsia="仿宋_GB2312" w:cs="Times New Roman"/>
          <w:kern w:val="0"/>
          <w:sz w:val="32"/>
          <w:szCs w:val="32"/>
          <w:highlight w:val="none"/>
        </w:rPr>
        <w:t>日常运转、完成日常工作任务；项目支出8.80万元，占10.15%，主要用于</w:t>
      </w:r>
      <w:r>
        <w:rPr>
          <w:rFonts w:hint="eastAsia" w:ascii="仿宋_GB2312" w:hAnsi="楷体" w:eastAsia="仿宋_GB2312"/>
          <w:sz w:val="32"/>
          <w:szCs w:val="32"/>
        </w:rPr>
        <w:t>保障侨联组织履行服务经济发展、依法维护侨益、拓展海外联谊、积极参政议政、弘扬中华文化、参与社会建设六大工作职能</w:t>
      </w:r>
      <w:r>
        <w:rPr>
          <w:rFonts w:hint="default" w:ascii="Times New Roman" w:hAnsi="Times New Roman" w:eastAsia="仿宋_GB2312" w:cs="Times New Roman"/>
          <w:kern w:val="0"/>
          <w:sz w:val="32"/>
          <w:szCs w:val="32"/>
          <w:highlight w:val="none"/>
        </w:rPr>
        <w:t>。</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四、关</w:t>
      </w:r>
      <w:r>
        <w:rPr>
          <w:rFonts w:hint="default" w:ascii="Times New Roman" w:hAnsi="Times New Roman" w:eastAsia="黑体" w:cs="Times New Roman"/>
          <w:bCs/>
          <w:sz w:val="32"/>
          <w:szCs w:val="32"/>
        </w:rPr>
        <w:t>于2025年财</w:t>
      </w:r>
      <w:r>
        <w:rPr>
          <w:rFonts w:hint="eastAsia" w:ascii="Times New Roman" w:hAnsi="Times New Roman" w:eastAsia="黑体" w:cs="Times New Roman"/>
          <w:bCs/>
          <w:sz w:val="32"/>
          <w:szCs w:val="32"/>
        </w:rPr>
        <w:t>政拨款收支总表的说明</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w:t>
      </w:r>
      <w:r>
        <w:rPr>
          <w:rFonts w:hint="eastAsia" w:ascii="Times New Roman" w:hAnsi="Times New Roman" w:eastAsia="仿宋_GB2312" w:cs="Times New Roman"/>
          <w:kern w:val="0"/>
          <w:sz w:val="32"/>
          <w:szCs w:val="32"/>
        </w:rPr>
        <w:t>年财政拨款收支预算</w:t>
      </w:r>
      <w:r>
        <w:rPr>
          <w:rFonts w:hint="default" w:ascii="Times New Roman" w:hAnsi="Times New Roman" w:eastAsia="仿宋_GB2312" w:cs="Times New Roman"/>
          <w:sz w:val="32"/>
          <w:szCs w:val="32"/>
        </w:rPr>
        <w:t>86.73</w:t>
      </w:r>
      <w:r>
        <w:rPr>
          <w:rFonts w:hint="eastAsia" w:ascii="Times New Roman" w:hAnsi="Times New Roman" w:eastAsia="仿宋_GB2312" w:cs="Times New Roman"/>
          <w:kern w:val="0"/>
          <w:sz w:val="32"/>
          <w:szCs w:val="32"/>
        </w:rPr>
        <w:t>万元。收入按资金来源分为：一般公共预算拨款</w:t>
      </w:r>
      <w:r>
        <w:rPr>
          <w:rFonts w:hint="default" w:ascii="Times New Roman" w:hAnsi="Times New Roman" w:eastAsia="仿宋_GB2312" w:cs="Times New Roman"/>
          <w:sz w:val="32"/>
          <w:szCs w:val="32"/>
        </w:rPr>
        <w:t>86.73</w:t>
      </w:r>
      <w:r>
        <w:rPr>
          <w:rFonts w:hint="eastAsia" w:ascii="Times New Roman" w:hAnsi="Times New Roman" w:eastAsia="仿宋_GB2312" w:cs="Times New Roman"/>
          <w:kern w:val="0"/>
          <w:sz w:val="32"/>
          <w:szCs w:val="32"/>
        </w:rPr>
        <w:t>万元、政府性基金预算拨款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w:t>
      </w:r>
      <w:r>
        <w:rPr>
          <w:rFonts w:hint="eastAsia" w:ascii="Times New Roman" w:hAnsi="Times New Roman" w:eastAsia="仿宋_GB2312" w:cs="Times New Roman"/>
          <w:kern w:val="0"/>
          <w:sz w:val="32"/>
          <w:szCs w:val="32"/>
        </w:rPr>
        <w:t>元；按资金年度分为：本年财政拨款收入</w:t>
      </w:r>
      <w:r>
        <w:rPr>
          <w:rFonts w:hint="default" w:ascii="Times New Roman" w:hAnsi="Times New Roman" w:eastAsia="仿宋_GB2312" w:cs="Times New Roman"/>
          <w:sz w:val="32"/>
          <w:szCs w:val="32"/>
        </w:rPr>
        <w:t>86.73</w:t>
      </w:r>
      <w:r>
        <w:rPr>
          <w:rFonts w:hint="eastAsia" w:ascii="Times New Roman" w:hAnsi="Times New Roman" w:eastAsia="仿宋_GB2312" w:cs="Times New Roman"/>
          <w:kern w:val="0"/>
          <w:sz w:val="32"/>
          <w:szCs w:val="32"/>
        </w:rPr>
        <w:t>万元。支出按功能分类分为：一般公共服务支出</w:t>
      </w:r>
      <w:r>
        <w:rPr>
          <w:rFonts w:hint="default" w:ascii="Times New Roman" w:hAnsi="Times New Roman" w:eastAsia="仿宋_GB2312" w:cs="Times New Roman"/>
          <w:kern w:val="0"/>
          <w:sz w:val="32"/>
          <w:szCs w:val="32"/>
        </w:rPr>
        <w:t>64.19万元，占74.01%；社会保障和就业支出10.41万元，占12.01%；卫生健康支出3.12万元，占3.59%；住房保障支出9.01万元，占10.39%</w:t>
      </w:r>
      <w:r>
        <w:rPr>
          <w:rFonts w:hint="eastAsia" w:ascii="Times New Roman" w:hAnsi="Times New Roman" w:eastAsia="仿宋_GB2312" w:cs="Times New Roman"/>
          <w:kern w:val="0"/>
          <w:sz w:val="32"/>
          <w:szCs w:val="32"/>
        </w:rPr>
        <w:t>。</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五、关于</w:t>
      </w:r>
      <w:r>
        <w:rPr>
          <w:rFonts w:hint="default" w:ascii="Times New Roman" w:hAnsi="Times New Roman" w:eastAsia="黑体" w:cs="Times New Roman"/>
          <w:bCs/>
          <w:sz w:val="32"/>
          <w:szCs w:val="32"/>
        </w:rPr>
        <w:t>2025年一</w:t>
      </w:r>
      <w:r>
        <w:rPr>
          <w:rFonts w:hint="eastAsia" w:ascii="Times New Roman" w:hAnsi="Times New Roman" w:eastAsia="黑体" w:cs="Times New Roman"/>
          <w:bCs/>
          <w:sz w:val="32"/>
          <w:szCs w:val="32"/>
        </w:rPr>
        <w:t>般公共预算支出表的说明</w:t>
      </w:r>
    </w:p>
    <w:p>
      <w:pPr>
        <w:pStyle w:val="7"/>
        <w:adjustRightInd w:val="0"/>
        <w:snapToGrid w:val="0"/>
        <w:spacing w:line="560" w:lineRule="exact"/>
        <w:ind w:firstLine="629"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（一）一般公共预算支出规模变化情况。</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2025年一般公共预算支出</w:t>
      </w:r>
      <w:r>
        <w:rPr>
          <w:rFonts w:hint="default" w:ascii="Times New Roman" w:hAnsi="Times New Roman" w:eastAsia="仿宋_GB2312" w:cs="Times New Roman"/>
          <w:sz w:val="32"/>
          <w:szCs w:val="32"/>
        </w:rPr>
        <w:t>86.73</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b w:val="0"/>
          <w:bCs w:val="0"/>
          <w:sz w:val="32"/>
          <w:szCs w:val="32"/>
        </w:rPr>
        <w:t>10.71</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b w:val="0"/>
          <w:bCs/>
          <w:sz w:val="32"/>
          <w:szCs w:val="32"/>
          <w:highlight w:val="none"/>
        </w:rPr>
        <w:t>14.09%</w:t>
      </w:r>
      <w:r>
        <w:rPr>
          <w:rFonts w:hint="default" w:ascii="Times New Roman" w:hAnsi="Times New Roman" w:eastAsia="仿宋_GB2312" w:cs="Times New Roman"/>
          <w:kern w:val="0"/>
          <w:sz w:val="32"/>
          <w:szCs w:val="32"/>
        </w:rPr>
        <w:t>，主要原因</w:t>
      </w:r>
      <w:r>
        <w:rPr>
          <w:rFonts w:hint="default" w:ascii="Times New Roman" w:hAnsi="Times New Roman" w:eastAsia="仿宋_GB2312" w:cs="Times New Roman"/>
          <w:kern w:val="0"/>
          <w:sz w:val="32"/>
          <w:szCs w:val="32"/>
          <w:lang w:val="en-US" w:eastAsia="zh-CN"/>
        </w:rPr>
        <w:t>是</w:t>
      </w:r>
      <w:r>
        <w:rPr>
          <w:rFonts w:hint="eastAsia" w:ascii="仿宋_GB2312" w:hAnsi="Times New Roman" w:eastAsia="仿宋_GB2312" w:cs="Times New Roman"/>
          <w:sz w:val="32"/>
          <w:szCs w:val="32"/>
          <w:lang w:val="en-US" w:eastAsia="zh-CN"/>
        </w:rPr>
        <w:t>人员增加</w:t>
      </w:r>
      <w:r>
        <w:rPr>
          <w:rFonts w:hint="eastAsia" w:ascii="Times New Roman" w:hAnsi="Times New Roman" w:eastAsia="仿宋_GB2312" w:cs="Times New Roman"/>
          <w:kern w:val="0"/>
          <w:sz w:val="32"/>
          <w:szCs w:val="32"/>
        </w:rPr>
        <w:t>。</w:t>
      </w:r>
    </w:p>
    <w:p>
      <w:pPr>
        <w:pStyle w:val="7"/>
        <w:adjustRightInd w:val="0"/>
        <w:snapToGrid w:val="0"/>
        <w:spacing w:line="560" w:lineRule="exact"/>
        <w:ind w:firstLine="629"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（二）一般公共预算支出结构情况。</w:t>
      </w:r>
    </w:p>
    <w:p>
      <w:pPr>
        <w:pStyle w:val="7"/>
        <w:adjustRightInd w:val="0"/>
        <w:snapToGrid w:val="0"/>
        <w:spacing w:line="560" w:lineRule="exact"/>
        <w:ind w:firstLine="627" w:firstLineChars="196"/>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一般公共服务支出</w:t>
      </w:r>
      <w:r>
        <w:rPr>
          <w:rFonts w:hint="default" w:ascii="Times New Roman" w:hAnsi="Times New Roman" w:eastAsia="仿宋_GB2312" w:cs="Times New Roman"/>
          <w:kern w:val="0"/>
          <w:sz w:val="32"/>
          <w:szCs w:val="32"/>
        </w:rPr>
        <w:t>64.19万元，占74.01%；社会保障和就业支出10.41万元，占12.01%；卫生健康支出3.12万元，占3.59%；住房保障支出9.01万元，占10.39%</w:t>
      </w:r>
      <w:r>
        <w:rPr>
          <w:rFonts w:hint="eastAsia" w:ascii="Times New Roman" w:hAnsi="Times New Roman" w:eastAsia="仿宋_GB2312" w:cs="Times New Roman"/>
          <w:kern w:val="0"/>
          <w:sz w:val="32"/>
          <w:szCs w:val="32"/>
        </w:rPr>
        <w:t>。</w:t>
      </w:r>
    </w:p>
    <w:p>
      <w:pPr>
        <w:pStyle w:val="7"/>
        <w:adjustRightInd w:val="0"/>
        <w:snapToGrid w:val="0"/>
        <w:spacing w:line="560" w:lineRule="exact"/>
        <w:ind w:firstLine="629" w:firstLineChars="196"/>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（三）一般公共预算支出具体使用情况。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1、一般公共服务支出（类）政府办公厅（室）及相关机构事务（款）行政运行（项）2025年预算55.39万元，比2024年预算增加11.08万元，增长25.01%，原因主要是</w:t>
      </w:r>
      <w:r>
        <w:rPr>
          <w:rFonts w:hint="eastAsia" w:ascii="仿宋_GB2312" w:hAnsi="Times New Roman" w:eastAsia="仿宋_GB2312" w:cs="Times New Roman"/>
          <w:sz w:val="32"/>
          <w:szCs w:val="32"/>
          <w:lang w:val="en-US" w:eastAsia="zh-CN"/>
        </w:rPr>
        <w:t>人员增加</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、一般公共服务支出（类）政府办公厅（室）及相关机构事务（款）一般行政管理事务（项）2025年预算8.80万元，比2024年预算</w:t>
      </w:r>
      <w:r>
        <w:rPr>
          <w:rFonts w:hint="eastAsia" w:ascii="Times New Roman" w:hAnsi="Times New Roman" w:eastAsia="仿宋_GB2312" w:cs="Times New Roman"/>
          <w:kern w:val="0"/>
          <w:sz w:val="32"/>
          <w:szCs w:val="32"/>
          <w:lang w:val="en-US" w:eastAsia="zh-CN"/>
        </w:rPr>
        <w:t>减少</w:t>
      </w:r>
      <w:r>
        <w:rPr>
          <w:rFonts w:hint="default" w:ascii="Times New Roman" w:hAnsi="Times New Roman" w:eastAsia="仿宋_GB2312" w:cs="Times New Roman"/>
          <w:kern w:val="0"/>
          <w:sz w:val="32"/>
          <w:szCs w:val="32"/>
        </w:rPr>
        <w:t>2.20万元，</w:t>
      </w:r>
      <w:r>
        <w:rPr>
          <w:rFonts w:hint="eastAsia" w:ascii="Times New Roman" w:hAnsi="Times New Roman" w:eastAsia="仿宋_GB2312" w:cs="Times New Roman"/>
          <w:kern w:val="0"/>
          <w:sz w:val="32"/>
          <w:szCs w:val="32"/>
          <w:lang w:val="en-US" w:eastAsia="zh-CN"/>
        </w:rPr>
        <w:t>下降20</w:t>
      </w:r>
      <w:r>
        <w:rPr>
          <w:rFonts w:hint="default"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lang w:eastAsia="zh-CN"/>
        </w:rPr>
        <w:t>根据财政部门要求，</w:t>
      </w:r>
      <w:r>
        <w:rPr>
          <w:rFonts w:hint="eastAsia" w:ascii="Times New Roman" w:hAnsi="Times New Roman" w:eastAsia="仿宋_GB2312" w:cs="Times New Roman"/>
          <w:sz w:val="32"/>
          <w:szCs w:val="32"/>
          <w:lang w:val="en-US" w:eastAsia="zh-CN"/>
        </w:rPr>
        <w:t>厉行节约，压减20%</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、社会保障和就业支出（类）行政事业单位养老支出（款）机关事业单位基本养老保险缴费支出（项）2025年预算6.90万元，比2024年预算增加1.39万元，增长25.28%，原因主要是</w:t>
      </w:r>
      <w:r>
        <w:rPr>
          <w:rFonts w:hint="eastAsia" w:ascii="仿宋_GB2312" w:hAnsi="Times New Roman" w:eastAsia="仿宋_GB2312" w:cs="Times New Roman"/>
          <w:sz w:val="32"/>
          <w:szCs w:val="32"/>
          <w:lang w:val="en-US" w:eastAsia="zh-CN"/>
        </w:rPr>
        <w:t>人员增加</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、社会保障和就业支出（类）行政事业单位养老支出（款）机关事业单位职业年金缴费支出（项）2025年预算3.45万元，比2024年预算增加0.70万元，增长25.28%，原因主要是</w:t>
      </w:r>
      <w:r>
        <w:rPr>
          <w:rFonts w:hint="eastAsia" w:ascii="仿宋_GB2312" w:hAnsi="Times New Roman" w:eastAsia="仿宋_GB2312" w:cs="Times New Roman"/>
          <w:sz w:val="32"/>
          <w:szCs w:val="32"/>
          <w:lang w:val="en-US" w:eastAsia="zh-CN"/>
        </w:rPr>
        <w:t>人员增加</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、社会保障和就业支出（类）其他社会保障和就业支出（款）其他社会保障和就业支出（项）2025年预算0.06万元，比2024年预算增加0.01万元，增长25.35%，原因主要是</w:t>
      </w:r>
      <w:r>
        <w:rPr>
          <w:rFonts w:hint="eastAsia" w:ascii="仿宋_GB2312" w:hAnsi="Times New Roman" w:eastAsia="仿宋_GB2312" w:cs="Times New Roman"/>
          <w:sz w:val="32"/>
          <w:szCs w:val="32"/>
          <w:lang w:val="en-US" w:eastAsia="zh-CN"/>
        </w:rPr>
        <w:t>人员增加</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、卫生健康支出（类）行政事业单位医疗（款）行政单位医疗（项）2025年预算2.20万元，比2024年预算增加0.15万元，增长7.44%，原因主要是</w:t>
      </w:r>
      <w:r>
        <w:rPr>
          <w:rFonts w:hint="eastAsia" w:ascii="仿宋_GB2312" w:hAnsi="Times New Roman" w:eastAsia="仿宋_GB2312" w:cs="Times New Roman"/>
          <w:sz w:val="32"/>
          <w:szCs w:val="32"/>
          <w:lang w:val="en-US" w:eastAsia="zh-CN"/>
        </w:rPr>
        <w:t>人员增加</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、卫生健康支出（类）行政事业单位医疗（款）公务员医疗补助（项）2025年预算0.92万元，比2024年预算增加0.19万元，增长25.35%，原因主要是</w:t>
      </w:r>
      <w:r>
        <w:rPr>
          <w:rFonts w:hint="eastAsia" w:ascii="仿宋_GB2312" w:hAnsi="Times New Roman" w:eastAsia="仿宋_GB2312" w:cs="Times New Roman"/>
          <w:sz w:val="32"/>
          <w:szCs w:val="32"/>
          <w:lang w:val="en-US" w:eastAsia="zh-CN"/>
        </w:rPr>
        <w:t>人员增加</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、住房保障支出（类）住房改革支出（款）住房公积金（项）2025年预算6.36万元，比2024年预算</w:t>
      </w:r>
      <w:r>
        <w:rPr>
          <w:rFonts w:hint="eastAsia" w:ascii="Times New Roman" w:hAnsi="Times New Roman" w:eastAsia="仿宋_GB2312" w:cs="Times New Roman"/>
          <w:kern w:val="0"/>
          <w:sz w:val="32"/>
          <w:szCs w:val="32"/>
          <w:lang w:val="en-US" w:eastAsia="zh-CN"/>
        </w:rPr>
        <w:t>减少</w:t>
      </w:r>
      <w:r>
        <w:rPr>
          <w:rFonts w:hint="default" w:ascii="Times New Roman" w:hAnsi="Times New Roman" w:eastAsia="仿宋_GB2312" w:cs="Times New Roman"/>
          <w:kern w:val="0"/>
          <w:sz w:val="32"/>
          <w:szCs w:val="32"/>
        </w:rPr>
        <w:t>0.42万元，</w:t>
      </w:r>
      <w:r>
        <w:rPr>
          <w:rFonts w:hint="eastAsia" w:ascii="Times New Roman" w:hAnsi="Times New Roman" w:eastAsia="仿宋_GB2312" w:cs="Times New Roman"/>
          <w:kern w:val="0"/>
          <w:sz w:val="32"/>
          <w:szCs w:val="32"/>
          <w:lang w:val="en-US" w:eastAsia="zh-CN"/>
        </w:rPr>
        <w:t>下降</w:t>
      </w:r>
      <w:r>
        <w:rPr>
          <w:rFonts w:hint="default" w:ascii="Times New Roman" w:hAnsi="Times New Roman" w:eastAsia="仿宋_GB2312" w:cs="Times New Roman"/>
          <w:kern w:val="0"/>
          <w:sz w:val="32"/>
          <w:szCs w:val="32"/>
        </w:rPr>
        <w:t>6.25%，原因主要是</w:t>
      </w:r>
      <w:r>
        <w:rPr>
          <w:rFonts w:hint="eastAsia" w:ascii="仿宋_GB2312" w:hAnsi="Times New Roman" w:eastAsia="仿宋_GB2312" w:cs="Times New Roman"/>
          <w:sz w:val="32"/>
          <w:szCs w:val="32"/>
          <w:lang w:val="en-US" w:eastAsia="zh-CN"/>
        </w:rPr>
        <w:t>公积金基数调整</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、住房保障支出（类）住房改革支出（款）购房补贴（项）2025年预算2.65万元，比2024年预算</w:t>
      </w:r>
      <w:r>
        <w:rPr>
          <w:rFonts w:hint="eastAsia" w:ascii="Times New Roman" w:hAnsi="Times New Roman" w:eastAsia="仿宋_GB2312" w:cs="Times New Roman"/>
          <w:kern w:val="0"/>
          <w:sz w:val="32"/>
          <w:szCs w:val="32"/>
          <w:lang w:val="en-US" w:eastAsia="zh-CN"/>
        </w:rPr>
        <w:t>减少</w:t>
      </w:r>
      <w:r>
        <w:rPr>
          <w:rFonts w:hint="default" w:ascii="Times New Roman" w:hAnsi="Times New Roman" w:eastAsia="仿宋_GB2312" w:cs="Times New Roman"/>
          <w:kern w:val="0"/>
          <w:sz w:val="32"/>
          <w:szCs w:val="32"/>
        </w:rPr>
        <w:t>0.18万元，</w:t>
      </w:r>
      <w:r>
        <w:rPr>
          <w:rFonts w:hint="eastAsia" w:ascii="Times New Roman" w:hAnsi="Times New Roman" w:eastAsia="仿宋_GB2312" w:cs="Times New Roman"/>
          <w:kern w:val="0"/>
          <w:sz w:val="32"/>
          <w:szCs w:val="32"/>
          <w:lang w:val="en-US" w:eastAsia="zh-CN"/>
        </w:rPr>
        <w:t>下降</w:t>
      </w:r>
      <w:r>
        <w:rPr>
          <w:rFonts w:hint="default" w:ascii="Times New Roman" w:hAnsi="Times New Roman" w:eastAsia="仿宋_GB2312" w:cs="Times New Roman"/>
          <w:kern w:val="0"/>
          <w:sz w:val="32"/>
          <w:szCs w:val="32"/>
        </w:rPr>
        <w:t>6.25%，原因主要是</w:t>
      </w:r>
      <w:r>
        <w:rPr>
          <w:rFonts w:hint="eastAsia" w:ascii="仿宋_GB2312" w:hAnsi="Times New Roman" w:eastAsia="仿宋_GB2312" w:cs="Times New Roman"/>
          <w:sz w:val="32"/>
          <w:szCs w:val="32"/>
          <w:lang w:val="en-US" w:eastAsia="zh-CN"/>
        </w:rPr>
        <w:t>公积金基数调整</w:t>
      </w:r>
      <w:r>
        <w:rPr>
          <w:rFonts w:hint="default" w:ascii="Times New Roman" w:hAnsi="Times New Roman" w:eastAsia="仿宋_GB2312" w:cs="Times New Roman"/>
          <w:kern w:val="0"/>
          <w:sz w:val="32"/>
          <w:szCs w:val="32"/>
        </w:rPr>
        <w:t>。</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六、关于</w:t>
      </w:r>
      <w:r>
        <w:rPr>
          <w:rFonts w:hint="default" w:ascii="Times New Roman" w:hAnsi="Times New Roman" w:eastAsia="黑体" w:cs="Times New Roman"/>
          <w:bCs/>
          <w:sz w:val="32"/>
          <w:szCs w:val="32"/>
        </w:rPr>
        <w:t>2025年一</w:t>
      </w:r>
      <w:r>
        <w:rPr>
          <w:rFonts w:hint="eastAsia" w:ascii="Times New Roman" w:hAnsi="Times New Roman" w:eastAsia="黑体" w:cs="Times New Roman"/>
          <w:bCs/>
          <w:sz w:val="32"/>
          <w:szCs w:val="32"/>
        </w:rPr>
        <w:t>般公共预算基本支出表的说明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2025年一般公共预算基本支出77.93万元，其中，人员经费68.07万元，公用经费9.87万元。</w:t>
      </w:r>
    </w:p>
    <w:p>
      <w:pPr>
        <w:numPr>
          <w:ilvl w:val="0"/>
          <w:numId w:val="1"/>
        </w:numPr>
        <w:ind w:firstLine="642"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kern w:val="0"/>
          <w:sz w:val="32"/>
          <w:szCs w:val="32"/>
        </w:rPr>
        <w:t>人员经费</w:t>
      </w:r>
      <w:r>
        <w:rPr>
          <w:rFonts w:hint="default" w:ascii="Times New Roman" w:hAnsi="Times New Roman" w:eastAsia="仿宋_GB2312" w:cs="Times New Roman"/>
          <w:b/>
          <w:kern w:val="0"/>
          <w:sz w:val="32"/>
          <w:szCs w:val="32"/>
        </w:rPr>
        <w:t>68.07万</w:t>
      </w:r>
      <w:r>
        <w:rPr>
          <w:rFonts w:hint="eastAsia" w:ascii="Times New Roman" w:hAnsi="Times New Roman" w:eastAsia="仿宋_GB2312" w:cs="Times New Roman"/>
          <w:b/>
          <w:kern w:val="0"/>
          <w:sz w:val="32"/>
          <w:szCs w:val="32"/>
        </w:rPr>
        <w:t>元，</w:t>
      </w:r>
      <w:r>
        <w:rPr>
          <w:rFonts w:hint="eastAsia" w:ascii="Times New Roman" w:hAnsi="Times New Roman" w:eastAsia="仿宋_GB2312" w:cs="Times New Roman"/>
          <w:kern w:val="0"/>
          <w:sz w:val="32"/>
          <w:szCs w:val="32"/>
        </w:rPr>
        <w:t>主要包括:基本工资、津贴补贴、奖金、机关事业单位基本养老保险费、职业年金缴费、职工基本医疗保险缴费、公务员医疗补助缴费、其他社会保障缴费、住房公积金、办公费</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工会经费、福利费。</w:t>
      </w:r>
    </w:p>
    <w:p>
      <w:pPr>
        <w:ind w:firstLine="642"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kern w:val="0"/>
          <w:sz w:val="32"/>
          <w:szCs w:val="32"/>
        </w:rPr>
        <w:t>（二）公用经费</w:t>
      </w:r>
      <w:r>
        <w:rPr>
          <w:rFonts w:hint="default" w:ascii="Times New Roman" w:hAnsi="Times New Roman" w:eastAsia="仿宋_GB2312" w:cs="Times New Roman"/>
          <w:b/>
          <w:kern w:val="0"/>
          <w:sz w:val="32"/>
          <w:szCs w:val="32"/>
        </w:rPr>
        <w:t>9.87万</w:t>
      </w:r>
      <w:r>
        <w:rPr>
          <w:rFonts w:hint="eastAsia" w:ascii="Times New Roman" w:hAnsi="Times New Roman" w:eastAsia="仿宋_GB2312" w:cs="Times New Roman"/>
          <w:b/>
          <w:kern w:val="0"/>
          <w:sz w:val="32"/>
          <w:szCs w:val="32"/>
        </w:rPr>
        <w:t>元，</w:t>
      </w:r>
      <w:r>
        <w:rPr>
          <w:rFonts w:hint="eastAsia" w:ascii="Times New Roman" w:hAnsi="Times New Roman" w:eastAsia="仿宋_GB2312" w:cs="Times New Roman"/>
          <w:kern w:val="0"/>
          <w:sz w:val="32"/>
          <w:szCs w:val="32"/>
        </w:rPr>
        <w:t>主要包括：办公费</w:t>
      </w:r>
      <w:r>
        <w:rPr>
          <w:rFonts w:hint="eastAsia" w:ascii="Times New Roman" w:hAnsi="Times New Roman" w:eastAsia="仿宋_GB2312" w:cs="Times New Roman"/>
          <w:kern w:val="0"/>
          <w:sz w:val="32"/>
          <w:szCs w:val="32"/>
          <w:lang w:eastAsia="zh-CN"/>
        </w:rPr>
        <w:t>、邮电费、差旅费、会议费、</w:t>
      </w:r>
      <w:r>
        <w:rPr>
          <w:rFonts w:hint="eastAsia" w:ascii="Times New Roman" w:hAnsi="Times New Roman" w:eastAsia="仿宋_GB2312" w:cs="Times New Roman"/>
          <w:kern w:val="0"/>
          <w:sz w:val="32"/>
          <w:szCs w:val="32"/>
        </w:rPr>
        <w:t>其他交通费用、其他商品服务支出。</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七、关于</w:t>
      </w:r>
      <w:r>
        <w:rPr>
          <w:rFonts w:hint="default" w:ascii="Times New Roman" w:hAnsi="Times New Roman" w:eastAsia="黑体" w:cs="Times New Roman"/>
          <w:bCs/>
          <w:sz w:val="32"/>
          <w:szCs w:val="32"/>
        </w:rPr>
        <w:t>2025年政府</w:t>
      </w:r>
      <w:r>
        <w:rPr>
          <w:rFonts w:hint="eastAsia" w:ascii="Times New Roman" w:hAnsi="Times New Roman" w:eastAsia="黑体" w:cs="Times New Roman"/>
          <w:bCs/>
          <w:sz w:val="32"/>
          <w:szCs w:val="32"/>
        </w:rPr>
        <w:t>性基金预算支出表的说明</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2025年</w:t>
      </w:r>
      <w:r>
        <w:rPr>
          <w:rFonts w:hint="eastAsia" w:ascii="Times New Roman" w:hAnsi="Times New Roman" w:eastAsia="仿宋_GB2312" w:cs="Times New Roman"/>
          <w:kern w:val="0"/>
          <w:sz w:val="32"/>
          <w:szCs w:val="32"/>
        </w:rPr>
        <w:t>没有政府性基金预算拨款收入，也没有使用政府性基金预算拨款安排的支出。</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八、关于</w:t>
      </w:r>
      <w:r>
        <w:rPr>
          <w:rFonts w:hint="default" w:ascii="Times New Roman" w:hAnsi="Times New Roman" w:eastAsia="黑体" w:cs="Times New Roman"/>
          <w:bCs/>
          <w:sz w:val="32"/>
          <w:szCs w:val="32"/>
        </w:rPr>
        <w:t>2025年</w:t>
      </w:r>
      <w:r>
        <w:rPr>
          <w:rFonts w:hint="eastAsia" w:ascii="Times New Roman" w:hAnsi="Times New Roman" w:eastAsia="黑体" w:cs="Times New Roman"/>
          <w:bCs/>
          <w:sz w:val="32"/>
          <w:szCs w:val="32"/>
        </w:rPr>
        <w:t>国有资本经营预算支出表的说明</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2025年没有国有资本经营预算拨款收入，也没有使用国有资本经营预</w:t>
      </w:r>
      <w:r>
        <w:rPr>
          <w:rFonts w:hint="eastAsia" w:ascii="Times New Roman" w:hAnsi="Times New Roman" w:eastAsia="仿宋_GB2312" w:cs="Times New Roman"/>
          <w:kern w:val="0"/>
          <w:sz w:val="32"/>
          <w:szCs w:val="32"/>
        </w:rPr>
        <w:t>算拨款安排的支出。</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九、关于</w:t>
      </w:r>
      <w:r>
        <w:rPr>
          <w:rFonts w:hint="default" w:ascii="Times New Roman" w:hAnsi="Times New Roman" w:eastAsia="黑体" w:cs="Times New Roman"/>
          <w:bCs/>
          <w:sz w:val="32"/>
          <w:szCs w:val="32"/>
        </w:rPr>
        <w:t>2025年项</w:t>
      </w:r>
      <w:r>
        <w:rPr>
          <w:rFonts w:hint="eastAsia" w:ascii="Times New Roman" w:hAnsi="Times New Roman" w:eastAsia="黑体" w:cs="Times New Roman"/>
          <w:bCs/>
          <w:sz w:val="32"/>
          <w:szCs w:val="32"/>
        </w:rPr>
        <w:t>目支出表的说明</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2025年预算共安排项目支出8.80万元，比2024年预算</w:t>
      </w:r>
      <w:r>
        <w:rPr>
          <w:rFonts w:hint="eastAsia" w:ascii="Times New Roman" w:hAnsi="Times New Roman" w:eastAsia="仿宋_GB2312" w:cs="Times New Roman"/>
          <w:kern w:val="0"/>
          <w:sz w:val="32"/>
          <w:szCs w:val="32"/>
          <w:lang w:val="en-US" w:eastAsia="zh-CN"/>
        </w:rPr>
        <w:t>减少</w:t>
      </w:r>
      <w:r>
        <w:rPr>
          <w:rFonts w:hint="default" w:ascii="Times New Roman" w:hAnsi="Times New Roman" w:eastAsia="仿宋_GB2312" w:cs="Times New Roman"/>
          <w:kern w:val="0"/>
          <w:sz w:val="32"/>
          <w:szCs w:val="32"/>
        </w:rPr>
        <w:t>2.20万元，</w:t>
      </w:r>
      <w:r>
        <w:rPr>
          <w:rFonts w:hint="eastAsia" w:ascii="Times New Roman" w:hAnsi="Times New Roman" w:eastAsia="仿宋_GB2312" w:cs="Times New Roman"/>
          <w:kern w:val="0"/>
          <w:sz w:val="32"/>
          <w:szCs w:val="32"/>
          <w:lang w:val="en-US" w:eastAsia="zh-CN"/>
        </w:rPr>
        <w:t>下降20</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lang w:eastAsia="zh-CN"/>
        </w:rPr>
        <w:t>接财政通知，</w:t>
      </w:r>
      <w:r>
        <w:rPr>
          <w:rFonts w:hint="eastAsia" w:ascii="Times New Roman" w:hAnsi="Times New Roman" w:eastAsia="仿宋_GB2312" w:cs="Times New Roman"/>
          <w:sz w:val="32"/>
          <w:szCs w:val="32"/>
          <w:lang w:val="en-US" w:eastAsia="zh-CN"/>
        </w:rPr>
        <w:t>厉行节约，压减20%</w:t>
      </w:r>
      <w:r>
        <w:rPr>
          <w:rFonts w:hint="eastAsia" w:ascii="Times New Roman" w:hAnsi="Times New Roman" w:eastAsia="仿宋_GB2312" w:cs="Times New Roman"/>
          <w:kern w:val="0"/>
          <w:sz w:val="32"/>
          <w:szCs w:val="32"/>
        </w:rPr>
        <w:t>。主要包括：本年财政拨款安排</w:t>
      </w:r>
      <w:r>
        <w:rPr>
          <w:rFonts w:hint="default" w:ascii="Times New Roman" w:hAnsi="Times New Roman" w:eastAsia="仿宋_GB2312" w:cs="Times New Roman"/>
          <w:kern w:val="0"/>
          <w:sz w:val="32"/>
          <w:szCs w:val="32"/>
        </w:rPr>
        <w:t>8.80</w:t>
      </w:r>
      <w:r>
        <w:rPr>
          <w:rFonts w:hint="eastAsia" w:ascii="Times New Roman" w:hAnsi="Times New Roman" w:eastAsia="仿宋_GB2312" w:cs="Times New Roman"/>
          <w:kern w:val="0"/>
          <w:sz w:val="32"/>
          <w:szCs w:val="32"/>
        </w:rPr>
        <w:t>万元（其中，一般公共预算拨款安排</w:t>
      </w:r>
      <w:r>
        <w:rPr>
          <w:rFonts w:hint="default" w:ascii="Times New Roman" w:hAnsi="Times New Roman" w:eastAsia="仿宋_GB2312" w:cs="Times New Roman"/>
          <w:kern w:val="0"/>
          <w:sz w:val="32"/>
          <w:szCs w:val="32"/>
        </w:rPr>
        <w:t>8.80</w:t>
      </w:r>
      <w:r>
        <w:rPr>
          <w:rFonts w:hint="eastAsia" w:ascii="Times New Roman" w:hAnsi="Times New Roman" w:eastAsia="仿宋_GB2312" w:cs="Times New Roman"/>
          <w:kern w:val="0"/>
          <w:sz w:val="32"/>
          <w:szCs w:val="32"/>
        </w:rPr>
        <w:t>万元，政府性基金预算</w:t>
      </w:r>
      <w:r>
        <w:rPr>
          <w:rFonts w:hint="default" w:ascii="Times New Roman" w:hAnsi="Times New Roman" w:eastAsia="仿宋_GB2312" w:cs="Times New Roman"/>
          <w:kern w:val="0"/>
          <w:sz w:val="32"/>
          <w:szCs w:val="32"/>
        </w:rPr>
        <w:t>拨款安排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十、关于</w:t>
      </w:r>
      <w:r>
        <w:rPr>
          <w:rFonts w:hint="default" w:ascii="Times New Roman" w:hAnsi="Times New Roman" w:eastAsia="黑体" w:cs="Times New Roman"/>
          <w:bCs/>
          <w:sz w:val="32"/>
          <w:szCs w:val="32"/>
        </w:rPr>
        <w:t>2025年政</w:t>
      </w:r>
      <w:r>
        <w:rPr>
          <w:rFonts w:hint="eastAsia" w:ascii="Times New Roman" w:hAnsi="Times New Roman" w:eastAsia="黑体" w:cs="Times New Roman"/>
          <w:bCs/>
          <w:sz w:val="32"/>
          <w:szCs w:val="32"/>
        </w:rPr>
        <w:t>府采购支出表的说明</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w:t>
      </w:r>
      <w:r>
        <w:rPr>
          <w:rFonts w:hint="eastAsia" w:ascii="Times New Roman" w:hAnsi="Times New Roman" w:eastAsia="仿宋_GB2312" w:cs="Times New Roman"/>
          <w:kern w:val="0"/>
          <w:sz w:val="32"/>
          <w:szCs w:val="32"/>
        </w:rPr>
        <w:t>年没有使用一般公共预算拨款、政府性基金预算拨款、国有资本经营预算拨款、财政专户管理资金和单位资金安排的政府采购支出。</w:t>
      </w:r>
    </w:p>
    <w:p>
      <w:pPr>
        <w:pStyle w:val="7"/>
        <w:adjustRightInd w:val="0"/>
        <w:snapToGrid w:val="0"/>
        <w:spacing w:line="560" w:lineRule="exact"/>
        <w:ind w:firstLine="627" w:firstLineChars="196"/>
        <w:rPr>
          <w:rFonts w:ascii="Times New Roman" w:hAnsi="Times New Roman" w:eastAsia="黑体" w:cs="Times New Roman"/>
          <w:bCs/>
          <w:sz w:val="32"/>
          <w:szCs w:val="32"/>
        </w:rPr>
      </w:pPr>
      <w:r>
        <w:rPr>
          <w:rFonts w:hint="eastAsia" w:ascii="Times New Roman" w:hAnsi="Times New Roman" w:eastAsia="黑体" w:cs="Times New Roman"/>
          <w:bCs/>
          <w:sz w:val="32"/>
          <w:szCs w:val="32"/>
        </w:rPr>
        <w:t>十一、关</w:t>
      </w:r>
      <w:r>
        <w:rPr>
          <w:rFonts w:hint="default" w:ascii="Times New Roman" w:hAnsi="Times New Roman" w:eastAsia="黑体" w:cs="Times New Roman"/>
          <w:bCs/>
          <w:sz w:val="32"/>
          <w:szCs w:val="32"/>
        </w:rPr>
        <w:t>于2025年政府</w:t>
      </w:r>
      <w:r>
        <w:rPr>
          <w:rFonts w:hint="eastAsia" w:ascii="Times New Roman" w:hAnsi="Times New Roman" w:eastAsia="黑体" w:cs="Times New Roman"/>
          <w:bCs/>
          <w:sz w:val="32"/>
          <w:szCs w:val="32"/>
        </w:rPr>
        <w:t>购买服务支出表的说明</w:t>
      </w:r>
    </w:p>
    <w:p>
      <w:pPr>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2025年没</w:t>
      </w:r>
      <w:r>
        <w:rPr>
          <w:rFonts w:hint="eastAsia" w:ascii="Times New Roman" w:hAnsi="Times New Roman" w:eastAsia="仿宋_GB2312" w:cs="Times New Roman"/>
          <w:kern w:val="0"/>
          <w:sz w:val="32"/>
          <w:szCs w:val="32"/>
        </w:rPr>
        <w:t>有安排政府购买服务支出。</w:t>
      </w:r>
    </w:p>
    <w:p>
      <w:pPr>
        <w:widowControl/>
        <w:adjustRightInd w:val="0"/>
        <w:snapToGrid w:val="0"/>
        <w:spacing w:before="100" w:beforeAutospacing="1" w:after="100" w:afterAutospacing="1" w:line="560" w:lineRule="exact"/>
        <w:ind w:firstLine="640" w:firstLineChars="200"/>
        <w:jc w:val="left"/>
        <w:rPr>
          <w:rFonts w:ascii="TimesNewRoman" w:hAnsi="TimesNewRoman" w:eastAsia="黑体" w:cs="TimesNewRoman"/>
          <w:kern w:val="0"/>
          <w:sz w:val="32"/>
          <w:szCs w:val="32"/>
          <w:highlight w:val="none"/>
          <w:lang w:val="en-US" w:eastAsia="zh-CN" w:bidi="ar-SA"/>
        </w:rPr>
      </w:pPr>
      <w:r>
        <w:rPr>
          <w:rFonts w:ascii="TimesNewRoman" w:hAnsi="TimesNewRoman" w:eastAsia="黑体" w:cs="TimesNewRoman"/>
          <w:kern w:val="0"/>
          <w:sz w:val="32"/>
          <w:szCs w:val="32"/>
          <w:highlight w:val="none"/>
          <w:lang w:val="en-US" w:eastAsia="zh-CN" w:bidi="ar-SA"/>
        </w:rPr>
        <w:t>十</w:t>
      </w:r>
      <w:r>
        <w:rPr>
          <w:rFonts w:hint="eastAsia" w:ascii="TimesNewRoman" w:hAnsi="TimesNewRoman" w:eastAsia="黑体" w:cs="TimesNewRoman"/>
          <w:kern w:val="0"/>
          <w:sz w:val="32"/>
          <w:szCs w:val="32"/>
          <w:highlight w:val="none"/>
          <w:lang w:val="en-US" w:eastAsia="zh-CN" w:bidi="ar-SA"/>
        </w:rPr>
        <w:t>二</w:t>
      </w:r>
      <w:r>
        <w:rPr>
          <w:rFonts w:ascii="TimesNewRoman" w:hAnsi="TimesNewRoman" w:eastAsia="黑体" w:cs="TimesNewRoman"/>
          <w:kern w:val="0"/>
          <w:sz w:val="32"/>
          <w:szCs w:val="32"/>
          <w:highlight w:val="none"/>
          <w:lang w:val="en-US" w:eastAsia="zh-CN" w:bidi="ar-SA"/>
        </w:rPr>
        <w:t>、关于</w:t>
      </w:r>
      <w:r>
        <w:rPr>
          <w:rFonts w:hint="eastAsia" w:ascii="Times New Roman" w:hAnsi="Times New Roman" w:eastAsia="黑体" w:cs="Times New Roman"/>
          <w:bCs/>
          <w:kern w:val="0"/>
          <w:sz w:val="32"/>
          <w:szCs w:val="32"/>
          <w:highlight w:val="none"/>
          <w:lang w:val="en-US" w:eastAsia="zh-CN" w:bidi="ar-SA"/>
        </w:rPr>
        <w:t>2025</w:t>
      </w:r>
      <w:r>
        <w:rPr>
          <w:rFonts w:ascii="TimesNewRoman" w:hAnsi="TimesNewRoman" w:eastAsia="黑体" w:cs="TimesNewRoman"/>
          <w:kern w:val="0"/>
          <w:sz w:val="32"/>
          <w:szCs w:val="32"/>
          <w:highlight w:val="none"/>
          <w:lang w:val="en-US" w:eastAsia="zh-CN" w:bidi="ar-SA"/>
        </w:rPr>
        <w:t>年通用资产配置支出表的说明</w:t>
      </w:r>
    </w:p>
    <w:p>
      <w:pPr>
        <w:widowControl/>
        <w:adjustRightInd w:val="0"/>
        <w:snapToGrid w:val="0"/>
        <w:spacing w:before="100" w:beforeAutospacing="1" w:after="100" w:afterAutospacing="1" w:line="560" w:lineRule="exact"/>
        <w:ind w:firstLine="640" w:firstLineChars="200"/>
        <w:jc w:val="left"/>
        <w:outlineLvl w:val="0"/>
        <w:rPr>
          <w:rFonts w:ascii="TimesNewRoman" w:hAnsi="TimesNewRoman" w:eastAsia="仿宋_GB2312" w:cs="TimesNew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eastAsia="zh-CN"/>
        </w:rPr>
        <w:t>淮北市归国华侨联合会</w:t>
      </w:r>
      <w:r>
        <w:rPr>
          <w:rFonts w:hint="eastAsia" w:ascii="Times New Roman" w:hAnsi="Times New Roman" w:eastAsia="仿宋_GB2312" w:cs="Times New Roman"/>
          <w:kern w:val="0"/>
          <w:sz w:val="32"/>
          <w:szCs w:val="32"/>
          <w:highlight w:val="none"/>
          <w:lang w:val="en-US" w:eastAsia="zh-CN" w:bidi="ar-SA"/>
        </w:rPr>
        <w:t>2025</w:t>
      </w:r>
      <w:r>
        <w:rPr>
          <w:rFonts w:ascii="TimesNewRoman" w:hAnsi="TimesNewRoman" w:eastAsia="仿宋_GB2312" w:cs="TimesNewRoman"/>
          <w:kern w:val="0"/>
          <w:sz w:val="32"/>
          <w:szCs w:val="32"/>
          <w:highlight w:val="none"/>
          <w:lang w:val="en-US" w:eastAsia="zh-CN" w:bidi="ar-SA"/>
        </w:rPr>
        <w:t>年没有安排通用资产配置支出。</w:t>
      </w:r>
    </w:p>
    <w:p>
      <w:pPr>
        <w:pStyle w:val="7"/>
        <w:adjustRightInd w:val="0"/>
        <w:snapToGrid w:val="0"/>
        <w:spacing w:line="560" w:lineRule="exact"/>
        <w:ind w:firstLine="627" w:firstLineChars="196"/>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rPr>
        <w:t>十</w:t>
      </w:r>
      <w:r>
        <w:rPr>
          <w:rFonts w:hint="eastAsia" w:ascii="Times New Roman" w:hAnsi="Times New Roman" w:eastAsia="黑体" w:cs="Times New Roman"/>
          <w:bCs/>
          <w:sz w:val="32"/>
          <w:szCs w:val="32"/>
          <w:highlight w:val="none"/>
          <w:lang w:eastAsia="zh-CN"/>
        </w:rPr>
        <w:t>三</w:t>
      </w:r>
      <w:r>
        <w:rPr>
          <w:rFonts w:hint="eastAsia" w:ascii="Times New Roman" w:hAnsi="Times New Roman" w:eastAsia="黑体" w:cs="Times New Roman"/>
          <w:bCs/>
          <w:sz w:val="32"/>
          <w:szCs w:val="32"/>
          <w:highlight w:val="none"/>
        </w:rPr>
        <w:t>、其他重要事项情况说明</w:t>
      </w:r>
    </w:p>
    <w:p>
      <w:pPr>
        <w:adjustRightInd w:val="0"/>
        <w:snapToGrid w:val="0"/>
        <w:spacing w:line="58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w:t>
      </w:r>
      <w:r>
        <w:rPr>
          <w:rFonts w:hint="eastAsia" w:ascii="Times New Roman" w:hAnsi="Times New Roman" w:eastAsia="仿宋_GB2312" w:cs="Times New Roman"/>
          <w:b/>
          <w:sz w:val="32"/>
          <w:szCs w:val="32"/>
          <w:highlight w:val="none"/>
        </w:rPr>
        <w:t>一）项目及绩效目标情况。</w:t>
      </w:r>
    </w:p>
    <w:p>
      <w:pPr>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侨联专项业务经费”项目。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w:t>
      </w:r>
      <w:r>
        <w:rPr>
          <w:rFonts w:hint="eastAsia" w:ascii="Times New Roman" w:hAnsi="Times New Roman" w:eastAsia="仿宋_GB2312" w:cs="Times New Roman"/>
          <w:kern w:val="0"/>
          <w:sz w:val="32"/>
          <w:szCs w:val="32"/>
        </w:rPr>
        <w:t>为日常运转类项目经费，主要用于保障侨联组织正常履行服务经济发展、依法维护侨益、拓展海外联谊、积极参政议政、弘扬中华文化、参与社会建设六大工作职能</w:t>
      </w:r>
      <w:r>
        <w:rPr>
          <w:rFonts w:hint="default" w:ascii="Times New Roman" w:hAnsi="Times New Roman" w:eastAsia="仿宋_GB2312" w:cs="Times New Roman"/>
          <w:kern w:val="0"/>
          <w:sz w:val="32"/>
          <w:szCs w:val="32"/>
        </w:rPr>
        <w:t>。</w:t>
      </w:r>
    </w:p>
    <w:p>
      <w:pPr>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（2）立项依据。</w:t>
      </w:r>
      <w:r>
        <w:rPr>
          <w:rFonts w:hint="eastAsia" w:ascii="Times New Roman" w:hAnsi="Times New Roman" w:eastAsia="仿宋_GB2312" w:cs="Times New Roman"/>
          <w:kern w:val="0"/>
          <w:sz w:val="32"/>
          <w:szCs w:val="32"/>
        </w:rPr>
        <w:t>《中华全国归国华侨联合会章程》、《中华人民共和国归侨侨眷权益保护法》、《安徽省归侨侨眷权益保护法实施办法》</w:t>
      </w:r>
      <w:r>
        <w:rPr>
          <w:rFonts w:hint="eastAsia" w:ascii="Times New Roman" w:hAnsi="Times New Roman" w:eastAsia="仿宋_GB2312" w:cs="Times New Roman"/>
          <w:kern w:val="0"/>
          <w:sz w:val="32"/>
          <w:szCs w:val="32"/>
          <w:lang w:eastAsia="zh-CN"/>
        </w:rPr>
        <w:t>。</w:t>
      </w:r>
    </w:p>
    <w:p>
      <w:pPr>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（3）实施主体。</w:t>
      </w:r>
      <w:r>
        <w:rPr>
          <w:rFonts w:hint="eastAsia" w:ascii="Times New Roman" w:hAnsi="Times New Roman" w:eastAsia="仿宋_GB2312" w:cs="Times New Roman"/>
          <w:kern w:val="0"/>
          <w:sz w:val="32"/>
          <w:szCs w:val="32"/>
          <w:lang w:eastAsia="zh-CN"/>
        </w:rPr>
        <w:t>淮北市归国华侨联合会</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年1月至20</w:t>
      </w:r>
      <w:r>
        <w:rPr>
          <w:rFonts w:hint="eastAsia" w:ascii="Times New Roman" w:hAnsi="Times New Roman" w:eastAsia="仿宋_GB2312" w:cs="Times New Roman"/>
          <w:kern w:val="0"/>
          <w:sz w:val="32"/>
          <w:szCs w:val="32"/>
          <w:lang w:val="en-US" w:eastAsia="zh-CN"/>
        </w:rPr>
        <w:t>25</w:t>
      </w:r>
      <w:r>
        <w:rPr>
          <w:rFonts w:hint="eastAsia" w:ascii="Times New Roman" w:hAnsi="Times New Roman" w:eastAsia="仿宋_GB2312" w:cs="Times New Roman"/>
          <w:kern w:val="0"/>
          <w:sz w:val="32"/>
          <w:szCs w:val="32"/>
        </w:rPr>
        <w:t>年12月</w:t>
      </w:r>
    </w:p>
    <w:p>
      <w:pPr>
        <w:pStyle w:val="11"/>
        <w:rPr>
          <w:rFonts w:hint="eastAsia" w:ascii="Times New Roman" w:hAnsi="仿宋_GB2312" w:eastAsia="仿宋_GB2312" w:cs="方正仿宋_GBK"/>
          <w:bCs/>
          <w:color w:val="000000"/>
          <w:sz w:val="32"/>
          <w:szCs w:val="20"/>
          <w:lang w:val="en-US" w:eastAsia="zh-CN"/>
        </w:rPr>
      </w:pPr>
      <w:r>
        <w:rPr>
          <w:rFonts w:hint="default" w:ascii="Times New Roman" w:hAnsi="Times New Roman" w:eastAsia="仿宋_GB2312" w:cs="Times New Roman"/>
          <w:kern w:val="0"/>
          <w:sz w:val="32"/>
          <w:szCs w:val="32"/>
        </w:rPr>
        <w:t>（5）项目内容。</w:t>
      </w:r>
      <w:r>
        <w:rPr>
          <w:rFonts w:hint="eastAsia" w:ascii="Times New Roman" w:hAnsi="Times New Roman" w:eastAsia="仿宋_GB2312" w:cs="仿宋_GB2312"/>
          <w:b w:val="0"/>
          <w:bCs w:val="0"/>
          <w:color w:val="000000" w:themeColor="text1"/>
          <w:kern w:val="2"/>
          <w:sz w:val="32"/>
          <w:szCs w:val="32"/>
          <w:shd w:val="clear" w:color="auto" w:fill="FFFFFF"/>
          <w:lang w:val="en-US" w:eastAsia="zh-CN" w:bidi="ar"/>
        </w:rPr>
        <w:t>持续</w:t>
      </w:r>
      <w:r>
        <w:rPr>
          <w:rFonts w:hint="eastAsia" w:ascii="Times New Roman" w:hAnsi="Times New Roman" w:eastAsia="仿宋_GB2312" w:cs="仿宋_GB2312"/>
          <w:b w:val="0"/>
          <w:bCs w:val="0"/>
          <w:color w:val="000000" w:themeColor="text1"/>
          <w:kern w:val="2"/>
          <w:sz w:val="32"/>
          <w:szCs w:val="32"/>
          <w:lang w:val="en-US" w:eastAsia="zh-CN" w:bidi="ar"/>
        </w:rPr>
        <w:t>开展系列主题活动，组织世界华人学生作文大赛，广泛动员和吸引侨商来淮考察交流、投资兴业，</w:t>
      </w:r>
      <w:r>
        <w:rPr>
          <w:rFonts w:hint="eastAsia" w:ascii="Times New Roman" w:hAnsi="Times New Roman" w:eastAsia="仿宋_GB2312" w:cs="Times New Roman"/>
          <w:b w:val="0"/>
          <w:bCs w:val="0"/>
          <w:color w:val="000000" w:themeColor="text1"/>
          <w:kern w:val="2"/>
          <w:sz w:val="32"/>
          <w:szCs w:val="32"/>
          <w:lang w:val="en-US" w:eastAsia="zh-CN" w:bidi="ar"/>
        </w:rPr>
        <w:t>深化</w:t>
      </w:r>
      <w:r>
        <w:rPr>
          <w:rFonts w:hint="default" w:ascii="Times New Roman" w:hAnsi="Times New Roman" w:eastAsia="仿宋_GB2312" w:cs="Times New Roman"/>
          <w:b w:val="0"/>
          <w:bCs w:val="0"/>
          <w:color w:val="000000" w:themeColor="text1"/>
          <w:kern w:val="2"/>
          <w:sz w:val="32"/>
          <w:szCs w:val="32"/>
          <w:lang w:val="en-US" w:eastAsia="zh-CN" w:bidi="ar"/>
        </w:rPr>
        <w:t>“</w:t>
      </w:r>
      <w:r>
        <w:rPr>
          <w:rFonts w:hint="eastAsia" w:ascii="Times New Roman" w:hAnsi="Times New Roman" w:eastAsia="仿宋_GB2312" w:cs="Times New Roman"/>
          <w:b w:val="0"/>
          <w:bCs w:val="0"/>
          <w:color w:val="000000" w:themeColor="text1"/>
          <w:kern w:val="2"/>
          <w:sz w:val="32"/>
          <w:szCs w:val="32"/>
          <w:lang w:val="en-US" w:eastAsia="zh-CN" w:bidi="ar"/>
        </w:rPr>
        <w:t>重点服务侨资企业</w:t>
      </w:r>
      <w:r>
        <w:rPr>
          <w:rFonts w:hint="default" w:ascii="Times New Roman" w:hAnsi="Times New Roman" w:eastAsia="仿宋_GB2312" w:cs="Times New Roman"/>
          <w:b w:val="0"/>
          <w:bCs w:val="0"/>
          <w:color w:val="000000" w:themeColor="text1"/>
          <w:kern w:val="2"/>
          <w:sz w:val="32"/>
          <w:szCs w:val="32"/>
          <w:lang w:val="en-US" w:eastAsia="zh-CN" w:bidi="ar"/>
        </w:rPr>
        <w:t>”</w:t>
      </w:r>
      <w:r>
        <w:rPr>
          <w:rFonts w:hint="eastAsia" w:ascii="Times New Roman" w:hAnsi="Times New Roman" w:eastAsia="仿宋_GB2312" w:cs="Times New Roman"/>
          <w:b w:val="0"/>
          <w:bCs w:val="0"/>
          <w:color w:val="000000" w:themeColor="text1"/>
          <w:kern w:val="2"/>
          <w:sz w:val="32"/>
          <w:szCs w:val="32"/>
          <w:lang w:val="en-US" w:eastAsia="zh-CN" w:bidi="ar"/>
        </w:rPr>
        <w:t>制度，汇聚侨智积极参政议政，强化宗旨意识，</w:t>
      </w:r>
      <w:r>
        <w:rPr>
          <w:rFonts w:hint="eastAsia" w:ascii="Times New Roman" w:hAnsi="Times New Roman" w:eastAsia="仿宋_GB2312" w:cs="仿宋_GB2312"/>
          <w:b w:val="0"/>
          <w:bCs w:val="0"/>
          <w:color w:val="000000" w:themeColor="text1"/>
          <w:kern w:val="2"/>
          <w:sz w:val="32"/>
          <w:szCs w:val="32"/>
          <w:lang w:val="en-US" w:eastAsia="zh-CN" w:bidi="ar"/>
        </w:rPr>
        <w:t>提高为侨服务能力水平</w:t>
      </w:r>
      <w:r>
        <w:rPr>
          <w:rFonts w:hint="eastAsia" w:ascii="Times New Roman" w:hAnsi="Times New Roman" w:eastAsia="仿宋_GB2312" w:cs="Times New Roman"/>
          <w:b w:val="0"/>
          <w:bCs w:val="0"/>
          <w:color w:val="000000" w:themeColor="text1"/>
          <w:kern w:val="2"/>
          <w:sz w:val="32"/>
          <w:szCs w:val="32"/>
          <w:lang w:val="en-US" w:eastAsia="zh-CN" w:bidi="ar"/>
        </w:rPr>
        <w:t>，关爱侨界困难群体，依法维护侨胞权益；加强基层组织建设，</w:t>
      </w:r>
      <w:r>
        <w:rPr>
          <w:rFonts w:hint="eastAsia" w:ascii="Times New Roman" w:hAnsi="Times New Roman" w:eastAsia="仿宋_GB2312" w:cs="仿宋_GB2312"/>
          <w:b w:val="0"/>
          <w:bCs w:val="0"/>
          <w:color w:val="000000" w:themeColor="text1"/>
          <w:kern w:val="2"/>
          <w:sz w:val="32"/>
          <w:szCs w:val="32"/>
          <w:lang w:val="en-US" w:eastAsia="zh-CN" w:bidi="ar"/>
        </w:rPr>
        <w:t>提高基层侨务工作者政策水平和为侨服务能力，</w:t>
      </w:r>
      <w:r>
        <w:rPr>
          <w:rFonts w:hint="eastAsia" w:ascii="Times New Roman" w:hAnsi="Times New Roman" w:eastAsia="仿宋_GB2312" w:cs="仿宋_GB2312"/>
          <w:color w:val="000000" w:themeColor="text1"/>
          <w:sz w:val="32"/>
          <w:szCs w:val="32"/>
          <w:lang w:val="en-US" w:eastAsia="zh-CN"/>
        </w:rPr>
        <w:t>做好市第四次归侨侨眷代表大会筹备和会务工作。</w:t>
      </w:r>
      <w:bookmarkStart w:id="0" w:name="_GoBack"/>
      <w:bookmarkEnd w:id="0"/>
    </w:p>
    <w:p>
      <w:pPr>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eastAsia" w:ascii="Times New Roman" w:hAnsi="Times New Roman" w:eastAsia="仿宋_GB2312" w:cs="Times New Roman"/>
          <w:kern w:val="0"/>
          <w:sz w:val="32"/>
          <w:szCs w:val="32"/>
          <w:lang w:val="en-US" w:eastAsia="zh-CN"/>
        </w:rPr>
        <w:t>8.80万元</w:t>
      </w:r>
    </w:p>
    <w:p>
      <w:pPr>
        <w:pStyle w:val="7"/>
        <w:adjustRightInd w:val="0"/>
        <w:snapToGrid w:val="0"/>
        <w:spacing w:before="0" w:beforeAutospacing="0" w:after="0" w:afterAutospacing="0" w:line="500" w:lineRule="exact"/>
        <w:ind w:firstLine="640" w:firstLineChars="200"/>
        <w:outlineLvl w:val="0"/>
        <w:rPr>
          <w:rFonts w:hint="eastAsia" w:ascii="仿宋_GB2312" w:hAnsi="黑体" w:eastAsia="仿宋_GB2312"/>
          <w:bCs/>
          <w:sz w:val="32"/>
          <w:szCs w:val="32"/>
          <w:lang w:eastAsia="zh-CN"/>
        </w:rPr>
      </w:pPr>
      <w:r>
        <w:rPr>
          <w:rFonts w:hint="default" w:ascii="Times New Roman" w:hAnsi="Times New Roman" w:eastAsia="仿宋_GB2312" w:cs="Times New Roman"/>
          <w:kern w:val="0"/>
          <w:sz w:val="32"/>
          <w:szCs w:val="32"/>
        </w:rPr>
        <w:t>（7）绩效目标。</w:t>
      </w:r>
      <w:r>
        <w:rPr>
          <w:rFonts w:hint="eastAsia" w:ascii="仿宋_GB2312" w:hAnsi="黑体" w:eastAsia="仿宋_GB2312"/>
          <w:bCs/>
          <w:sz w:val="32"/>
          <w:szCs w:val="32"/>
        </w:rPr>
        <w:t>强引领、铸忠诚，进一步画好最大同心圆</w:t>
      </w:r>
      <w:r>
        <w:rPr>
          <w:rFonts w:hint="eastAsia" w:ascii="仿宋_GB2312" w:hAnsi="黑体" w:eastAsia="仿宋_GB2312"/>
          <w:bCs/>
          <w:sz w:val="32"/>
          <w:szCs w:val="32"/>
          <w:lang w:eastAsia="zh-CN"/>
        </w:rPr>
        <w:t>；</w:t>
      </w:r>
      <w:r>
        <w:rPr>
          <w:rFonts w:hint="eastAsia" w:ascii="仿宋_GB2312" w:hAnsi="黑体" w:eastAsia="仿宋_GB2312"/>
          <w:bCs/>
          <w:sz w:val="32"/>
          <w:szCs w:val="32"/>
        </w:rPr>
        <w:t>强发展、汇侨力，进一步提高侨界贡献度</w:t>
      </w:r>
      <w:r>
        <w:rPr>
          <w:rFonts w:hint="eastAsia" w:ascii="仿宋_GB2312" w:hAnsi="黑体" w:eastAsia="仿宋_GB2312"/>
          <w:bCs/>
          <w:sz w:val="32"/>
          <w:szCs w:val="32"/>
          <w:lang w:eastAsia="zh-CN"/>
        </w:rPr>
        <w:t>；</w:t>
      </w:r>
      <w:r>
        <w:rPr>
          <w:rFonts w:hint="eastAsia" w:ascii="仿宋_GB2312" w:hAnsi="黑体" w:eastAsia="仿宋_GB2312"/>
          <w:bCs/>
          <w:sz w:val="32"/>
          <w:szCs w:val="32"/>
        </w:rPr>
        <w:t>强作风、优服务，进一步维护侨胞权益</w:t>
      </w:r>
      <w:r>
        <w:rPr>
          <w:rFonts w:hint="eastAsia" w:ascii="仿宋_GB2312" w:hAnsi="黑体" w:eastAsia="仿宋_GB2312"/>
          <w:bCs/>
          <w:sz w:val="32"/>
          <w:szCs w:val="32"/>
          <w:lang w:eastAsia="zh-CN"/>
        </w:rPr>
        <w:t>；</w:t>
      </w:r>
      <w:r>
        <w:rPr>
          <w:rFonts w:hint="eastAsia" w:ascii="仿宋_GB2312" w:hAnsi="黑体" w:eastAsia="仿宋_GB2312"/>
          <w:bCs/>
          <w:sz w:val="32"/>
          <w:szCs w:val="32"/>
        </w:rPr>
        <w:t>强组织、固基础，进一步深化侨联改革</w:t>
      </w:r>
      <w:r>
        <w:rPr>
          <w:rFonts w:hint="eastAsia" w:ascii="仿宋_GB2312" w:hAnsi="黑体" w:eastAsia="仿宋_GB2312"/>
          <w:bCs/>
          <w:sz w:val="32"/>
          <w:szCs w:val="32"/>
          <w:lang w:eastAsia="zh-CN"/>
        </w:rPr>
        <w:t>。</w:t>
      </w:r>
    </w:p>
    <w:p>
      <w:pPr>
        <w:pStyle w:val="7"/>
        <w:adjustRightInd w:val="0"/>
        <w:snapToGrid w:val="0"/>
        <w:spacing w:before="0" w:beforeAutospacing="0" w:after="0" w:afterAutospacing="0" w:line="500" w:lineRule="exact"/>
        <w:ind w:firstLine="640" w:firstLineChars="200"/>
        <w:outlineLvl w:val="0"/>
        <w:rPr>
          <w:rFonts w:hint="eastAsia" w:ascii="仿宋_GB2312" w:hAnsi="黑体" w:eastAsia="仿宋_GB2312"/>
          <w:bCs/>
          <w:sz w:val="32"/>
          <w:szCs w:val="32"/>
          <w:lang w:eastAsia="zh-CN"/>
        </w:rPr>
      </w:pPr>
    </w:p>
    <w:p>
      <w:pPr>
        <w:ind w:firstLine="640" w:firstLineChars="200"/>
        <w:rPr>
          <w:rFonts w:hint="default" w:ascii="Times New Roman" w:hAnsi="Times New Roman" w:eastAsia="仿宋_GB2312" w:cs="Times New Roman"/>
          <w:kern w:val="0"/>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946"/>
        <w:gridCol w:w="570"/>
        <w:gridCol w:w="424"/>
        <w:gridCol w:w="3934"/>
        <w:gridCol w:w="952"/>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53" w:type="dxa"/>
            <w:gridSpan w:val="7"/>
            <w:tcBorders>
              <w:top w:val="nil"/>
              <w:left w:val="nil"/>
              <w:bottom w:val="nil"/>
              <w:right w:val="nil"/>
            </w:tcBorders>
            <w:vAlign w:val="center"/>
          </w:tcPr>
          <w:p>
            <w:pPr>
              <w:keepNext w:val="0"/>
              <w:keepLines w:val="0"/>
              <w:widowControl/>
              <w:suppressLineNumbers w:val="0"/>
              <w:jc w:val="center"/>
              <w:textAlignment w:val="center"/>
              <w:rPr>
                <w:rFonts w:ascii="宋体" w:cs="宋体"/>
                <w:b/>
                <w:bCs/>
                <w:szCs w:val="32"/>
              </w:rPr>
            </w:pPr>
            <w:r>
              <w:rPr>
                <w:rFonts w:hint="eastAsia" w:ascii="宋体" w:hAnsi="宋体" w:eastAsia="宋体" w:cs="宋体"/>
                <w:i w:val="0"/>
                <w:iCs w:val="0"/>
                <w:color w:val="000000"/>
                <w:kern w:val="0"/>
                <w:sz w:val="40"/>
                <w:szCs w:val="40"/>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53" w:type="dxa"/>
            <w:gridSpan w:val="7"/>
            <w:tcBorders>
              <w:top w:val="nil"/>
              <w:left w:val="nil"/>
              <w:right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89"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项目名称</w:t>
            </w:r>
          </w:p>
        </w:tc>
        <w:tc>
          <w:tcPr>
            <w:tcW w:w="7164" w:type="dxa"/>
            <w:gridSpan w:val="4"/>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侨联专项业务经费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2389"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主管部门及代码</w:t>
            </w:r>
          </w:p>
        </w:tc>
        <w:tc>
          <w:tcPr>
            <w:tcW w:w="435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淮北市归国华侨联合会</w:t>
            </w:r>
          </w:p>
        </w:tc>
        <w:tc>
          <w:tcPr>
            <w:tcW w:w="952"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1854"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淮北市归国华侨联合会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89"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项目来源</w:t>
            </w:r>
          </w:p>
        </w:tc>
        <w:tc>
          <w:tcPr>
            <w:tcW w:w="4358"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本级申报项目</w:t>
            </w:r>
          </w:p>
        </w:tc>
        <w:tc>
          <w:tcPr>
            <w:tcW w:w="952"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1854" w:type="dxa"/>
            <w:tcBorders>
              <w:tl2br w:val="nil"/>
              <w:tr2bl w:val="nil"/>
            </w:tcBorders>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2025.1.1-2025.12.31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89" w:type="dxa"/>
            <w:gridSpan w:val="3"/>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项目资金（万元）</w:t>
            </w:r>
          </w:p>
        </w:tc>
        <w:tc>
          <w:tcPr>
            <w:tcW w:w="4358"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2806"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89" w:type="dxa"/>
            <w:gridSpan w:val="3"/>
            <w:vMerge w:val="continue"/>
            <w:tcBorders>
              <w:tl2br w:val="nil"/>
              <w:tr2bl w:val="nil"/>
            </w:tcBorders>
            <w:vAlign w:val="center"/>
          </w:tcPr>
          <w:p>
            <w:pPr>
              <w:jc w:val="center"/>
              <w:rPr>
                <w:rFonts w:ascii="宋体" w:cs="宋体"/>
                <w:sz w:val="20"/>
              </w:rPr>
            </w:pPr>
          </w:p>
        </w:tc>
        <w:tc>
          <w:tcPr>
            <w:tcW w:w="4358"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806"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89" w:type="dxa"/>
            <w:gridSpan w:val="3"/>
            <w:vMerge w:val="continue"/>
            <w:tcBorders>
              <w:tl2br w:val="nil"/>
              <w:tr2bl w:val="nil"/>
            </w:tcBorders>
            <w:vAlign w:val="center"/>
          </w:tcPr>
          <w:p>
            <w:pPr>
              <w:jc w:val="center"/>
              <w:rPr>
                <w:rFonts w:ascii="宋体" w:cs="宋体"/>
                <w:sz w:val="20"/>
              </w:rPr>
            </w:pPr>
          </w:p>
        </w:tc>
        <w:tc>
          <w:tcPr>
            <w:tcW w:w="4358"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2806"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89" w:type="dxa"/>
            <w:gridSpan w:val="3"/>
            <w:vMerge w:val="continue"/>
            <w:tcBorders>
              <w:tl2br w:val="nil"/>
              <w:tr2bl w:val="nil"/>
            </w:tcBorders>
            <w:vAlign w:val="center"/>
          </w:tcPr>
          <w:p>
            <w:pPr>
              <w:jc w:val="center"/>
              <w:rPr>
                <w:rFonts w:ascii="宋体" w:cs="宋体"/>
                <w:sz w:val="20"/>
              </w:rPr>
            </w:pPr>
          </w:p>
        </w:tc>
        <w:tc>
          <w:tcPr>
            <w:tcW w:w="4358"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806"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73"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年度目标</w:t>
            </w:r>
          </w:p>
        </w:tc>
        <w:tc>
          <w:tcPr>
            <w:tcW w:w="8680" w:type="dxa"/>
            <w:gridSpan w:val="6"/>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加强思想政治引领，凝聚团结奋斗合力；服务大局拼经济，促进高质量转型发展；服务侨胞拼作风，促进高效能侨联建设。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73" w:type="dxa"/>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绩效指标</w:t>
            </w:r>
          </w:p>
        </w:tc>
        <w:tc>
          <w:tcPr>
            <w:tcW w:w="946"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一级指标</w:t>
            </w: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二级指标</w:t>
            </w:r>
          </w:p>
        </w:tc>
        <w:tc>
          <w:tcPr>
            <w:tcW w:w="3934"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三级指标</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3" w:type="dxa"/>
            <w:vMerge w:val="continue"/>
            <w:tcBorders>
              <w:tl2br w:val="nil"/>
              <w:tr2bl w:val="nil"/>
            </w:tcBorders>
            <w:vAlign w:val="center"/>
          </w:tcPr>
          <w:p>
            <w:pPr>
              <w:jc w:val="center"/>
              <w:rPr>
                <w:rFonts w:ascii="宋体" w:cs="宋体"/>
                <w:sz w:val="20"/>
              </w:rPr>
            </w:pPr>
          </w:p>
        </w:tc>
        <w:tc>
          <w:tcPr>
            <w:tcW w:w="946" w:type="dxa"/>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产出指标</w:t>
            </w: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数量指标</w:t>
            </w:r>
          </w:p>
        </w:tc>
        <w:tc>
          <w:tcPr>
            <w:tcW w:w="3934"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指标1：慰问人数</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3" w:type="dxa"/>
            <w:vMerge w:val="continue"/>
            <w:tcBorders>
              <w:tl2br w:val="nil"/>
              <w:tr2bl w:val="nil"/>
            </w:tcBorders>
            <w:vAlign w:val="center"/>
          </w:tcPr>
          <w:p>
            <w:pPr>
              <w:jc w:val="center"/>
              <w:rPr>
                <w:rFonts w:ascii="宋体" w:cs="宋体"/>
                <w:sz w:val="20"/>
              </w:rPr>
            </w:pPr>
          </w:p>
        </w:tc>
        <w:tc>
          <w:tcPr>
            <w:tcW w:w="946" w:type="dxa"/>
            <w:vMerge w:val="continue"/>
            <w:tcBorders>
              <w:tl2br w:val="nil"/>
              <w:tr2bl w:val="nil"/>
            </w:tcBorders>
            <w:vAlign w:val="center"/>
          </w:tcPr>
          <w:p>
            <w:pPr>
              <w:jc w:val="center"/>
              <w:rPr>
                <w:rFonts w:ascii="宋体" w:cs="宋体"/>
                <w:sz w:val="20"/>
              </w:rPr>
            </w:pP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质量指标</w:t>
            </w:r>
          </w:p>
        </w:tc>
        <w:tc>
          <w:tcPr>
            <w:tcW w:w="3934"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指标1：资金支出合规性</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3" w:type="dxa"/>
            <w:vMerge w:val="continue"/>
            <w:tcBorders>
              <w:tl2br w:val="nil"/>
              <w:tr2bl w:val="nil"/>
            </w:tcBorders>
            <w:vAlign w:val="center"/>
          </w:tcPr>
          <w:p>
            <w:pPr>
              <w:jc w:val="center"/>
              <w:rPr>
                <w:rFonts w:ascii="宋体" w:cs="宋体"/>
                <w:sz w:val="20"/>
              </w:rPr>
            </w:pPr>
          </w:p>
        </w:tc>
        <w:tc>
          <w:tcPr>
            <w:tcW w:w="946" w:type="dxa"/>
            <w:vMerge w:val="continue"/>
            <w:tcBorders>
              <w:tl2br w:val="nil"/>
              <w:tr2bl w:val="nil"/>
            </w:tcBorders>
            <w:vAlign w:val="center"/>
          </w:tcPr>
          <w:p>
            <w:pPr>
              <w:jc w:val="center"/>
              <w:rPr>
                <w:rFonts w:ascii="宋体" w:cs="宋体"/>
                <w:sz w:val="20"/>
              </w:rPr>
            </w:pP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3934"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指标1：资金支出及时性</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3" w:type="dxa"/>
            <w:vMerge w:val="continue"/>
            <w:tcBorders>
              <w:tl2br w:val="nil"/>
              <w:tr2bl w:val="nil"/>
            </w:tcBorders>
            <w:vAlign w:val="center"/>
          </w:tcPr>
          <w:p>
            <w:pPr>
              <w:jc w:val="center"/>
              <w:rPr>
                <w:rFonts w:ascii="宋体" w:cs="宋体"/>
                <w:sz w:val="20"/>
              </w:rPr>
            </w:pPr>
          </w:p>
        </w:tc>
        <w:tc>
          <w:tcPr>
            <w:tcW w:w="946" w:type="dxa"/>
            <w:vMerge w:val="continue"/>
            <w:tcBorders>
              <w:tl2br w:val="nil"/>
              <w:tr2bl w:val="nil"/>
            </w:tcBorders>
            <w:vAlign w:val="center"/>
          </w:tcPr>
          <w:p>
            <w:pPr>
              <w:jc w:val="center"/>
              <w:rPr>
                <w:rFonts w:ascii="宋体" w:cs="宋体"/>
                <w:sz w:val="20"/>
              </w:rPr>
            </w:pP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成本指标</w:t>
            </w:r>
          </w:p>
        </w:tc>
        <w:tc>
          <w:tcPr>
            <w:tcW w:w="3934"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指标1：项目成本</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≤8.8万元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3" w:type="dxa"/>
            <w:vMerge w:val="continue"/>
            <w:tcBorders>
              <w:tl2br w:val="nil"/>
              <w:tr2bl w:val="nil"/>
            </w:tcBorders>
            <w:vAlign w:val="center"/>
          </w:tcPr>
          <w:p>
            <w:pPr>
              <w:jc w:val="center"/>
              <w:rPr>
                <w:rFonts w:ascii="宋体" w:cs="宋体"/>
                <w:sz w:val="20"/>
              </w:rPr>
            </w:pPr>
          </w:p>
        </w:tc>
        <w:tc>
          <w:tcPr>
            <w:tcW w:w="946" w:type="dxa"/>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效益指标</w:t>
            </w: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3934"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指标1：开展侨力侨智助发展活动、赴外地开展招商活动次数；报送参加世界制造业大会“百家侨企”签约项目不少于1个；世界华人学生作文大赛参赛数量不少于1000篇。</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3" w:type="dxa"/>
            <w:vMerge w:val="continue"/>
            <w:tcBorders>
              <w:tl2br w:val="nil"/>
              <w:tr2bl w:val="nil"/>
            </w:tcBorders>
            <w:vAlign w:val="center"/>
          </w:tcPr>
          <w:p>
            <w:pPr>
              <w:jc w:val="center"/>
              <w:rPr>
                <w:rFonts w:ascii="宋体" w:cs="宋体"/>
                <w:sz w:val="20"/>
              </w:rPr>
            </w:pPr>
          </w:p>
        </w:tc>
        <w:tc>
          <w:tcPr>
            <w:tcW w:w="946" w:type="dxa"/>
            <w:vMerge w:val="continue"/>
            <w:tcBorders>
              <w:tl2br w:val="nil"/>
              <w:tr2bl w:val="nil"/>
            </w:tcBorders>
            <w:vAlign w:val="center"/>
          </w:tcPr>
          <w:p>
            <w:pPr>
              <w:jc w:val="center"/>
              <w:rPr>
                <w:rFonts w:ascii="宋体" w:cs="宋体"/>
                <w:sz w:val="20"/>
              </w:rPr>
            </w:pP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社会效益指标</w:t>
            </w:r>
          </w:p>
        </w:tc>
        <w:tc>
          <w:tcPr>
            <w:tcW w:w="3934"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指标1：开展侨爱心工程助力乡村振兴，送法、送健康进侨企业、“侨胞之家”，践行为侨宗旨。邀请海外华人华侨来淮考察交流批次；春节等重要节日慰问侨胞人次、发放慰问金数额。</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3" w:type="dxa"/>
            <w:vMerge w:val="continue"/>
            <w:tcBorders>
              <w:tl2br w:val="nil"/>
              <w:tr2bl w:val="nil"/>
            </w:tcBorders>
            <w:vAlign w:val="center"/>
          </w:tcPr>
          <w:p>
            <w:pPr>
              <w:jc w:val="center"/>
              <w:rPr>
                <w:rFonts w:ascii="宋体" w:cs="宋体"/>
                <w:sz w:val="20"/>
              </w:rPr>
            </w:pPr>
          </w:p>
        </w:tc>
        <w:tc>
          <w:tcPr>
            <w:tcW w:w="946" w:type="dxa"/>
            <w:vMerge w:val="continue"/>
            <w:tcBorders>
              <w:tl2br w:val="nil"/>
              <w:tr2bl w:val="nil"/>
            </w:tcBorders>
            <w:vAlign w:val="center"/>
          </w:tcPr>
          <w:p>
            <w:pPr>
              <w:jc w:val="center"/>
              <w:rPr>
                <w:rFonts w:ascii="宋体" w:cs="宋体"/>
                <w:sz w:val="20"/>
              </w:rPr>
            </w:pP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3934"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指标1：不适用</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3" w:type="dxa"/>
            <w:vMerge w:val="continue"/>
            <w:tcBorders>
              <w:tl2br w:val="nil"/>
              <w:tr2bl w:val="nil"/>
            </w:tcBorders>
            <w:vAlign w:val="center"/>
          </w:tcPr>
          <w:p>
            <w:pPr>
              <w:jc w:val="center"/>
              <w:rPr>
                <w:rFonts w:ascii="宋体" w:cs="宋体"/>
                <w:sz w:val="20"/>
              </w:rPr>
            </w:pPr>
          </w:p>
        </w:tc>
        <w:tc>
          <w:tcPr>
            <w:tcW w:w="946" w:type="dxa"/>
            <w:vMerge w:val="continue"/>
            <w:tcBorders>
              <w:tl2br w:val="nil"/>
              <w:tr2bl w:val="nil"/>
            </w:tcBorders>
            <w:vAlign w:val="center"/>
          </w:tcPr>
          <w:p>
            <w:pPr>
              <w:jc w:val="center"/>
              <w:rPr>
                <w:rFonts w:ascii="宋体" w:cs="宋体"/>
                <w:sz w:val="20"/>
              </w:rPr>
            </w:pP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3934"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指标1：开展党的二十大精神等宣讲，组织侨胞开展主题活动，强化政治引领，团结凝聚侨心。申报省级“侨胞之家”、星级“侨胞之家”、华侨文化交流基地。</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3" w:type="dxa"/>
            <w:vMerge w:val="continue"/>
            <w:tcBorders>
              <w:tl2br w:val="nil"/>
              <w:tr2bl w:val="nil"/>
            </w:tcBorders>
            <w:vAlign w:val="center"/>
          </w:tcPr>
          <w:p>
            <w:pPr>
              <w:jc w:val="center"/>
              <w:rPr>
                <w:rFonts w:ascii="宋体" w:cs="宋体"/>
                <w:sz w:val="20"/>
              </w:rPr>
            </w:pPr>
          </w:p>
        </w:tc>
        <w:tc>
          <w:tcPr>
            <w:tcW w:w="946"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99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3934"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指标1：服务对象满意度</w:t>
            </w:r>
          </w:p>
        </w:tc>
        <w:tc>
          <w:tcPr>
            <w:tcW w:w="2806"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满意</w:t>
            </w:r>
          </w:p>
        </w:tc>
      </w:tr>
    </w:tbl>
    <w:p>
      <w:pPr>
        <w:adjustRightInd w:val="0"/>
        <w:snapToGrid w:val="0"/>
        <w:spacing w:line="58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（二）机关运行经费。</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2025年机关运行经费财政拨款预算9.87万元，比2024年预算增加2.32万元，增长</w:t>
      </w:r>
      <w:r>
        <w:rPr>
          <w:rFonts w:hint="default" w:ascii="Times New Roman" w:hAnsi="Times New Roman" w:eastAsia="仿宋_GB2312" w:cs="Times New Roman"/>
          <w:sz w:val="32"/>
          <w:szCs w:val="32"/>
        </w:rPr>
        <w:t>30.73%</w:t>
      </w:r>
      <w:r>
        <w:rPr>
          <w:rFonts w:hint="default" w:ascii="Times New Roman" w:hAnsi="Times New Roman" w:eastAsia="仿宋_GB2312" w:cs="Times New Roman"/>
          <w:kern w:val="0"/>
          <w:sz w:val="32"/>
          <w:szCs w:val="32"/>
        </w:rPr>
        <w:t>，原因主要是</w:t>
      </w:r>
      <w:r>
        <w:rPr>
          <w:rFonts w:hint="eastAsia" w:ascii="Times New Roman" w:hAnsi="Times New Roman" w:eastAsia="仿宋_GB2312" w:cs="Times New Roman"/>
          <w:sz w:val="32"/>
          <w:szCs w:val="32"/>
          <w:lang w:val="en-US" w:eastAsia="zh-CN"/>
        </w:rPr>
        <w:t>人员增加</w:t>
      </w:r>
      <w:r>
        <w:rPr>
          <w:rFonts w:hint="default" w:ascii="Times New Roman" w:hAnsi="Times New Roman" w:eastAsia="仿宋_GB2312" w:cs="Times New Roman"/>
          <w:kern w:val="0"/>
          <w:sz w:val="32"/>
          <w:szCs w:val="32"/>
        </w:rPr>
        <w:t>。</w:t>
      </w:r>
    </w:p>
    <w:p>
      <w:pPr>
        <w:adjustRightInd w:val="0"/>
        <w:snapToGrid w:val="0"/>
        <w:spacing w:line="58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（三）政府采购情况。</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2025年政府采购预算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万元。其中：政府采购货物预算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万元，政府采购工程预算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万元，政府采购服务预算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adjustRightInd w:val="0"/>
        <w:snapToGrid w:val="0"/>
        <w:spacing w:line="58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（四）国有资产占有使用情况。</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截至</w:t>
      </w:r>
      <w:r>
        <w:rPr>
          <w:rFonts w:hint="default" w:ascii="Times New Roman" w:hAnsi="Times New Roman" w:eastAsia="仿宋_GB2312" w:cs="Times New Roman"/>
          <w:kern w:val="0"/>
          <w:sz w:val="32"/>
          <w:szCs w:val="32"/>
        </w:rPr>
        <w:t>2024年12月31日，</w:t>
      </w:r>
      <w:r>
        <w:rPr>
          <w:rFonts w:hint="eastAsia" w:ascii="Times New Roman" w:hAnsi="Times New Roman" w:eastAsia="仿宋_GB2312" w:cs="Times New Roman"/>
          <w:kern w:val="0"/>
          <w:sz w:val="32"/>
          <w:szCs w:val="32"/>
          <w:lang w:eastAsia="zh-CN"/>
        </w:rPr>
        <w:t>淮北市归国华侨联合会</w:t>
      </w:r>
      <w:r>
        <w:rPr>
          <w:rFonts w:hint="default" w:ascii="Times New Roman" w:hAnsi="Times New Roman" w:eastAsia="仿宋_GB2312" w:cs="Times New Roman"/>
          <w:kern w:val="0"/>
          <w:sz w:val="32"/>
          <w:szCs w:val="32"/>
        </w:rPr>
        <w:t>共有车辆</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highlight w:val="none"/>
        </w:rPr>
        <w:t>单价50万元以上的通用设备</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台（套），单价100万元以上的专用设备</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台（套）。</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w:t>
      </w:r>
      <w:r>
        <w:rPr>
          <w:rFonts w:hint="default" w:ascii="Times New Roman" w:hAnsi="Times New Roman" w:eastAsia="仿宋_GB2312" w:cs="Times New Roman"/>
          <w:kern w:val="0"/>
          <w:sz w:val="32"/>
          <w:szCs w:val="32"/>
          <w:lang w:eastAsia="zh-CN"/>
        </w:rPr>
        <w:t>部门</w:t>
      </w:r>
      <w:r>
        <w:rPr>
          <w:rFonts w:hint="default" w:ascii="Times New Roman" w:hAnsi="Times New Roman" w:eastAsia="仿宋_GB2312" w:cs="Times New Roman"/>
          <w:kern w:val="0"/>
          <w:sz w:val="32"/>
          <w:szCs w:val="32"/>
        </w:rPr>
        <w:t>预算安排购置公务用车</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辆，购置费</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万元；安排购置单价50万元以上的通用设备</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万元；安排购置单价100万元以上专用设备</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adjustRightInd w:val="0"/>
        <w:snapToGrid w:val="0"/>
        <w:spacing w:line="58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（五）绩效目标设置情况。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w:t>
      </w:r>
      <w:r>
        <w:rPr>
          <w:rFonts w:hint="eastAsia" w:ascii="Times New Roman" w:hAnsi="Times New Roman" w:eastAsia="仿宋_GB2312" w:cs="Times New Roman"/>
          <w:kern w:val="0"/>
          <w:sz w:val="32"/>
          <w:szCs w:val="32"/>
          <w:lang w:eastAsia="zh-CN"/>
        </w:rPr>
        <w:t>淮北市归国华侨联合会</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个项目实行了绩效目标管理，涉及一般公共预算当年财政拨款8.80万元、政府性基金预算当年财政拨款</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万元、财政专户管理资金当年安排</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pStyle w:val="7"/>
        <w:adjustRightInd w:val="0"/>
        <w:snapToGrid w:val="0"/>
        <w:spacing w:line="560" w:lineRule="exact"/>
        <w:jc w:val="center"/>
        <w:rPr>
          <w:rFonts w:ascii="Times New Roman" w:hAnsi="Times New Roman" w:eastAsia="黑体" w:cs="Times New Roman"/>
          <w:bCs/>
          <w:sz w:val="36"/>
          <w:szCs w:val="36"/>
        </w:rPr>
      </w:pPr>
    </w:p>
    <w:p>
      <w:pPr>
        <w:pStyle w:val="7"/>
        <w:adjustRightInd w:val="0"/>
        <w:snapToGrid w:val="0"/>
        <w:spacing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第四部分 名词解释</w:t>
      </w:r>
    </w:p>
    <w:p/>
    <w:p>
      <w:pPr>
        <w:pStyle w:val="7"/>
        <w:adjustRightInd w:val="0"/>
        <w:snapToGrid w:val="0"/>
        <w:spacing w:line="560" w:lineRule="exact"/>
        <w:ind w:firstLine="629"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一、财政拨款收入：</w:t>
      </w:r>
      <w:r>
        <w:rPr>
          <w:rFonts w:hint="eastAsia" w:ascii="Times New Roman" w:hAnsi="Times New Roman" w:eastAsia="仿宋_GB2312" w:cs="Times New Roman"/>
          <w:sz w:val="32"/>
          <w:szCs w:val="32"/>
        </w:rPr>
        <w:t>指部门或单位从同级财政部门取得的财政预算资金。</w:t>
      </w:r>
    </w:p>
    <w:p>
      <w:pPr>
        <w:pStyle w:val="7"/>
        <w:adjustRightInd w:val="0"/>
        <w:snapToGrid w:val="0"/>
        <w:spacing w:line="560" w:lineRule="exact"/>
        <w:ind w:firstLine="629"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二、事业收入：</w:t>
      </w:r>
      <w:r>
        <w:rPr>
          <w:rFonts w:hint="eastAsia" w:ascii="Times New Roman" w:hAnsi="Times New Roman" w:eastAsia="仿宋_GB2312" w:cs="Times New Roman"/>
          <w:sz w:val="32"/>
          <w:szCs w:val="32"/>
        </w:rPr>
        <w:t>指事业单位开展专业业务活动及辅助活动所取得的收入。</w:t>
      </w:r>
    </w:p>
    <w:p>
      <w:pPr>
        <w:pStyle w:val="7"/>
        <w:adjustRightInd w:val="0"/>
        <w:snapToGrid w:val="0"/>
        <w:spacing w:line="560" w:lineRule="exact"/>
        <w:ind w:firstLine="629"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三、财政专户管理资金：</w:t>
      </w:r>
      <w:r>
        <w:rPr>
          <w:rFonts w:hint="eastAsia" w:ascii="Times New Roman" w:hAnsi="Times New Roman" w:eastAsia="仿宋_GB2312" w:cs="Times New Roman"/>
          <w:sz w:val="32"/>
          <w:szCs w:val="32"/>
        </w:rPr>
        <w:t>指按照非税收入管理相关规定，纳入财政专户管理的教育收费等。</w:t>
      </w:r>
    </w:p>
    <w:p>
      <w:pPr>
        <w:pStyle w:val="7"/>
        <w:adjustRightInd w:val="0"/>
        <w:snapToGrid w:val="0"/>
        <w:spacing w:line="560" w:lineRule="exact"/>
        <w:ind w:firstLine="629"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四、事业单位经营收入：</w:t>
      </w:r>
      <w:r>
        <w:rPr>
          <w:rFonts w:hint="eastAsia" w:ascii="Times New Roman" w:hAnsi="Times New Roman" w:eastAsia="仿宋_GB2312" w:cs="Times New Roman"/>
          <w:sz w:val="32"/>
          <w:szCs w:val="32"/>
        </w:rPr>
        <w:t>指事业单位在专业业务活动及其辅助活动之外开展非独立核算经营活动取得的收入。</w:t>
      </w:r>
    </w:p>
    <w:p>
      <w:pPr>
        <w:pStyle w:val="7"/>
        <w:adjustRightInd w:val="0"/>
        <w:snapToGrid w:val="0"/>
        <w:spacing w:line="560" w:lineRule="exact"/>
        <w:ind w:firstLine="629"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五、附属单位上缴收入：</w:t>
      </w:r>
      <w:r>
        <w:rPr>
          <w:rFonts w:hint="eastAsia" w:ascii="Times New Roman" w:hAnsi="Times New Roman" w:eastAsia="仿宋_GB2312" w:cs="Times New Roman"/>
          <w:sz w:val="32"/>
          <w:szCs w:val="32"/>
        </w:rPr>
        <w:t>本单位所属下级单位上缴给本单位的全部收入。</w:t>
      </w:r>
    </w:p>
    <w:p>
      <w:pPr>
        <w:pStyle w:val="7"/>
        <w:adjustRightInd w:val="0"/>
        <w:snapToGrid w:val="0"/>
        <w:spacing w:line="560" w:lineRule="exact"/>
        <w:ind w:firstLine="629"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六、上年结转：</w:t>
      </w:r>
      <w:r>
        <w:rPr>
          <w:rFonts w:hint="eastAsia" w:ascii="Times New Roman" w:hAnsi="Times New Roman" w:eastAsia="仿宋_GB2312" w:cs="Times New Roman"/>
          <w:sz w:val="32"/>
          <w:szCs w:val="32"/>
        </w:rPr>
        <w:t>指以前年度安排、结转到本年仍按原用途继续使用的资金。</w:t>
      </w:r>
    </w:p>
    <w:p>
      <w:pPr>
        <w:pStyle w:val="7"/>
        <w:adjustRightInd w:val="0"/>
        <w:snapToGrid w:val="0"/>
        <w:spacing w:line="560" w:lineRule="exact"/>
        <w:ind w:firstLine="629"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七、结转下年：</w:t>
      </w:r>
      <w:r>
        <w:rPr>
          <w:rFonts w:hint="eastAsia" w:ascii="Times New Roman" w:hAnsi="Times New Roman" w:eastAsia="仿宋_GB2312" w:cs="Times New Roman"/>
          <w:sz w:val="32"/>
          <w:szCs w:val="32"/>
        </w:rPr>
        <w:t>指以前年度预算安排、因客观条件发生变化无法按原计划实施，需以后年度按原用途继续使用的资金。</w:t>
      </w:r>
    </w:p>
    <w:p>
      <w:pPr>
        <w:pStyle w:val="7"/>
        <w:adjustRightInd w:val="0"/>
        <w:snapToGrid w:val="0"/>
        <w:spacing w:line="560" w:lineRule="exact"/>
        <w:ind w:firstLine="629"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八、基本支出：</w:t>
      </w:r>
      <w:r>
        <w:rPr>
          <w:rFonts w:hint="eastAsia" w:ascii="Times New Roman" w:hAnsi="Times New Roman" w:eastAsia="仿宋_GB2312" w:cs="Times New Roman"/>
          <w:sz w:val="32"/>
          <w:szCs w:val="32"/>
        </w:rPr>
        <w:t>指为保障机构正常运转、完成日常工作任务而发生的人员支出和公用支出。</w:t>
      </w:r>
    </w:p>
    <w:p>
      <w:pPr>
        <w:pStyle w:val="7"/>
        <w:adjustRightInd w:val="0"/>
        <w:snapToGrid w:val="0"/>
        <w:spacing w:line="560" w:lineRule="exact"/>
        <w:ind w:firstLine="629" w:firstLineChars="196"/>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九、项目支出：</w:t>
      </w:r>
      <w:r>
        <w:rPr>
          <w:rFonts w:hint="eastAsia" w:ascii="Times New Roman" w:hAnsi="Times New Roman" w:eastAsia="仿宋_GB2312" w:cs="Times New Roman"/>
          <w:sz w:val="32"/>
          <w:szCs w:val="32"/>
        </w:rPr>
        <w:t>指在除基本支出之外的支出，主要用于完成特定的工作任务和事业发展目标。</w:t>
      </w:r>
    </w:p>
    <w:p>
      <w:pPr>
        <w:pStyle w:val="7"/>
        <w:adjustRightInd w:val="0"/>
        <w:snapToGrid w:val="0"/>
        <w:spacing w:line="560" w:lineRule="exact"/>
        <w:ind w:firstLine="629" w:firstLineChars="196"/>
      </w:pPr>
      <w:r>
        <w:rPr>
          <w:rFonts w:hint="eastAsia" w:ascii="Times New Roman" w:hAnsi="Times New Roman" w:eastAsia="仿宋_GB2312" w:cs="Times New Roman"/>
          <w:b/>
          <w:sz w:val="32"/>
          <w:szCs w:val="32"/>
        </w:rPr>
        <w:t xml:space="preserve">十、机关运行经费: </w:t>
      </w:r>
      <w:r>
        <w:rPr>
          <w:rFonts w:hint="eastAsia"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NewRoman">
    <w:altName w:val="DejaVu Sans"/>
    <w:panose1 w:val="00000000000000000000"/>
    <w:charset w:val="00"/>
    <w:family w:val="auto"/>
    <w:pitch w:val="default"/>
    <w:sig w:usb0="00000000" w:usb1="00000000" w:usb2="00000029" w:usb3="00000000" w:csb0="6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4FF5E"/>
    <w:multiLevelType w:val="singleLevel"/>
    <w:tmpl w:val="6124FF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C3DA7"/>
    <w:rsid w:val="000E28EE"/>
    <w:rsid w:val="00267E33"/>
    <w:rsid w:val="004A4DC6"/>
    <w:rsid w:val="00513361"/>
    <w:rsid w:val="0057562B"/>
    <w:rsid w:val="00586FEC"/>
    <w:rsid w:val="006546AF"/>
    <w:rsid w:val="00726D96"/>
    <w:rsid w:val="00740B10"/>
    <w:rsid w:val="008F6D1A"/>
    <w:rsid w:val="009168AC"/>
    <w:rsid w:val="009A3CA3"/>
    <w:rsid w:val="00AE3242"/>
    <w:rsid w:val="00B92181"/>
    <w:rsid w:val="00B964EC"/>
    <w:rsid w:val="00BD640A"/>
    <w:rsid w:val="00DB2A5C"/>
    <w:rsid w:val="00E907C4"/>
    <w:rsid w:val="00EC7755"/>
    <w:rsid w:val="00F45ECB"/>
    <w:rsid w:val="00F974AD"/>
    <w:rsid w:val="01113D6B"/>
    <w:rsid w:val="01F4352D"/>
    <w:rsid w:val="020C008E"/>
    <w:rsid w:val="03065425"/>
    <w:rsid w:val="03B60BF9"/>
    <w:rsid w:val="03C86A80"/>
    <w:rsid w:val="041733A0"/>
    <w:rsid w:val="05410997"/>
    <w:rsid w:val="06477D96"/>
    <w:rsid w:val="067A4160"/>
    <w:rsid w:val="06C21FD0"/>
    <w:rsid w:val="06D976A1"/>
    <w:rsid w:val="08156EA6"/>
    <w:rsid w:val="083D71F3"/>
    <w:rsid w:val="08580838"/>
    <w:rsid w:val="087F5A5E"/>
    <w:rsid w:val="08A71BFF"/>
    <w:rsid w:val="09FC6C3A"/>
    <w:rsid w:val="0A3B2AE6"/>
    <w:rsid w:val="0A646CF8"/>
    <w:rsid w:val="0A874887"/>
    <w:rsid w:val="0A8D0252"/>
    <w:rsid w:val="0ADD2F10"/>
    <w:rsid w:val="0B090593"/>
    <w:rsid w:val="0C867E7E"/>
    <w:rsid w:val="0DE95727"/>
    <w:rsid w:val="0E352D3E"/>
    <w:rsid w:val="0E835B7C"/>
    <w:rsid w:val="11785740"/>
    <w:rsid w:val="1202500A"/>
    <w:rsid w:val="123D6042"/>
    <w:rsid w:val="1319085D"/>
    <w:rsid w:val="146244B6"/>
    <w:rsid w:val="16781D3E"/>
    <w:rsid w:val="17584751"/>
    <w:rsid w:val="17E07B9B"/>
    <w:rsid w:val="17E51656"/>
    <w:rsid w:val="189C7E42"/>
    <w:rsid w:val="19CF7EC7"/>
    <w:rsid w:val="1A2C27F4"/>
    <w:rsid w:val="1A5328A6"/>
    <w:rsid w:val="1A8B192F"/>
    <w:rsid w:val="1AA7401C"/>
    <w:rsid w:val="1B724FAE"/>
    <w:rsid w:val="1CC45CDD"/>
    <w:rsid w:val="1CCB64EE"/>
    <w:rsid w:val="1D156539"/>
    <w:rsid w:val="1E390005"/>
    <w:rsid w:val="1E6C776F"/>
    <w:rsid w:val="1EC50037"/>
    <w:rsid w:val="1F264A2D"/>
    <w:rsid w:val="1F642E60"/>
    <w:rsid w:val="1F812531"/>
    <w:rsid w:val="1F867880"/>
    <w:rsid w:val="1FC41B50"/>
    <w:rsid w:val="1FD20711"/>
    <w:rsid w:val="20DE431E"/>
    <w:rsid w:val="20FA1CCE"/>
    <w:rsid w:val="20FA7F20"/>
    <w:rsid w:val="21026DD4"/>
    <w:rsid w:val="21E169EA"/>
    <w:rsid w:val="22677590"/>
    <w:rsid w:val="22A85759"/>
    <w:rsid w:val="22DE117B"/>
    <w:rsid w:val="233A0AA7"/>
    <w:rsid w:val="233A73B2"/>
    <w:rsid w:val="24F34F33"/>
    <w:rsid w:val="253451C8"/>
    <w:rsid w:val="25653D41"/>
    <w:rsid w:val="25DA0320"/>
    <w:rsid w:val="25F72C80"/>
    <w:rsid w:val="25F74A2E"/>
    <w:rsid w:val="27751FA5"/>
    <w:rsid w:val="29070DD5"/>
    <w:rsid w:val="29487A86"/>
    <w:rsid w:val="296028EA"/>
    <w:rsid w:val="29CE3CF8"/>
    <w:rsid w:val="2AEC198D"/>
    <w:rsid w:val="2B06518F"/>
    <w:rsid w:val="2B342948"/>
    <w:rsid w:val="2BFB53D6"/>
    <w:rsid w:val="2C4249C3"/>
    <w:rsid w:val="2C534988"/>
    <w:rsid w:val="2D177764"/>
    <w:rsid w:val="2DB826ED"/>
    <w:rsid w:val="2E813A2E"/>
    <w:rsid w:val="2ED10EE4"/>
    <w:rsid w:val="2F77273B"/>
    <w:rsid w:val="2FEF6776"/>
    <w:rsid w:val="30006BD5"/>
    <w:rsid w:val="306929CC"/>
    <w:rsid w:val="30D75275"/>
    <w:rsid w:val="323A4620"/>
    <w:rsid w:val="32432DA9"/>
    <w:rsid w:val="331D7EC2"/>
    <w:rsid w:val="334943EF"/>
    <w:rsid w:val="338E4750"/>
    <w:rsid w:val="33B73A4E"/>
    <w:rsid w:val="34425A0E"/>
    <w:rsid w:val="34F565DC"/>
    <w:rsid w:val="35B86441"/>
    <w:rsid w:val="3651018A"/>
    <w:rsid w:val="3652180C"/>
    <w:rsid w:val="372E04CB"/>
    <w:rsid w:val="37653B93"/>
    <w:rsid w:val="37994671"/>
    <w:rsid w:val="389B0C93"/>
    <w:rsid w:val="399A1E48"/>
    <w:rsid w:val="39CD3FCC"/>
    <w:rsid w:val="3A383AE9"/>
    <w:rsid w:val="3BB07701"/>
    <w:rsid w:val="3D0870C9"/>
    <w:rsid w:val="3D493F2D"/>
    <w:rsid w:val="3D69400B"/>
    <w:rsid w:val="3D7B789B"/>
    <w:rsid w:val="3E3363C7"/>
    <w:rsid w:val="3EA90437"/>
    <w:rsid w:val="3EEA6238"/>
    <w:rsid w:val="3FEA4714"/>
    <w:rsid w:val="4157758D"/>
    <w:rsid w:val="422C159B"/>
    <w:rsid w:val="43162B06"/>
    <w:rsid w:val="435D1EBC"/>
    <w:rsid w:val="43D353AE"/>
    <w:rsid w:val="44BE2E8F"/>
    <w:rsid w:val="4565254D"/>
    <w:rsid w:val="45A04342"/>
    <w:rsid w:val="461D1E37"/>
    <w:rsid w:val="470524A8"/>
    <w:rsid w:val="47933E35"/>
    <w:rsid w:val="47E25725"/>
    <w:rsid w:val="48C81A51"/>
    <w:rsid w:val="48E42798"/>
    <w:rsid w:val="4A255F8A"/>
    <w:rsid w:val="4AF8077D"/>
    <w:rsid w:val="4B935107"/>
    <w:rsid w:val="4C0373D9"/>
    <w:rsid w:val="4C6E7AFC"/>
    <w:rsid w:val="4CAD5597"/>
    <w:rsid w:val="4D4C4DB0"/>
    <w:rsid w:val="4E1C688B"/>
    <w:rsid w:val="4E710F72"/>
    <w:rsid w:val="4E832A53"/>
    <w:rsid w:val="4F756840"/>
    <w:rsid w:val="4F9C69A4"/>
    <w:rsid w:val="4FDD5BCE"/>
    <w:rsid w:val="50AC2B50"/>
    <w:rsid w:val="50D2381E"/>
    <w:rsid w:val="5126426B"/>
    <w:rsid w:val="51C13FBE"/>
    <w:rsid w:val="521C11F4"/>
    <w:rsid w:val="53B139DB"/>
    <w:rsid w:val="53CF1D9C"/>
    <w:rsid w:val="53E47AF0"/>
    <w:rsid w:val="53E775E0"/>
    <w:rsid w:val="53F67AC7"/>
    <w:rsid w:val="5447099E"/>
    <w:rsid w:val="54891A20"/>
    <w:rsid w:val="54ED0C26"/>
    <w:rsid w:val="5503357A"/>
    <w:rsid w:val="552413D6"/>
    <w:rsid w:val="55C776C9"/>
    <w:rsid w:val="567C4958"/>
    <w:rsid w:val="56852DC4"/>
    <w:rsid w:val="577D2735"/>
    <w:rsid w:val="5892605D"/>
    <w:rsid w:val="591533E8"/>
    <w:rsid w:val="59DC2276"/>
    <w:rsid w:val="5A875D41"/>
    <w:rsid w:val="5AAB75B9"/>
    <w:rsid w:val="5B2575EE"/>
    <w:rsid w:val="5C3B671B"/>
    <w:rsid w:val="5C5F6BDB"/>
    <w:rsid w:val="5CDA4186"/>
    <w:rsid w:val="5CE13766"/>
    <w:rsid w:val="5D7C0A64"/>
    <w:rsid w:val="5E257622"/>
    <w:rsid w:val="5EDB5F93"/>
    <w:rsid w:val="5FB32A6C"/>
    <w:rsid w:val="60830F1F"/>
    <w:rsid w:val="62DE43C6"/>
    <w:rsid w:val="63E60AD8"/>
    <w:rsid w:val="64485E79"/>
    <w:rsid w:val="664A237C"/>
    <w:rsid w:val="66FB37A0"/>
    <w:rsid w:val="67380427"/>
    <w:rsid w:val="67D85766"/>
    <w:rsid w:val="682D7860"/>
    <w:rsid w:val="682E1D56"/>
    <w:rsid w:val="6945507D"/>
    <w:rsid w:val="6994190D"/>
    <w:rsid w:val="69CD5C8A"/>
    <w:rsid w:val="69CE009D"/>
    <w:rsid w:val="6A786215"/>
    <w:rsid w:val="6C7529F2"/>
    <w:rsid w:val="6DBB76BC"/>
    <w:rsid w:val="6DF937B1"/>
    <w:rsid w:val="6DFB3FA7"/>
    <w:rsid w:val="6E5B0AF4"/>
    <w:rsid w:val="6EB83BFB"/>
    <w:rsid w:val="6F1E7F02"/>
    <w:rsid w:val="70FE623D"/>
    <w:rsid w:val="71641E18"/>
    <w:rsid w:val="71D74828"/>
    <w:rsid w:val="72EB1F6B"/>
    <w:rsid w:val="72F908A9"/>
    <w:rsid w:val="73643D74"/>
    <w:rsid w:val="73B61051"/>
    <w:rsid w:val="74BC7AD2"/>
    <w:rsid w:val="751D2011"/>
    <w:rsid w:val="75734190"/>
    <w:rsid w:val="76235D1B"/>
    <w:rsid w:val="777F77D7"/>
    <w:rsid w:val="781B0975"/>
    <w:rsid w:val="78760DAF"/>
    <w:rsid w:val="79684009"/>
    <w:rsid w:val="79B060D9"/>
    <w:rsid w:val="79BC303D"/>
    <w:rsid w:val="79EB30D7"/>
    <w:rsid w:val="7A013FBA"/>
    <w:rsid w:val="7A164643"/>
    <w:rsid w:val="7B1B5296"/>
    <w:rsid w:val="7B8F3F36"/>
    <w:rsid w:val="7BD16F42"/>
    <w:rsid w:val="7C7970C0"/>
    <w:rsid w:val="7D4E22FA"/>
    <w:rsid w:val="7D823D52"/>
    <w:rsid w:val="7DA71AC8"/>
    <w:rsid w:val="7E1F4726"/>
    <w:rsid w:val="7E3037AE"/>
    <w:rsid w:val="7E30688A"/>
    <w:rsid w:val="7ECF2FC7"/>
    <w:rsid w:val="7EF30061"/>
    <w:rsid w:val="7F6F6558"/>
    <w:rsid w:val="7FD940B0"/>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line="590" w:lineRule="exact"/>
      <w:ind w:firstLine="880" w:firstLineChars="200"/>
    </w:pPr>
    <w:rPr>
      <w:rFonts w:ascii="Times New Roman" w:hAnsi="Times New Roman" w:eastAsia="方正仿宋_GBK" w:cs="Times New Roman"/>
      <w:snapToGrid w:val="0"/>
      <w:kern w:val="0"/>
      <w:sz w:val="32"/>
      <w:szCs w:val="32"/>
    </w:rPr>
  </w:style>
  <w:style w:type="paragraph" w:styleId="3">
    <w:name w:val="Body Text"/>
    <w:basedOn w:val="1"/>
    <w:next w:val="4"/>
    <w:qFormat/>
    <w:uiPriority w:val="0"/>
    <w:pPr>
      <w:spacing w:after="120"/>
    </w:pPr>
  </w:style>
  <w:style w:type="paragraph" w:styleId="4">
    <w:name w:val="Body Text First Indent"/>
    <w:basedOn w:val="3"/>
    <w:qFormat/>
    <w:uiPriority w:val="0"/>
    <w:pPr>
      <w:spacing w:line="500" w:lineRule="exact"/>
      <w:ind w:firstLine="420"/>
    </w:pPr>
    <w:rPr>
      <w:rFonts w:ascii="Calibri" w:hAnsi="Calibri"/>
      <w:sz w:val="2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99"/>
    <w:rPr>
      <w:b/>
      <w:bCs/>
    </w:rPr>
  </w:style>
  <w:style w:type="paragraph" w:customStyle="1" w:styleId="11">
    <w:name w:val="列出段落1"/>
    <w:basedOn w:val="1"/>
    <w:qFormat/>
    <w:uiPriority w:val="0"/>
    <w:pPr>
      <w:ind w:firstLine="420" w:firstLineChars="200"/>
    </w:p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paragraph" w:customStyle="1" w:styleId="14">
    <w:name w:val="表格文字"/>
    <w:basedOn w:val="1"/>
    <w:next w:val="3"/>
    <w:qFormat/>
    <w:uiPriority w:val="0"/>
    <w:pPr>
      <w:adjustRightInd w:val="0"/>
      <w:spacing w:line="420" w:lineRule="atLeast"/>
      <w:jc w:val="lef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5128</Words>
  <Characters>5747</Characters>
  <Lines>46</Lines>
  <Paragraphs>13</Paragraphs>
  <TotalTime>1</TotalTime>
  <ScaleCrop>false</ScaleCrop>
  <LinksUpToDate>false</LinksUpToDate>
  <CharactersWithSpaces>5858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2023-01-30T09:51:00Z</dcterms:created>
  <dc:creator>lenovo</dc:creator>
  <cp:lastModifiedBy>user</cp:lastModifiedBy>
  <dcterms:modified xsi:type="dcterms:W3CDTF">2025-02-12T09:07:04Z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eyJoZGlkIjoiMzAyMTgzY2QwOWY2OTlhZDg4MDJjOGU5ZmFhMzdkYzkiLCJ1c2VySWQiOiI0MzUzNTk3OTgifQ==</vt:lpwstr>
  </property>
  <property fmtid="{D5CDD505-2E9C-101B-9397-08002B2CF9AE}" pid="3" name="KSOProductBuildVer">
    <vt:lpwstr>2052-11.8.2.9849</vt:lpwstr>
  </property>
  <property fmtid="{D5CDD505-2E9C-101B-9397-08002B2CF9AE}" pid="4" name="ICV">
    <vt:lpwstr>C3B1DE94E84B4552AB7D5236B26E606B_12</vt:lpwstr>
  </property>
</Properties>
</file>