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p/>
    <w:p/>
    <w:p/>
    <w:p/>
    <w:p/>
    <w:p/>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传媒中心</w:t>
      </w:r>
      <w:r>
        <w:rPr>
          <w:rFonts w:hint="eastAsia" w:ascii="TimesNewRoman" w:hAnsi="TimesNewRoman" w:eastAsia="华文中宋" w:cs="TimesNewRoman"/>
          <w:b/>
          <w:sz w:val="44"/>
          <w:szCs w:val="44"/>
        </w:rPr>
        <w:t>2025年部门预算</w:t>
      </w:r>
    </w:p>
    <w:p/>
    <w:p/>
    <w:p/>
    <w:p/>
    <w:p/>
    <w:p/>
    <w:p/>
    <w:p/>
    <w:p/>
    <w:p/>
    <w:p/>
    <w:p/>
    <w:p/>
    <w:p/>
    <w:p/>
    <w:p/>
    <w:p/>
    <w:p/>
    <w:p/>
    <w:p/>
    <w:p/>
    <w:p/>
    <w:p>
      <w:pPr>
        <w:pStyle w:val="7"/>
        <w:adjustRightInd w:val="0"/>
        <w:snapToGrid w:val="0"/>
        <w:spacing w:line="560" w:lineRule="exact"/>
        <w:jc w:val="center"/>
        <w:rPr>
          <w:rFonts w:ascii="TimesNewRoman" w:hAnsi="TimesNewRoman" w:eastAsia="黑体" w:cs="TimesNewRoman"/>
          <w:bCs/>
          <w:sz w:val="44"/>
          <w:szCs w:val="44"/>
        </w:rPr>
      </w:pPr>
    </w:p>
    <w:p>
      <w:pPr>
        <w:pStyle w:val="7"/>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p/>
    <w:p>
      <w:pPr>
        <w:pStyle w:val="7"/>
        <w:adjustRightInd w:val="0"/>
        <w:snapToGrid w:val="0"/>
        <w:spacing w:line="560" w:lineRule="exact"/>
        <w:jc w:val="center"/>
        <w:rPr>
          <w:rFonts w:hint="eastAsia" w:ascii="TimesNewRoman" w:hAnsi="TimesNewRoman" w:eastAsia="黑体" w:cs="TimesNewRoman"/>
          <w:bCs/>
          <w:sz w:val="44"/>
          <w:szCs w:val="44"/>
        </w:rPr>
      </w:pPr>
    </w:p>
    <w:p>
      <w:pPr>
        <w:pStyle w:val="7"/>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7"/>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2、部门预算构成</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pPr>
        <w:pStyle w:val="7"/>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2025年部门预算表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2025年收支总表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2025年收入总表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2025年支出总表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2025年财政拨款收支总表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2025年一般公共预算支出表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2025年一般公共预算基本支出表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2025年政府性基金预算支出表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2025年国有资本经营预算支出表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2025年项目支出表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2025年政府采购支出表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2025年政府购买服务支出表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传媒中心</w:t>
      </w:r>
      <w:r>
        <w:rPr>
          <w:rFonts w:ascii="TimesNewRoman" w:hAnsi="TimesNewRoman" w:eastAsia="仿宋_GB2312" w:cs="TimesNewRoman"/>
          <w:bCs/>
          <w:sz w:val="32"/>
          <w:szCs w:val="32"/>
        </w:rPr>
        <w:t>2025年通用资产配置支出表</w:t>
      </w:r>
    </w:p>
    <w:p>
      <w:pPr>
        <w:pStyle w:val="7"/>
        <w:adjustRightInd w:val="0"/>
        <w:snapToGrid w:val="0"/>
        <w:spacing w:line="400" w:lineRule="exact"/>
        <w:ind w:firstLine="800" w:firstLineChars="250"/>
        <w:rPr>
          <w:rFonts w:ascii="TimesNewRoman" w:hAnsi="TimesNewRoman" w:eastAsia="仿宋_GB2312" w:cs="TimesNewRoman"/>
          <w:bCs/>
          <w:sz w:val="32"/>
          <w:szCs w:val="32"/>
        </w:rPr>
      </w:pPr>
    </w:p>
    <w:p>
      <w:pPr>
        <w:pStyle w:val="7"/>
        <w:adjustRightInd w:val="0"/>
        <w:snapToGrid w:val="0"/>
        <w:spacing w:line="400" w:lineRule="exact"/>
        <w:ind w:firstLine="800" w:firstLineChars="250"/>
        <w:rPr>
          <w:rFonts w:ascii="TimesNewRoman" w:hAnsi="TimesNewRoman" w:eastAsia="仿宋_GB2312" w:cs="TimesNewRoman"/>
          <w:bCs/>
          <w:sz w:val="32"/>
          <w:szCs w:val="32"/>
        </w:rPr>
      </w:pPr>
    </w:p>
    <w:p>
      <w:pPr>
        <w:pStyle w:val="7"/>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2025年部门预算情况说明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pPr>
        <w:pStyle w:val="7"/>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7"/>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2025年部门预算纳入绩效考评项目表</w:t>
      </w:r>
    </w:p>
    <w:p>
      <w:pPr>
        <w:pStyle w:val="7"/>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bCs/>
          <w:sz w:val="32"/>
          <w:szCs w:val="32"/>
        </w:rPr>
        <w:t>2025年部门预算专项资金管理清单（专栏公开）</w:t>
      </w:r>
    </w:p>
    <w:p>
      <w:pPr>
        <w:pStyle w:val="7"/>
        <w:adjustRightInd w:val="0"/>
        <w:snapToGrid w:val="0"/>
        <w:spacing w:line="400" w:lineRule="exact"/>
        <w:ind w:firstLine="800" w:firstLineChars="250"/>
        <w:rPr>
          <w:rFonts w:ascii="TimesNewRoman" w:hAnsi="TimesNewRoman" w:eastAsia="仿宋_GB2312" w:cs="TimesNewRoman"/>
          <w:bCs/>
          <w:sz w:val="32"/>
          <w:szCs w:val="32"/>
        </w:rPr>
      </w:pPr>
    </w:p>
    <w:p>
      <w:pPr>
        <w:pStyle w:val="7"/>
        <w:adjustRightInd w:val="0"/>
        <w:snapToGrid w:val="0"/>
        <w:spacing w:line="560" w:lineRule="exact"/>
        <w:jc w:val="center"/>
        <w:rPr>
          <w:rFonts w:hint="eastAsia" w:ascii="TimesNewRoman" w:hAnsi="TimesNewRoman" w:eastAsia="黑体" w:cs="TimesNewRoman"/>
          <w:bCs/>
          <w:sz w:val="36"/>
          <w:szCs w:val="36"/>
        </w:rPr>
      </w:pPr>
    </w:p>
    <w:p>
      <w:pPr>
        <w:pStyle w:val="7"/>
        <w:adjustRightInd w:val="0"/>
        <w:snapToGrid w:val="0"/>
        <w:spacing w:line="560" w:lineRule="exact"/>
        <w:jc w:val="center"/>
        <w:rPr>
          <w:rFonts w:hint="eastAsia" w:ascii="TimesNewRoman" w:hAnsi="TimesNewRoman" w:eastAsia="黑体" w:cs="TimesNewRoman"/>
          <w:bCs/>
          <w:sz w:val="36"/>
          <w:szCs w:val="36"/>
        </w:rPr>
      </w:pPr>
    </w:p>
    <w:p>
      <w:pPr>
        <w:pStyle w:val="7"/>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pStyle w:val="7"/>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（一）根据中共淮北市委办公室办（2020）23号文件规定，淮北市传媒中心主要职责是：</w:t>
      </w:r>
    </w:p>
    <w:p>
      <w:pPr>
        <w:pStyle w:val="7"/>
        <w:adjustRightInd w:val="0"/>
        <w:snapToGrid w:val="0"/>
        <w:spacing w:line="560" w:lineRule="exact"/>
        <w:ind w:firstLine="627" w:firstLineChars="196"/>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rPr>
        <w:t>（一）贯彻执行党和国家有关新闻宣传工作的路线、方</w:t>
      </w:r>
      <w:r>
        <w:rPr>
          <w:rFonts w:hint="eastAsia" w:ascii="TimesNewRoman" w:hAnsi="TimesNewRoman" w:eastAsia="仿宋_GB2312" w:cs="TimesNewRoman"/>
          <w:bCs/>
          <w:sz w:val="32"/>
          <w:szCs w:val="32"/>
          <w:lang w:eastAsia="zh-CN"/>
        </w:rPr>
        <w:t>针</w:t>
      </w:r>
      <w:r>
        <w:rPr>
          <w:rFonts w:hint="eastAsia" w:ascii="TimesNewRoman" w:hAnsi="TimesNewRoman" w:eastAsia="仿宋_GB2312" w:cs="TimesNewRoman"/>
          <w:bCs/>
          <w:sz w:val="32"/>
          <w:szCs w:val="32"/>
        </w:rPr>
        <w:t>政策，坚持正确舆论导向，制定并实施中心发展规划和管理办法，巩固宣传思想文化阵地，壮大主流思想舆论，推动传统媒体和新兴媒体的融合发展</w:t>
      </w:r>
      <w:r>
        <w:rPr>
          <w:rFonts w:hint="eastAsia" w:ascii="TimesNewRoman" w:hAnsi="TimesNewRoman" w:eastAsia="仿宋_GB2312" w:cs="TimesNewRoman"/>
          <w:bCs/>
          <w:sz w:val="32"/>
          <w:szCs w:val="32"/>
          <w:lang w:eastAsia="zh-CN"/>
        </w:rPr>
        <w:t>。</w:t>
      </w:r>
    </w:p>
    <w:p>
      <w:pPr>
        <w:pStyle w:val="7"/>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（二）根据市委、市政府中心工作和上级有关要求，确定阶段性宣传重点，进行典型宣传、热点引导、舆论监督，组织好重大活动和重大事件的宣传报道，把握好舆论导向和宣传口径。</w:t>
      </w:r>
    </w:p>
    <w:p>
      <w:pPr>
        <w:pStyle w:val="7"/>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三</w:t>
      </w:r>
      <w:r>
        <w:rPr>
          <w:rFonts w:hint="eastAsia" w:ascii="TimesNewRoman" w:hAnsi="TimesNewRoman" w:eastAsia="仿宋_GB2312" w:cs="TimesNewRoman"/>
          <w:bCs/>
          <w:sz w:val="32"/>
          <w:szCs w:val="32"/>
        </w:rPr>
        <w:t>）贯彻行业管理有关规定，负责广播电视及融媒体设备设施的安全保障工作，加强报纸的安全出版、广播电视节目的优质安全播出工作；负责广播、电视等频率和频道资源的申报、管理和使用。</w:t>
      </w:r>
    </w:p>
    <w:p>
      <w:pPr>
        <w:pStyle w:val="7"/>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四</w:t>
      </w:r>
      <w:r>
        <w:rPr>
          <w:rFonts w:hint="eastAsia" w:ascii="TimesNewRoman" w:hAnsi="TimesNewRoman" w:eastAsia="仿宋_GB2312" w:cs="TimesNewRoman"/>
          <w:bCs/>
          <w:sz w:val="32"/>
          <w:szCs w:val="32"/>
        </w:rPr>
        <w:t>）负责制定并组织实施中心产业发展规划，依照政府授权，在确保实现公益目标的前提下，依法开展相关经营活动。</w:t>
      </w:r>
    </w:p>
    <w:p>
      <w:pPr>
        <w:pStyle w:val="7"/>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五</w:t>
      </w:r>
      <w:r>
        <w:rPr>
          <w:rFonts w:hint="eastAsia" w:ascii="TimesNewRoman" w:hAnsi="TimesNewRoman" w:eastAsia="仿宋_GB2312" w:cs="TimesNewRoman"/>
          <w:bCs/>
          <w:sz w:val="32"/>
          <w:szCs w:val="32"/>
        </w:rPr>
        <w:t>）管理中心所属报纸、广播、电视、网站、客户端、微信公众号、微博等意识形态阵地，承办各类重大宣传活动。</w:t>
      </w:r>
    </w:p>
    <w:p>
      <w:pPr>
        <w:pStyle w:val="7"/>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六</w:t>
      </w:r>
      <w:r>
        <w:rPr>
          <w:rFonts w:hint="eastAsia" w:ascii="TimesNewRoman" w:hAnsi="TimesNewRoman" w:eastAsia="仿宋_GB2312" w:cs="TimesNewRoman"/>
          <w:bCs/>
          <w:sz w:val="32"/>
          <w:szCs w:val="32"/>
        </w:rPr>
        <w:t>）负责报纸、广播电视节目、新媒体作品的创新创优工作，树立精品意识，打造品牌节目。</w:t>
      </w:r>
    </w:p>
    <w:p>
      <w:pPr>
        <w:pStyle w:val="7"/>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完成市委、市政府和上级部门交办的其他任务。</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pPr>
        <w:pStyle w:val="7"/>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（部门预算构成：）从预算单位构成看，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传媒中心</w:t>
      </w:r>
      <w:r>
        <w:rPr>
          <w:rFonts w:hint="eastAsia" w:ascii="TimesNewRoman" w:hAnsi="TimesNewRoman" w:eastAsia="仿宋_GB2312" w:cs="TimesNewRoman"/>
          <w:sz w:val="32"/>
          <w:szCs w:val="32"/>
        </w:rPr>
        <w:t>2025年度部门预算仅包括局（委）本级预算，无其他下属单位预算。</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40"/>
          <w:lang w:val="en-US" w:eastAsia="zh-CN"/>
        </w:rPr>
      </w:pPr>
      <w:bookmarkStart w:id="0" w:name="OLE_LINK1"/>
      <w:r>
        <w:rPr>
          <w:rFonts w:hint="default" w:ascii="Times New Roman" w:hAnsi="Times New Roman" w:eastAsia="仿宋_GB2312" w:cs="Times New Roman"/>
          <w:sz w:val="32"/>
          <w:szCs w:val="40"/>
          <w:lang w:val="en-US" w:eastAsia="zh-CN"/>
        </w:rPr>
        <w:t>坚持以习近平新时代中国特色社会主义思想为指导，深入贯彻落实党的二十大和二十届三中全会精神，坚定党管媒体根本属性，树立有解思维，有限聚焦，久久为功，抢抓全国试点和集团化改革历史机遇，建立适应全媒体生产传播评价体系，拓展契合市场需求的全媒体经营模式，建成淮海经济区一流新型文化传媒集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b/>
          <w:bCs/>
          <w:sz w:val="32"/>
          <w:szCs w:val="40"/>
          <w:lang w:val="en-US" w:eastAsia="zh-CN"/>
        </w:rPr>
        <w:t>一是优化内容供给，当好主力军、挺进主战场。</w:t>
      </w:r>
      <w:r>
        <w:rPr>
          <w:rFonts w:hint="default" w:ascii="Times New Roman" w:hAnsi="Times New Roman" w:eastAsia="仿宋_GB2312" w:cs="Times New Roman"/>
          <w:sz w:val="32"/>
          <w:szCs w:val="40"/>
          <w:lang w:val="en-US" w:eastAsia="zh-CN"/>
        </w:rPr>
        <w:t>强化“不出事，再出彩”理念，在全国重大热点事项上积极作为、主动发声，敏锐捕捉接地气、有温度的优质内容，切实提升新闻舆论传播力引导力影响力公信力。开展总编走基层行动，坚持内容服务为王，工作下沉，贴着“地皮”找新闻，当好市直部门、县区、镇办、企业的“宣传策划部长”，精益求精打造让用户叫好的内容产品。运用</w:t>
      </w:r>
      <w:r>
        <w:rPr>
          <w:rFonts w:hint="eastAsia" w:ascii="Times New Roman" w:hAnsi="Times New Roman" w:eastAsia="仿宋_GB2312" w:cs="Times New Roman"/>
          <w:sz w:val="32"/>
          <w:szCs w:val="40"/>
          <w:lang w:val="en-US" w:eastAsia="zh-CN"/>
        </w:rPr>
        <w:t>好</w:t>
      </w:r>
      <w:r>
        <w:rPr>
          <w:rFonts w:hint="default" w:ascii="Times New Roman" w:hAnsi="Times New Roman" w:eastAsia="仿宋_GB2312" w:cs="Times New Roman"/>
          <w:sz w:val="32"/>
          <w:szCs w:val="40"/>
          <w:lang w:val="en-US" w:eastAsia="zh-CN"/>
        </w:rPr>
        <w:t>“城市云屏”</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应急广播</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等特色阵地，适应分众化、差异化传播趋势，加强传播手段和话语方式创新，让党的创新理论“飞入寻常百姓家”。</w:t>
      </w:r>
      <w:r>
        <w:rPr>
          <w:rFonts w:hint="eastAsia" w:ascii="Times New Roman" w:hAnsi="Times New Roman" w:eastAsia="仿宋_GB2312" w:cs="Times New Roman"/>
          <w:sz w:val="32"/>
          <w:szCs w:val="40"/>
          <w:lang w:val="en-US" w:eastAsia="zh-CN"/>
        </w:rPr>
        <w:t>大力</w:t>
      </w:r>
      <w:r>
        <w:rPr>
          <w:rFonts w:hint="default" w:ascii="Times New Roman" w:hAnsi="Times New Roman" w:eastAsia="仿宋_GB2312" w:cs="Times New Roman"/>
          <w:sz w:val="32"/>
          <w:szCs w:val="40"/>
          <w:lang w:val="en-US" w:eastAsia="zh-CN"/>
        </w:rPr>
        <w:t>宣传“记住淮北的人”和“被淮北记住的人”，放大淮北“朋友圈”，影响有影响力的人。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b/>
          <w:bCs/>
          <w:sz w:val="32"/>
          <w:szCs w:val="40"/>
          <w:lang w:val="en-US" w:eastAsia="zh-CN"/>
        </w:rPr>
        <w:t>二是深耕本土资源，打造被群众需要的应用场景。</w:t>
      </w:r>
      <w:r>
        <w:rPr>
          <w:rFonts w:hint="default" w:ascii="Times New Roman" w:hAnsi="Times New Roman" w:eastAsia="仿宋_GB2312" w:cs="Times New Roman"/>
          <w:sz w:val="32"/>
          <w:szCs w:val="40"/>
          <w:lang w:val="en-US" w:eastAsia="zh-CN"/>
        </w:rPr>
        <w:t>邀请用户一起做平台，打造被客户需要的具有区域影响力和淮北辨识度的应用场景，增强用户黏性，把问题变机遇、把主意变生意。开展“相信”客户端招聘工作，完成小记者平台基础运算资源等相关工作，探索研学基地运营模式，进行消费券产品融合支付实景测试。推深做实“说办就办”“政风行风热线”等栏目，构建群众反映、媒体转交、部门办理、监督报道、整改追踪、结果反馈、百姓评价、舆情分析、内参建议的闭环运行模式，搭建为民惠企“连心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b/>
          <w:bCs/>
          <w:sz w:val="32"/>
          <w:szCs w:val="40"/>
          <w:lang w:val="en-US" w:eastAsia="zh-CN"/>
        </w:rPr>
        <w:t>三是拓展经营渠道，增强文化产业反哺新闻主业能力。</w:t>
      </w:r>
      <w:r>
        <w:rPr>
          <w:rFonts w:hint="default" w:ascii="Times New Roman" w:hAnsi="Times New Roman" w:eastAsia="仿宋_GB2312" w:cs="Times New Roman"/>
          <w:sz w:val="32"/>
          <w:szCs w:val="40"/>
          <w:lang w:val="en-US" w:eastAsia="zh-CN"/>
        </w:rPr>
        <w:t>以改革探索、平台思维、市场逻辑、资本力量发展文化产业，采取柔性引进人才战略，凝聚事业合伙人，培养职业经理人，加强与中国电影基金会、中关村产业发展集团、澎湃新闻的合作，全力拓展产业发展新赛道。创新广告形式，创造新的盈利增长点。承办各类活动，发展会展经济。探索电商服务，开发“淮北‘游’礼”系列文创产品，助力“消费助农”。建设中小学素质教育基地，谋划中小学生职业生活体验馆二期和三期项目。争取保密资质，拓展印刷业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b/>
          <w:bCs/>
          <w:sz w:val="32"/>
          <w:szCs w:val="40"/>
          <w:lang w:val="en-US" w:eastAsia="zh-CN"/>
        </w:rPr>
        <w:t>四是推进体制机制改革，激发创新发展动能。</w:t>
      </w:r>
      <w:r>
        <w:rPr>
          <w:rFonts w:hint="default" w:ascii="Times New Roman" w:hAnsi="Times New Roman" w:eastAsia="仿宋_GB2312" w:cs="Times New Roman"/>
          <w:sz w:val="32"/>
          <w:szCs w:val="40"/>
          <w:lang w:val="en-US" w:eastAsia="zh-CN"/>
        </w:rPr>
        <w:t>学习借鉴湖州</w:t>
      </w:r>
      <w:r>
        <w:rPr>
          <w:rFonts w:hint="eastAsia" w:ascii="Times New Roman" w:hAnsi="Times New Roman" w:eastAsia="仿宋_GB2312" w:cs="Times New Roman"/>
          <w:sz w:val="32"/>
          <w:szCs w:val="40"/>
          <w:lang w:val="en-US" w:eastAsia="zh-CN"/>
        </w:rPr>
        <w:t>、芜湖</w:t>
      </w:r>
      <w:r>
        <w:rPr>
          <w:rFonts w:hint="default" w:ascii="Times New Roman" w:hAnsi="Times New Roman" w:eastAsia="仿宋_GB2312" w:cs="Times New Roman"/>
          <w:sz w:val="32"/>
          <w:szCs w:val="40"/>
          <w:lang w:val="en-US" w:eastAsia="zh-CN"/>
        </w:rPr>
        <w:t>等地经验，坚持开门办媒体，用头脑风暴打开思维格局，保持对前沿技术的敏感性，秉承“有作为才有地位”的用人导向，凭成绩拿绩效，不吃“大锅饭”。树立抢市场意识，打造融媒工作室等小型集约化团队，推动核心创意快速落地。</w:t>
      </w:r>
      <w:r>
        <w:rPr>
          <w:rFonts w:hint="default" w:ascii="Times New Roman" w:hAnsi="Times New Roman" w:eastAsia="仿宋_GB2312" w:cs="Times New Roman"/>
          <w:sz w:val="32"/>
          <w:szCs w:val="40"/>
          <w:lang w:val="en-US" w:eastAsia="zh-CN"/>
        </w:rPr>
        <w:fldChar w:fldCharType="begin"/>
      </w:r>
      <w:r>
        <w:rPr>
          <w:rFonts w:hint="default" w:ascii="Times New Roman" w:hAnsi="Times New Roman" w:eastAsia="仿宋_GB2312" w:cs="Times New Roman"/>
          <w:sz w:val="32"/>
          <w:szCs w:val="40"/>
          <w:lang w:val="en-US" w:eastAsia="zh-CN"/>
        </w:rPr>
        <w:instrText xml:space="preserve"> HYPERLINK "http://www.baidu.com/link?url=sYfYH1SrRKIZ865EdBwZ2GhXN718lZsFenvL3UNi36l-tSZlZw6uvurr13kQaQ44CfVPeHtDZGP2uI-MDnP-mSVNtlSmFg9X8kvyq2ZX8TQGU4cpCr2FRQZpG_VDuiw4OvGrV4oNiUwQKZX306hFtH0yg_zQ2BXAI7FjtVp74z2B39a3PrSgWIgmzKGP4Uj2ga0IAiyHRgOxZwIImKUrlNFT9VsSQShWE_ZHYeiPHC-ghwJij5iJc2vW6-JdskBFzQmWsHuYz7IP9rj0yfOBCa" \t "https://www.baidu.com/_blank" </w:instrText>
      </w:r>
      <w:r>
        <w:rPr>
          <w:rFonts w:hint="default" w:ascii="Times New Roman" w:hAnsi="Times New Roman" w:eastAsia="仿宋_GB2312" w:cs="Times New Roman"/>
          <w:sz w:val="32"/>
          <w:szCs w:val="40"/>
          <w:lang w:val="en-US" w:eastAsia="zh-CN"/>
        </w:rPr>
        <w:fldChar w:fldCharType="separate"/>
      </w:r>
      <w:r>
        <w:rPr>
          <w:rFonts w:hint="default" w:ascii="Times New Roman" w:hAnsi="Times New Roman" w:eastAsia="仿宋_GB2312" w:cs="Times New Roman"/>
          <w:sz w:val="32"/>
          <w:szCs w:val="40"/>
          <w:lang w:val="en-US" w:eastAsia="zh-CN"/>
        </w:rPr>
        <w:t>打破身份界限</w:t>
      </w:r>
      <w:r>
        <w:rPr>
          <w:rFonts w:hint="default" w:ascii="Times New Roman" w:hAnsi="Times New Roman" w:eastAsia="仿宋_GB2312" w:cs="Times New Roman"/>
          <w:sz w:val="32"/>
          <w:szCs w:val="40"/>
          <w:lang w:val="en-US" w:eastAsia="zh-CN"/>
        </w:rPr>
        <w:fldChar w:fldCharType="end"/>
      </w:r>
      <w:r>
        <w:rPr>
          <w:rFonts w:hint="default" w:ascii="Times New Roman" w:hAnsi="Times New Roman" w:eastAsia="仿宋_GB2312" w:cs="Times New Roman"/>
          <w:sz w:val="32"/>
          <w:szCs w:val="40"/>
          <w:lang w:val="en-US" w:eastAsia="zh-CN"/>
        </w:rPr>
        <w:t>，全体起立、双向选择，以“爆款”论英雄，以“传播力”排座次，最大程度调动管理者及其团队的积极性和创造力。</w:t>
      </w:r>
    </w:p>
    <w:bookmarkEnd w:id="0"/>
    <w:p/>
    <w:p>
      <w:pPr>
        <w:pStyle w:val="7"/>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2025年部门预算表</w:t>
      </w:r>
    </w:p>
    <w:p>
      <w:pPr>
        <w:pStyle w:val="7"/>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r>
        <w:t xml:space="preserve">                                        </w:t>
      </w:r>
    </w:p>
    <w:p>
      <w:pPr>
        <w:pStyle w:val="7"/>
        <w:adjustRightInd w:val="0"/>
        <w:snapToGrid w:val="0"/>
        <w:spacing w:line="560" w:lineRule="exact"/>
        <w:jc w:val="center"/>
        <w:rPr>
          <w:rFonts w:hint="eastAsia" w:ascii="TimesNewRoman" w:hAnsi="TimesNewRoman" w:eastAsia="黑体" w:cs="TimesNewRoman"/>
          <w:bCs/>
          <w:sz w:val="36"/>
          <w:szCs w:val="36"/>
        </w:rPr>
      </w:pPr>
    </w:p>
    <w:p>
      <w:pPr>
        <w:pStyle w:val="7"/>
        <w:adjustRightInd w:val="0"/>
        <w:snapToGrid w:val="0"/>
        <w:spacing w:line="560" w:lineRule="exact"/>
        <w:jc w:val="center"/>
        <w:rPr>
          <w:rFonts w:hint="eastAsia" w:ascii="TimesNewRoman" w:hAnsi="TimesNewRoman" w:eastAsia="黑体" w:cs="TimesNewRoman"/>
          <w:bCs/>
          <w:sz w:val="36"/>
          <w:szCs w:val="36"/>
        </w:rPr>
      </w:pPr>
    </w:p>
    <w:p>
      <w:pPr>
        <w:pStyle w:val="7"/>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2025年部门预算情况说明</w:t>
      </w:r>
    </w:p>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pPr>
        <w:pStyle w:val="7"/>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传媒中心</w:t>
      </w:r>
      <w:r>
        <w:rPr>
          <w:rFonts w:hint="eastAsia" w:ascii="TimesNewRoman" w:hAnsi="TimesNewRoman" w:eastAsia="仿宋_GB2312" w:cs="TimesNewRoman"/>
          <w:sz w:val="32"/>
          <w:szCs w:val="32"/>
        </w:rPr>
        <w:t>所有收入和支出均纳入部门预算管理。淮北市</w:t>
      </w:r>
      <w:r>
        <w:rPr>
          <w:rFonts w:hint="eastAsia" w:ascii="TimesNewRoman" w:hAnsi="TimesNewRoman" w:eastAsia="仿宋_GB2312" w:cs="TimesNewRoman"/>
          <w:sz w:val="32"/>
          <w:szCs w:val="32"/>
          <w:lang w:eastAsia="zh-CN"/>
        </w:rPr>
        <w:t>传媒中心</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6138.21</w:t>
      </w:r>
      <w:r>
        <w:rPr>
          <w:rFonts w:hint="eastAsia" w:ascii="TimesNewRoman" w:hAnsi="TimesNewRoman" w:eastAsia="仿宋_GB2312" w:cs="TimesNewRoman"/>
          <w:sz w:val="32"/>
          <w:szCs w:val="32"/>
        </w:rPr>
        <w:t>万元，收入</w:t>
      </w:r>
      <w:r>
        <w:rPr>
          <w:rFonts w:hint="eastAsia" w:ascii="TimesNewRoman" w:hAnsi="TimesNewRoman" w:eastAsia="仿宋_GB2312" w:cs="TimesNewRoman"/>
          <w:sz w:val="32"/>
          <w:szCs w:val="32"/>
          <w:lang w:eastAsia="zh-CN"/>
        </w:rPr>
        <w:t>全部是</w:t>
      </w:r>
      <w:r>
        <w:rPr>
          <w:rFonts w:hint="eastAsia" w:ascii="TimesNewRoman" w:hAnsi="TimesNewRoman" w:eastAsia="仿宋_GB2312" w:cs="TimesNewRoman"/>
          <w:sz w:val="32"/>
          <w:szCs w:val="32"/>
        </w:rPr>
        <w:t>一般公共预算拨款收入</w:t>
      </w:r>
      <w:r>
        <w:rPr>
          <w:rFonts w:hint="eastAsia" w:ascii="TimesNewRoman" w:hAnsi="TimesNewRoman" w:eastAsia="仿宋_GB2312" w:cs="TimesNewRoman"/>
          <w:sz w:val="32"/>
          <w:szCs w:val="32"/>
          <w:lang w:val="en-US" w:eastAsia="zh-CN"/>
        </w:rPr>
        <w:t>6138.21万元；支出包括文化旅游体育与传媒支出6138.21万元</w:t>
      </w:r>
      <w:r>
        <w:rPr>
          <w:rFonts w:hint="eastAsia" w:ascii="TimesNewRoman" w:hAnsi="TimesNewRoman" w:eastAsia="仿宋_GB2312" w:cs="TimesNewRoman"/>
          <w:sz w:val="32"/>
          <w:szCs w:val="32"/>
        </w:rPr>
        <w:t>。</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kern w:val="0"/>
          <w:sz w:val="32"/>
          <w:szCs w:val="32"/>
          <w:lang w:val="en-US" w:eastAsia="zh-CN"/>
        </w:rPr>
        <w:t>6138.21</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6138.21</w:t>
      </w:r>
      <w:r>
        <w:rPr>
          <w:rFonts w:hint="eastAsia" w:ascii="TimesNewRoman" w:hAnsi="TimesNewRoman" w:eastAsia="仿宋_GB2312" w:cs="TimesNewRoman"/>
          <w:kern w:val="0"/>
          <w:sz w:val="32"/>
          <w:szCs w:val="32"/>
        </w:rPr>
        <w:t>万元。</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6138.21</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6138.21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248.93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4.2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淮北市传媒中心按照党的二十大“加强全媒体传播体系建设，塑造舆论新格局”总体部署，成立淮北文化传媒集团，力争收入稳步增长</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传媒中心无政府性基金预算拨款收入</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传媒中心无财政专户管理资金收入</w:t>
      </w:r>
      <w:r>
        <w:rPr>
          <w:rFonts w:hint="eastAsia" w:ascii="TimesNewRoman" w:hAnsi="TimesNewRoman" w:eastAsia="仿宋_GB2312" w:cs="TimesNewRoman"/>
          <w:kern w:val="0"/>
          <w:sz w:val="32"/>
          <w:szCs w:val="32"/>
        </w:rPr>
        <w:t>。</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kern w:val="0"/>
          <w:sz w:val="32"/>
          <w:szCs w:val="32"/>
          <w:lang w:val="en-US" w:eastAsia="zh-CN"/>
        </w:rPr>
        <w:t>6138.21</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248.93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4.2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基本支出工资社保增加</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5344.61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87.07</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793.6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12.93</w:t>
      </w:r>
      <w:r>
        <w:rPr>
          <w:rFonts w:hint="eastAsia" w:ascii="TimesNewRoman" w:hAnsi="TimesNewRoman" w:eastAsia="仿宋_GB2312" w:cs="TimesNewRoman"/>
          <w:kern w:val="0"/>
          <w:sz w:val="32"/>
          <w:szCs w:val="32"/>
        </w:rPr>
        <w:t>%，主要用于障机构日常运转、完成日常工作任务</w:t>
      </w:r>
      <w:r>
        <w:rPr>
          <w:rFonts w:hint="eastAsia" w:ascii="TimesNewRoman" w:hAnsi="TimesNewRoman" w:eastAsia="仿宋_GB2312" w:cs="TimesNewRoman"/>
          <w:kern w:val="0"/>
          <w:sz w:val="32"/>
          <w:szCs w:val="32"/>
          <w:lang w:eastAsia="zh-CN"/>
        </w:rPr>
        <w:t>及应急广播平台运维以及对外城市形象宣传</w:t>
      </w:r>
      <w:r>
        <w:rPr>
          <w:rFonts w:hint="eastAsia" w:ascii="TimesNewRoman" w:hAnsi="TimesNewRoman" w:eastAsia="仿宋_GB2312" w:cs="TimesNewRoman"/>
          <w:kern w:val="0"/>
          <w:sz w:val="32"/>
          <w:szCs w:val="32"/>
        </w:rPr>
        <w:t>。</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kern w:val="0"/>
          <w:sz w:val="32"/>
          <w:szCs w:val="32"/>
          <w:lang w:val="en-US" w:eastAsia="zh-CN"/>
        </w:rPr>
        <w:t>6138.21</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6138.21</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6138.21</w:t>
      </w:r>
      <w:r>
        <w:rPr>
          <w:rFonts w:hint="eastAsia" w:ascii="TimesNewRoman" w:hAnsi="TimesNewRoman" w:eastAsia="仿宋_GB2312" w:cs="TimesNewRoman"/>
          <w:kern w:val="0"/>
          <w:sz w:val="32"/>
          <w:szCs w:val="32"/>
        </w:rPr>
        <w:t>万元。支出按功能分类分为：</w:t>
      </w:r>
      <w:r>
        <w:rPr>
          <w:rFonts w:hint="eastAsia" w:ascii="TimesNewRoman" w:hAnsi="TimesNewRoman" w:eastAsia="仿宋_GB2312" w:cs="TimesNewRoman"/>
          <w:kern w:val="0"/>
          <w:sz w:val="32"/>
          <w:szCs w:val="32"/>
          <w:lang w:eastAsia="zh-CN"/>
        </w:rPr>
        <w:t>文化旅游体育与传媒支出</w:t>
      </w:r>
      <w:r>
        <w:rPr>
          <w:rFonts w:hint="eastAsia" w:ascii="TimesNewRoman" w:hAnsi="TimesNewRoman" w:eastAsia="仿宋_GB2312" w:cs="TimesNewRoman"/>
          <w:kern w:val="0"/>
          <w:sz w:val="32"/>
          <w:szCs w:val="32"/>
          <w:lang w:val="en-US" w:eastAsia="zh-CN"/>
        </w:rPr>
        <w:t>6138.21</w:t>
      </w:r>
      <w:r>
        <w:rPr>
          <w:rFonts w:hint="eastAsia" w:ascii="TimesNewRoman" w:hAnsi="TimesNewRoman" w:eastAsia="仿宋_GB2312" w:cs="TimesNewRoman"/>
          <w:kern w:val="0"/>
          <w:sz w:val="32"/>
          <w:szCs w:val="32"/>
          <w:lang w:eastAsia="zh-CN"/>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pPr>
        <w:pStyle w:val="7"/>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pStyle w:val="7"/>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kern w:val="0"/>
          <w:sz w:val="32"/>
          <w:szCs w:val="32"/>
          <w:lang w:val="en-US" w:eastAsia="zh-CN"/>
        </w:rPr>
        <w:t>6138.21</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248.93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4.2</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val="en-US" w:eastAsia="zh-CN"/>
        </w:rPr>
        <w:t>24年</w:t>
      </w:r>
      <w:r>
        <w:rPr>
          <w:rFonts w:hint="eastAsia" w:ascii="TimesNewRoman" w:hAnsi="TimesNewRoman" w:eastAsia="仿宋_GB2312" w:cs="TimesNewRoman"/>
          <w:kern w:val="0"/>
          <w:sz w:val="32"/>
          <w:szCs w:val="32"/>
          <w:lang w:eastAsia="zh-CN"/>
        </w:rPr>
        <w:t>成立淮北文化传媒集团，所有编外人员企业化管理及人员退休、调动、离职，导致</w:t>
      </w:r>
      <w:r>
        <w:rPr>
          <w:rFonts w:hint="eastAsia" w:ascii="TimesNewRoman" w:hAnsi="TimesNewRoman" w:eastAsia="仿宋_GB2312" w:cs="TimesNewRoman"/>
          <w:kern w:val="0"/>
          <w:sz w:val="32"/>
          <w:szCs w:val="32"/>
          <w:lang w:val="en-US" w:eastAsia="zh-CN"/>
        </w:rPr>
        <w:t>24年</w:t>
      </w:r>
      <w:r>
        <w:rPr>
          <w:rFonts w:hint="eastAsia" w:ascii="TimesNewRoman" w:hAnsi="TimesNewRoman" w:eastAsia="仿宋_GB2312" w:cs="TimesNewRoman"/>
          <w:kern w:val="0"/>
          <w:sz w:val="32"/>
          <w:szCs w:val="32"/>
          <w:lang w:eastAsia="zh-CN"/>
        </w:rPr>
        <w:t>在职人员经费减少，</w:t>
      </w:r>
      <w:r>
        <w:rPr>
          <w:rFonts w:hint="eastAsia" w:ascii="TimesNewRoman" w:hAnsi="TimesNewRoman" w:eastAsia="仿宋_GB2312" w:cs="TimesNewRoman"/>
          <w:kern w:val="0"/>
          <w:sz w:val="32"/>
          <w:szCs w:val="32"/>
          <w:lang w:val="en-US" w:eastAsia="zh-CN"/>
        </w:rPr>
        <w:t>25年改变拨付方式</w:t>
      </w:r>
      <w:r>
        <w:rPr>
          <w:rFonts w:hint="eastAsia" w:ascii="TimesNewRoman" w:hAnsi="TimesNewRoman" w:eastAsia="仿宋_GB2312" w:cs="TimesNewRoman"/>
          <w:kern w:val="0"/>
          <w:sz w:val="32"/>
          <w:szCs w:val="32"/>
        </w:rPr>
        <w:t>。</w:t>
      </w:r>
    </w:p>
    <w:p>
      <w:pPr>
        <w:pStyle w:val="7"/>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文化旅游体育与传媒支出</w:t>
      </w:r>
      <w:r>
        <w:rPr>
          <w:rFonts w:hint="eastAsia" w:ascii="TimesNewRoman" w:hAnsi="TimesNewRoman" w:eastAsia="仿宋_GB2312" w:cs="TimesNewRoman"/>
          <w:kern w:val="0"/>
          <w:sz w:val="32"/>
          <w:szCs w:val="32"/>
          <w:lang w:val="en-US" w:eastAsia="zh-CN"/>
        </w:rPr>
        <w:t>6138.21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p>
    <w:p>
      <w:pPr>
        <w:pStyle w:val="7"/>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eastAsia="zh-CN"/>
        </w:rPr>
        <w:t>文化旅游体育与传媒支出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其他文化旅游体育与传媒支出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其他文化旅游体育与传媒支出</w:t>
      </w:r>
      <w:r>
        <w:rPr>
          <w:rFonts w:hint="eastAsia" w:ascii="TimesNewRoman" w:hAnsi="TimesNewRoman" w:eastAsia="仿宋_GB2312" w:cs="TimesNewRoman"/>
          <w:kern w:val="0"/>
          <w:sz w:val="32"/>
          <w:szCs w:val="32"/>
        </w:rPr>
        <w:t>（项）202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6138.21</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248.93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4.2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24年成立淮北文化传媒集团，所有编外人员企业化管理及人员退休、调动、离职，导致24年在职人员经费减少，25年拨付方式改变，基本支出工资社保增加。</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5344.61</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5344.61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无</w:t>
      </w:r>
      <w:r>
        <w:rPr>
          <w:rFonts w:hint="eastAsia" w:ascii="TimesNewRoman" w:hAnsi="TimesNewRoman" w:eastAsia="仿宋_GB2312" w:cs="TimesNewRoman"/>
          <w:kern w:val="0"/>
          <w:sz w:val="32"/>
          <w:szCs w:val="32"/>
        </w:rPr>
        <w:t>公用经费。</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5344.61</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退职（役）费、抚恤金、生活补助、医疗费补助、助学金、对其他个人和家庭的补助支出。</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w:t>
      </w:r>
      <w:r>
        <w:rPr>
          <w:rFonts w:hint="eastAsia" w:ascii="TimesNewRoman" w:hAnsi="TimesNewRoman" w:eastAsia="仿宋_GB2312" w:cs="TimesNewRoman"/>
          <w:b/>
          <w:kern w:val="0"/>
          <w:sz w:val="32"/>
          <w:szCs w:val="32"/>
          <w:lang w:eastAsia="zh-CN"/>
        </w:rPr>
        <w:t>无</w:t>
      </w:r>
      <w:r>
        <w:rPr>
          <w:rFonts w:hint="eastAsia" w:ascii="TimesNewRoman" w:hAnsi="TimesNewRoman" w:eastAsia="仿宋_GB2312" w:cs="TimesNewRoman"/>
          <w:b/>
          <w:kern w:val="0"/>
          <w:sz w:val="32"/>
          <w:szCs w:val="32"/>
        </w:rPr>
        <w:t>公用经费</w:t>
      </w:r>
      <w:r>
        <w:rPr>
          <w:rFonts w:hint="eastAsia" w:ascii="TimesNewRoman" w:hAnsi="TimesNewRoman" w:eastAsia="仿宋_GB2312" w:cs="TimesNewRoman"/>
          <w:b/>
          <w:kern w:val="0"/>
          <w:sz w:val="32"/>
          <w:szCs w:val="32"/>
          <w:lang w:eastAsia="zh-CN"/>
        </w:rPr>
        <w:t>。</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2025年没有政府性基金预算拨款收入，也没有使用政府性基金预算拨款安排的支出。</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2025年预算共安排项目支出</w:t>
      </w:r>
      <w:r>
        <w:rPr>
          <w:rFonts w:hint="eastAsia" w:ascii="TimesNewRoman" w:hAnsi="TimesNewRoman" w:eastAsia="仿宋_GB2312" w:cs="TimesNewRoman"/>
          <w:kern w:val="0"/>
          <w:sz w:val="32"/>
          <w:szCs w:val="32"/>
          <w:lang w:val="en-US" w:eastAsia="zh-CN"/>
        </w:rPr>
        <w:t>793.6</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1896.4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70.5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厉行勤俭节约反对铺张浪费，压减项目支出</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793.6</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793.6</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pStyle w:val="7"/>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黑体" w:cs="TimesNewRoman"/>
          <w:bCs/>
          <w:sz w:val="32"/>
          <w:szCs w:val="32"/>
        </w:rPr>
        <w:t>十、关于2025年政府采购支出表的说明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2025年预算安排政府采购支出</w:t>
      </w:r>
      <w:r>
        <w:rPr>
          <w:rFonts w:hint="eastAsia" w:ascii="TimesNewRoman" w:hAnsi="TimesNewRoman" w:eastAsia="仿宋_GB2312" w:cs="TimesNewRoman"/>
          <w:kern w:val="0"/>
          <w:sz w:val="32"/>
          <w:szCs w:val="32"/>
          <w:lang w:val="en-US" w:eastAsia="zh-CN"/>
        </w:rPr>
        <w:t>69.7</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17.44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厉行勤俭节约反对铺张浪费，压减项目支出</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69.7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2025年没有安排政府购买服务支出。</w:t>
      </w:r>
    </w:p>
    <w:p>
      <w:pPr>
        <w:pStyle w:val="7"/>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pPr>
        <w:widowControl/>
        <w:adjustRightInd w:val="0"/>
        <w:snapToGrid w:val="0"/>
        <w:spacing w:before="100" w:beforeAutospacing="1" w:after="100" w:afterAutospacing="1" w:line="560" w:lineRule="exact"/>
        <w:ind w:firstLine="640" w:firstLineChars="200"/>
        <w:jc w:val="left"/>
        <w:outlineLvl w:val="0"/>
        <w:rPr>
          <w:rFonts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淮北市传媒中心2025</w:t>
      </w:r>
      <w:r>
        <w:rPr>
          <w:rFonts w:ascii="TimesNewRoman" w:hAnsi="TimesNewRoman" w:eastAsia="仿宋_GB2312" w:cs="TimesNewRoman"/>
          <w:kern w:val="0"/>
          <w:sz w:val="32"/>
          <w:szCs w:val="32"/>
          <w:lang w:val="en-US" w:eastAsia="zh-CN" w:bidi="ar-SA"/>
        </w:rPr>
        <w:t>年没有安排通用资产配置支出。</w:t>
      </w:r>
    </w:p>
    <w:p>
      <w:pPr>
        <w:pStyle w:val="7"/>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val="en-US" w:eastAsia="zh-CN"/>
        </w:rPr>
        <w:t>三</w:t>
      </w:r>
      <w:r>
        <w:rPr>
          <w:rFonts w:hint="eastAsia" w:ascii="TimesNewRoman" w:hAnsi="TimesNewRoman" w:eastAsia="黑体" w:cs="TimesNewRoman"/>
          <w:bCs/>
          <w:sz w:val="32"/>
          <w:szCs w:val="32"/>
        </w:rPr>
        <w:t>、其他重要事项情况说明</w:t>
      </w:r>
      <w:bookmarkStart w:id="1" w:name="_GoBack"/>
      <w:bookmarkEnd w:id="1"/>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eastAsia="zh-CN"/>
        </w:rPr>
        <w:t>支持融媒体定补资金</w:t>
      </w:r>
      <w:r>
        <w:rPr>
          <w:rFonts w:hint="eastAsia" w:ascii="TimesNewRoman" w:hAnsi="TimesNewRoman" w:eastAsia="仿宋_GB2312" w:cs="TimesNewRoman"/>
          <w:kern w:val="0"/>
          <w:sz w:val="32"/>
          <w:szCs w:val="32"/>
        </w:rPr>
        <w:t>”项目。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val="en-US" w:eastAsia="zh-CN"/>
        </w:rPr>
        <w:t>2019年，按照市委、市政府决策部署，淮北日报社、淮北市广播电视台重组为淮北市传媒中心，为市委直属公益 二类事业单位。市财政加大对媒体融合的支持，对中心运转保障经费按照每年3600万元核定，实施“定额补助、包干使用”，并纳入年度市财政预算。</w:t>
      </w:r>
      <w:r>
        <w:rPr>
          <w:rFonts w:hint="eastAsia" w:ascii="TimesNewRoman" w:hAnsi="TimesNewRoman" w:eastAsia="仿宋_GB2312" w:cs="TimesNewRoman"/>
          <w:kern w:val="0"/>
          <w:sz w:val="32"/>
          <w:szCs w:val="32"/>
          <w:lang w:eastAsia="zh-CN"/>
        </w:rPr>
        <w:t>按照党的二十大“加强全媒体传播体系建设，塑造舆论新格局”总体部署，全面落实中办、国办《关于加快推进媒体深度融合发展的意见》以及中宣部关于地市级融媒体中心建设试点工作要求，经市委研究决定，成立淮北文化传媒集团，淮北文化传媒集团与淮北市传媒中心“一个党委、一体化运作”，自</w:t>
      </w:r>
      <w:r>
        <w:rPr>
          <w:rFonts w:hint="eastAsia" w:ascii="TimesNewRoman" w:hAnsi="TimesNewRoman" w:eastAsia="仿宋_GB2312" w:cs="TimesNewRoman"/>
          <w:kern w:val="0"/>
          <w:sz w:val="32"/>
          <w:szCs w:val="32"/>
          <w:lang w:val="en-US" w:eastAsia="zh-CN"/>
        </w:rPr>
        <w:t>2024年起以支持媒体深度融合发展专项补助项目资金方式编制预算。</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val="en-US" w:eastAsia="zh-CN"/>
        </w:rPr>
        <w:t>皖编办（2020）69号关于设立淮北市传媒中心的批复。</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val="en-US" w:eastAsia="zh-CN"/>
        </w:rPr>
        <w:t>淮北市传媒中心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2025年1-12月份</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val="en-US" w:eastAsia="zh-CN"/>
        </w:rPr>
        <w:t>该项目年度预算金额580万元，主要用于淮北市传媒中心日常工作运转。</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580万元</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（7）绩效目标。</w:t>
      </w:r>
      <w:r>
        <w:rPr>
          <w:rFonts w:hint="eastAsia" w:ascii="TimesNewRoman" w:hAnsi="TimesNewRoman" w:eastAsia="仿宋_GB2312" w:cs="TimesNewRoman"/>
          <w:kern w:val="0"/>
          <w:sz w:val="32"/>
          <w:szCs w:val="32"/>
          <w:lang w:val="en-US" w:eastAsia="zh-CN"/>
        </w:rPr>
        <w:t>着力巩固壮大主流思想舆论，推进媒体深度融合发展，推动文化产业做大做强。</w:t>
      </w:r>
    </w:p>
    <w:p>
      <w:pPr>
        <w:pStyle w:val="2"/>
        <w:rPr>
          <w:rFonts w:hint="eastAsia" w:ascii="TimesNewRoman" w:hAnsi="TimesNewRoman" w:eastAsia="仿宋_GB2312" w:cs="TimesNewRoman"/>
          <w:kern w:val="0"/>
          <w:sz w:val="32"/>
          <w:szCs w:val="32"/>
          <w:lang w:val="en-US" w:eastAsia="zh-CN"/>
        </w:rPr>
      </w:pPr>
    </w:p>
    <w:p>
      <w:pPr>
        <w:pStyle w:val="2"/>
        <w:rPr>
          <w:rFonts w:hint="eastAsia" w:ascii="TimesNewRoman" w:hAnsi="TimesNewRoman" w:eastAsia="仿宋_GB2312" w:cs="TimesNewRoman"/>
          <w:kern w:val="0"/>
          <w:sz w:val="32"/>
          <w:szCs w:val="32"/>
          <w:lang w:val="en-US" w:eastAsia="zh-CN"/>
        </w:rPr>
      </w:pPr>
    </w:p>
    <w:tbl>
      <w:tblPr>
        <w:tblStyle w:val="9"/>
        <w:tblW w:w="10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2"/>
        <w:gridCol w:w="614"/>
        <w:gridCol w:w="239"/>
        <w:gridCol w:w="405"/>
        <w:gridCol w:w="2929"/>
        <w:gridCol w:w="1572"/>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8156" w:type="dxa"/>
            <w:gridSpan w:val="7"/>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b/>
                <w:kern w:val="2"/>
                <w:sz w:val="21"/>
                <w:szCs w:val="21"/>
              </w:rPr>
            </w:pPr>
            <w:r>
              <w:rPr>
                <w:rFonts w:hint="eastAsia" w:ascii="宋体" w:hAnsi="宋体" w:eastAsia="宋体" w:cs="宋体"/>
                <w:b/>
                <w:color w:val="000000"/>
                <w:kern w:val="0"/>
                <w:sz w:val="28"/>
                <w:szCs w:val="28"/>
                <w:lang w:val="en-US" w:eastAsia="zh-CN" w:bidi="ar"/>
              </w:rPr>
              <w:t>项目支出绩效目标表</w:t>
            </w:r>
          </w:p>
        </w:tc>
        <w:tc>
          <w:tcPr>
            <w:tcW w:w="202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156" w:type="dxa"/>
            <w:gridSpan w:val="7"/>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（2025年度）                                </w:t>
            </w:r>
          </w:p>
        </w:tc>
        <w:tc>
          <w:tcPr>
            <w:tcW w:w="2025" w:type="dxa"/>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项目名称</w:t>
            </w:r>
          </w:p>
        </w:tc>
        <w:tc>
          <w:tcPr>
            <w:tcW w:w="6931"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rPr>
            </w:pPr>
            <w:r>
              <w:rPr>
                <w:rFonts w:hint="eastAsia" w:ascii="宋体" w:hAnsi="Calibri" w:eastAsia="宋体" w:cs="宋体"/>
                <w:kern w:val="2"/>
                <w:sz w:val="20"/>
                <w:szCs w:val="20"/>
                <w:lang w:val="en-US" w:eastAsia="zh-CN" w:bidi="ar"/>
              </w:rPr>
              <w:t>支持媒体融合定补资金</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1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主管部门   及代码</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15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Calibri" w:hAnsi="Calibri" w:eastAsia="宋体" w:cs="Times New Roman"/>
                <w:kern w:val="2"/>
                <w:sz w:val="21"/>
                <w:szCs w:val="21"/>
              </w:rPr>
            </w:pPr>
            <w:r>
              <w:rPr>
                <w:rFonts w:hint="eastAsia" w:ascii="宋体" w:hAnsi="宋体" w:eastAsia="宋体" w:cs="宋体"/>
                <w:color w:val="000000"/>
                <w:kern w:val="0"/>
                <w:sz w:val="20"/>
                <w:szCs w:val="20"/>
                <w:lang w:val="en-US" w:eastAsia="zh-CN" w:bidi="ar"/>
              </w:rPr>
              <w:t>实施单位</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淮北市传媒中心</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 w:hRule="atLeast"/>
        </w:trPr>
        <w:tc>
          <w:tcPr>
            <w:tcW w:w="1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项目来源</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本级申报</w:t>
            </w:r>
          </w:p>
        </w:tc>
        <w:tc>
          <w:tcPr>
            <w:tcW w:w="15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Calibri" w:hAnsi="Calibri" w:eastAsia="宋体" w:cs="Times New Roman"/>
                <w:kern w:val="2"/>
                <w:sz w:val="21"/>
                <w:szCs w:val="21"/>
              </w:rPr>
            </w:pPr>
            <w:r>
              <w:rPr>
                <w:rFonts w:hint="eastAsia" w:ascii="宋体" w:hAnsi="宋体" w:eastAsia="宋体" w:cs="宋体"/>
                <w:color w:val="000000"/>
                <w:kern w:val="0"/>
                <w:sz w:val="20"/>
                <w:szCs w:val="20"/>
                <w:lang w:val="en-US" w:eastAsia="zh-CN" w:bidi="ar"/>
              </w:rPr>
              <w:t>项目期</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2025</w:t>
            </w:r>
            <w:r>
              <w:rPr>
                <w:rFonts w:hint="eastAsia" w:ascii="宋体" w:hAnsi="宋体" w:eastAsia="宋体" w:cs="宋体"/>
                <w:kern w:val="2"/>
                <w:sz w:val="21"/>
                <w:szCs w:val="21"/>
                <w:lang w:val="en-US" w:eastAsia="zh-CN" w:bidi="ar"/>
              </w:rPr>
              <w:t>年</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 w:hRule="atLeast"/>
        </w:trPr>
        <w:tc>
          <w:tcPr>
            <w:tcW w:w="1225" w:type="dxa"/>
            <w:gridSpan w:val="3"/>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项目资金</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（万元）</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年度资金总额：</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580万元</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 w:hRule="atLeast"/>
        </w:trPr>
        <w:tc>
          <w:tcPr>
            <w:tcW w:w="1225" w:type="dxa"/>
            <w:gridSpan w:val="3"/>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其中：财政拨款</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580万元</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25" w:type="dxa"/>
            <w:gridSpan w:val="3"/>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上年结转</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 w:hRule="atLeast"/>
        </w:trPr>
        <w:tc>
          <w:tcPr>
            <w:tcW w:w="1225" w:type="dxa"/>
            <w:gridSpan w:val="3"/>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其他资金</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15" w:hRule="atLeast"/>
        </w:trPr>
        <w:tc>
          <w:tcPr>
            <w:tcW w:w="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年度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目标</w:t>
            </w:r>
          </w:p>
        </w:tc>
        <w:tc>
          <w:tcPr>
            <w:tcW w:w="7784"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着力巩固壮大主流思想舆论，推进媒体深度融合发展，推动文化产业做大做强。</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08" w:hRule="atLeast"/>
        </w:trPr>
        <w:tc>
          <w:tcPr>
            <w:tcW w:w="37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绩</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标</w:t>
            </w:r>
          </w:p>
        </w:tc>
        <w:tc>
          <w:tcPr>
            <w:tcW w:w="6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一级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指标</w:t>
            </w:r>
          </w:p>
        </w:tc>
        <w:tc>
          <w:tcPr>
            <w:tcW w:w="64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二级指标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三级指标</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指标值</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产出指标</w:t>
            </w: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数量指标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lang w:val="en-US"/>
              </w:rPr>
            </w:pPr>
            <w:r>
              <w:rPr>
                <w:rFonts w:hint="eastAsia" w:ascii="宋体" w:hAnsi="Calibri" w:eastAsia="宋体" w:cs="宋体"/>
                <w:kern w:val="2"/>
                <w:sz w:val="20"/>
                <w:szCs w:val="20"/>
                <w:lang w:val="en-US" w:eastAsia="zh-CN" w:bidi="ar"/>
              </w:rPr>
              <w:t>补助补贴项目数量</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rPr>
            </w:pPr>
            <w:r>
              <w:rPr>
                <w:rFonts w:hint="eastAsia" w:ascii="宋体" w:hAnsi="Calibri" w:eastAsia="宋体" w:cs="宋体"/>
                <w:kern w:val="2"/>
                <w:sz w:val="20"/>
                <w:szCs w:val="20"/>
                <w:lang w:val="en-US" w:eastAsia="zh-CN" w:bidi="ar"/>
              </w:rPr>
              <w:t>=1个</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质量指标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补助补贴资金支出合规性</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合规</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时效指标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补助补贴完成时间</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rPr>
            </w:pPr>
            <w:r>
              <w:rPr>
                <w:rFonts w:hint="eastAsia" w:ascii="宋体" w:hAnsi="Calibri" w:eastAsia="宋体" w:cs="宋体"/>
                <w:kern w:val="2"/>
                <w:sz w:val="20"/>
                <w:szCs w:val="20"/>
                <w:lang w:val="en-US" w:eastAsia="zh-CN" w:bidi="ar"/>
              </w:rPr>
              <w:t>≤12月</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成本指标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lang w:eastAsia="zh-CN"/>
              </w:rPr>
            </w:pPr>
            <w:r>
              <w:rPr>
                <w:rFonts w:hint="eastAsia" w:ascii="宋体" w:hAnsi="Calibri" w:eastAsia="宋体" w:cs="宋体"/>
                <w:kern w:val="2"/>
                <w:sz w:val="20"/>
                <w:szCs w:val="20"/>
                <w:lang w:eastAsia="zh-CN"/>
              </w:rPr>
              <w:t>项目总成本</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rPr>
            </w:pPr>
            <w:r>
              <w:rPr>
                <w:rFonts w:hint="eastAsia" w:ascii="宋体" w:hAnsi="Calibri" w:eastAsia="宋体" w:cs="宋体"/>
                <w:kern w:val="2"/>
                <w:sz w:val="20"/>
                <w:szCs w:val="20"/>
                <w:lang w:val="en-US" w:eastAsia="zh-CN" w:bidi="ar"/>
              </w:rPr>
              <w:t>≤580万元</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效益指标</w:t>
            </w: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经济效益指标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对减轻群众家庭经济负担的改善或影响程度</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有所提高</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社会效益指标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对单位履职、促进事业发展的影响或提升程度</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有所影响</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生态效益指标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汉仪中秀体简" w:hAnsi="汉仪中秀体简" w:eastAsia="汉仪中秀体简" w:cs="汉仪中秀体简"/>
                <w:color w:val="000000"/>
                <w:kern w:val="0"/>
                <w:sz w:val="20"/>
                <w:szCs w:val="20"/>
              </w:rPr>
            </w:pPr>
            <w:r>
              <w:rPr>
                <w:rFonts w:hint="eastAsia" w:ascii="汉仪中秀体简" w:hAnsi="汉仪中秀体简" w:eastAsia="汉仪中秀体简" w:cs="汉仪中秀体简"/>
                <w:color w:val="000000"/>
                <w:kern w:val="0"/>
                <w:sz w:val="20"/>
                <w:szCs w:val="20"/>
                <w:lang w:val="en-US" w:eastAsia="zh-CN" w:bidi="ar"/>
              </w:rPr>
              <w:t>对美化环境、保护资源的改善或影响程度</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汉仪中秀体简" w:hAnsi="汉仪中秀体简" w:eastAsia="汉仪中秀体简" w:cs="汉仪中秀体简"/>
                <w:color w:val="000000"/>
                <w:kern w:val="0"/>
                <w:sz w:val="20"/>
                <w:szCs w:val="20"/>
              </w:rPr>
            </w:pPr>
            <w:r>
              <w:rPr>
                <w:rFonts w:hint="default" w:ascii="汉仪中秀体简" w:hAnsi="汉仪中秀体简" w:eastAsia="汉仪中秀体简" w:cs="汉仪中秀体简"/>
                <w:color w:val="000000"/>
                <w:kern w:val="0"/>
                <w:sz w:val="20"/>
                <w:szCs w:val="20"/>
                <w:lang w:val="en-US" w:eastAsia="zh-CN" w:bidi="ar"/>
              </w:rPr>
              <w:t>有所影响</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汉仪中秀体简" w:hAnsi="汉仪中秀体简" w:eastAsia="汉仪中秀体简" w:cs="汉仪中秀体简"/>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可持续影响指标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44"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对持续完善公共服务、提高群众生活水平、促进和谐社会建设的改善和提升程度</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有所提高</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rPr>
            </w:pP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满意度指标</w:t>
            </w: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满意度指标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受益对象满意度</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≥90%</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bl>
    <w:p>
      <w:pPr>
        <w:ind w:firstLine="420" w:firstLineChars="200"/>
      </w:pPr>
    </w:p>
    <w:p>
      <w:pPr>
        <w:ind w:firstLine="420" w:firstLineChars="200"/>
      </w:pPr>
    </w:p>
    <w:p>
      <w:pPr>
        <w:ind w:firstLine="640" w:firstLineChars="200"/>
        <w:rPr>
          <w:rFonts w:hint="eastAsia" w:ascii="TimesNewRoman" w:hAnsi="TimesNewRoman" w:eastAsia="仿宋_GB2312" w:cs="TimesNewRoman"/>
          <w:kern w:val="0"/>
          <w:sz w:val="32"/>
          <w:szCs w:val="32"/>
        </w:rPr>
      </w:pP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val="en-US" w:eastAsia="zh-CN"/>
        </w:rPr>
        <w:t>安徽日报定向补助资金</w:t>
      </w:r>
      <w:r>
        <w:rPr>
          <w:rFonts w:hint="eastAsia" w:ascii="TimesNewRoman" w:hAnsi="TimesNewRoman" w:eastAsia="仿宋_GB2312" w:cs="TimesNewRoman"/>
          <w:kern w:val="0"/>
          <w:sz w:val="32"/>
          <w:szCs w:val="32"/>
        </w:rPr>
        <w:t>”项目。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val="en-US" w:eastAsia="zh-CN"/>
        </w:rPr>
        <w:t>为加大对淮北市经济和社会发展的宣传，突出展现淮北市在学习宣传贯彻习近平新时代中国特色社会主义思想和党的二十大、2023年全国两会精神，在加快建设现代化美好安徽和发挥自身优势夯实产业基础、奋力推动皖北地区全面振兴中取得的各项成就，淮北市传媒中心受中共淮北市委宣传部委托，与安徽日报社就宣传战略合作达成协议。双方战略合作将有利于淮北市改革、发展、稳定大局， 确保正确舆论导向，符合宣传规律。</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val="en-US" w:eastAsia="zh-CN"/>
        </w:rPr>
        <w:t>根据中共市委宣传部提交淮北市政府《关于申请支持〈安徽日报〉定向补助资金的请示》〔淮宣（2023 ）9号〕文件精神，根据省委要求，各地市要加强同《安徽日报》的合作，依托省级优质媒体资源，进一步加大地市宣传力度，提升城市美誉度和影响力。市财政每年安排定向补助资金50万元。市委宣传部负责督促执行。市传媒中心受市委宣传部委托，与安徽日报社就宣传战略合作达成协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val="en-US" w:eastAsia="zh-CN"/>
        </w:rPr>
        <w:t>淮北市传媒中心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2025年1-12月份</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val="en-US" w:eastAsia="zh-CN"/>
        </w:rPr>
        <w:t>该项目年度预算金额40万元，主要用于进一步加大淮北宣传力度，提升城市美誉度和影响力。</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40万元</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（7）绩效目标。</w:t>
      </w:r>
      <w:r>
        <w:rPr>
          <w:rFonts w:hint="eastAsia" w:ascii="TimesNewRoman" w:hAnsi="TimesNewRoman" w:eastAsia="仿宋_GB2312" w:cs="TimesNewRoman"/>
          <w:kern w:val="0"/>
          <w:sz w:val="32"/>
          <w:szCs w:val="32"/>
          <w:lang w:val="en-US" w:eastAsia="zh-CN"/>
        </w:rPr>
        <w:t>依托省级优质媒体资源，进一步加大淮北宣传力度，提升城市美誉度和影响力作达成协议。</w:t>
      </w:r>
    </w:p>
    <w:tbl>
      <w:tblPr>
        <w:tblStyle w:val="9"/>
        <w:tblW w:w="10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2"/>
        <w:gridCol w:w="614"/>
        <w:gridCol w:w="239"/>
        <w:gridCol w:w="405"/>
        <w:gridCol w:w="2929"/>
        <w:gridCol w:w="1572"/>
        <w:gridCol w:w="2025"/>
        <w:gridCol w:w="2025"/>
      </w:tblGrid>
      <w:tr>
        <w:tblPrEx>
          <w:shd w:val="clear" w:color="auto" w:fill="auto"/>
          <w:tblLayout w:type="fixed"/>
        </w:tblPrEx>
        <w:trPr>
          <w:trHeight w:val="253" w:hRule="atLeast"/>
        </w:trPr>
        <w:tc>
          <w:tcPr>
            <w:tcW w:w="8156" w:type="dxa"/>
            <w:gridSpan w:val="7"/>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b/>
                <w:kern w:val="2"/>
                <w:sz w:val="21"/>
                <w:szCs w:val="21"/>
              </w:rPr>
            </w:pPr>
            <w:r>
              <w:rPr>
                <w:rFonts w:hint="eastAsia" w:ascii="宋体" w:hAnsi="宋体" w:eastAsia="宋体" w:cs="宋体"/>
                <w:b/>
                <w:color w:val="000000"/>
                <w:kern w:val="0"/>
                <w:sz w:val="28"/>
                <w:szCs w:val="28"/>
                <w:lang w:val="en-US" w:eastAsia="zh-CN" w:bidi="ar"/>
              </w:rPr>
              <w:t>项目支出绩效目标表</w:t>
            </w:r>
          </w:p>
        </w:tc>
        <w:tc>
          <w:tcPr>
            <w:tcW w:w="202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0" w:hRule="atLeast"/>
        </w:trPr>
        <w:tc>
          <w:tcPr>
            <w:tcW w:w="8156" w:type="dxa"/>
            <w:gridSpan w:val="7"/>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（2025年度）                                </w:t>
            </w:r>
          </w:p>
        </w:tc>
        <w:tc>
          <w:tcPr>
            <w:tcW w:w="2025" w:type="dxa"/>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 w:hRule="atLeast"/>
        </w:trPr>
        <w:tc>
          <w:tcPr>
            <w:tcW w:w="1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项目名称</w:t>
            </w:r>
          </w:p>
        </w:tc>
        <w:tc>
          <w:tcPr>
            <w:tcW w:w="6931"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安徽日报定向补助资金</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1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主管部门   及代码</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15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Calibri" w:hAnsi="Calibri" w:eastAsia="宋体" w:cs="Times New Roman"/>
                <w:kern w:val="2"/>
                <w:sz w:val="21"/>
                <w:szCs w:val="21"/>
              </w:rPr>
            </w:pPr>
            <w:r>
              <w:rPr>
                <w:rFonts w:hint="eastAsia" w:ascii="宋体" w:hAnsi="宋体" w:eastAsia="宋体" w:cs="宋体"/>
                <w:color w:val="000000"/>
                <w:kern w:val="0"/>
                <w:sz w:val="20"/>
                <w:szCs w:val="20"/>
                <w:lang w:val="en-US" w:eastAsia="zh-CN" w:bidi="ar"/>
              </w:rPr>
              <w:t>实施单位</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淮北市传媒中心</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 w:hRule="atLeast"/>
        </w:trPr>
        <w:tc>
          <w:tcPr>
            <w:tcW w:w="1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项目来源</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本级申报</w:t>
            </w:r>
          </w:p>
        </w:tc>
        <w:tc>
          <w:tcPr>
            <w:tcW w:w="15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Calibri" w:hAnsi="Calibri" w:eastAsia="宋体" w:cs="Times New Roman"/>
                <w:kern w:val="2"/>
                <w:sz w:val="21"/>
                <w:szCs w:val="21"/>
              </w:rPr>
            </w:pPr>
            <w:r>
              <w:rPr>
                <w:rFonts w:hint="eastAsia" w:ascii="宋体" w:hAnsi="宋体" w:eastAsia="宋体" w:cs="宋体"/>
                <w:color w:val="000000"/>
                <w:kern w:val="0"/>
                <w:sz w:val="20"/>
                <w:szCs w:val="20"/>
                <w:lang w:val="en-US" w:eastAsia="zh-CN" w:bidi="ar"/>
              </w:rPr>
              <w:t>项目期</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2025</w:t>
            </w:r>
            <w:r>
              <w:rPr>
                <w:rFonts w:hint="eastAsia" w:ascii="宋体" w:hAnsi="宋体" w:eastAsia="宋体" w:cs="宋体"/>
                <w:kern w:val="2"/>
                <w:sz w:val="21"/>
                <w:szCs w:val="21"/>
                <w:lang w:val="en-US" w:eastAsia="zh-CN" w:bidi="ar"/>
              </w:rPr>
              <w:t>年</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 w:hRule="atLeast"/>
        </w:trPr>
        <w:tc>
          <w:tcPr>
            <w:tcW w:w="1225" w:type="dxa"/>
            <w:gridSpan w:val="3"/>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项目资金</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（万元）</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年度资金总额：</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40万元</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25" w:type="dxa"/>
            <w:gridSpan w:val="3"/>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其中：财政拨款</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40万元</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25" w:type="dxa"/>
            <w:gridSpan w:val="3"/>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上年结转</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25" w:type="dxa"/>
            <w:gridSpan w:val="3"/>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其他资金</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15" w:hRule="atLeast"/>
        </w:trPr>
        <w:tc>
          <w:tcPr>
            <w:tcW w:w="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年度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目标</w:t>
            </w:r>
          </w:p>
        </w:tc>
        <w:tc>
          <w:tcPr>
            <w:tcW w:w="7784"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依托省级优质媒体资源，进一步加大淮北宣传力度，提升城市美誉度和影响力作达成协议。</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08" w:hRule="atLeast"/>
        </w:trPr>
        <w:tc>
          <w:tcPr>
            <w:tcW w:w="37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绩</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标</w:t>
            </w:r>
          </w:p>
        </w:tc>
        <w:tc>
          <w:tcPr>
            <w:tcW w:w="6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一级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指标</w:t>
            </w:r>
          </w:p>
        </w:tc>
        <w:tc>
          <w:tcPr>
            <w:tcW w:w="64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二级指标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三级指标</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指标值</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产出指标</w:t>
            </w: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数量指标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计划在安徽日报宣传版面数量</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≥3个</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质量指标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在报刊杂志（网站、微信公众号、APP）推送信息质量达标率</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有所提升</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时效指标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经费支出时效性</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rPr>
            </w:pPr>
            <w:r>
              <w:rPr>
                <w:rFonts w:hint="eastAsia" w:ascii="宋体" w:hAnsi="Calibri" w:eastAsia="宋体" w:cs="宋体"/>
                <w:kern w:val="2"/>
                <w:sz w:val="20"/>
                <w:szCs w:val="20"/>
                <w:lang w:val="en-US" w:eastAsia="zh-CN" w:bidi="ar"/>
              </w:rPr>
              <w:t>12月20日前</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成本指标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项目单位成本</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rPr>
            </w:pPr>
            <w:r>
              <w:rPr>
                <w:rFonts w:hint="eastAsia" w:ascii="宋体" w:hAnsi="Calibri" w:eastAsia="宋体" w:cs="宋体"/>
                <w:kern w:val="2"/>
                <w:sz w:val="20"/>
                <w:szCs w:val="20"/>
                <w:lang w:val="en-US" w:eastAsia="zh-CN" w:bidi="ar"/>
              </w:rPr>
              <w:t>40万元</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效益指标</w:t>
            </w: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经济效益指标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提高淮北市知名度、美誉度</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有所提升</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社会效益指标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淮北各项工作宣传知晓率</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有所提升</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生态效益指标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汉仪中秀体简" w:hAnsi="汉仪中秀体简" w:eastAsia="汉仪中秀体简" w:cs="汉仪中秀体简"/>
                <w:color w:val="000000"/>
                <w:kern w:val="0"/>
                <w:sz w:val="20"/>
                <w:szCs w:val="20"/>
              </w:rPr>
            </w:pPr>
            <w:r>
              <w:rPr>
                <w:rFonts w:hint="eastAsia" w:ascii="汉仪中秀体简" w:hAnsi="汉仪中秀体简" w:eastAsia="汉仪中秀体简" w:cs="汉仪中秀体简"/>
                <w:color w:val="000000"/>
                <w:kern w:val="0"/>
                <w:sz w:val="20"/>
                <w:szCs w:val="20"/>
                <w:lang w:val="en-US" w:eastAsia="zh-CN" w:bidi="ar"/>
              </w:rPr>
              <w:t>助力文明城市建设效果提升</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汉仪中秀体简" w:hAnsi="汉仪中秀体简" w:eastAsia="汉仪中秀体简" w:cs="汉仪中秀体简"/>
                <w:color w:val="000000"/>
                <w:kern w:val="0"/>
                <w:sz w:val="20"/>
                <w:szCs w:val="20"/>
              </w:rPr>
            </w:pPr>
            <w:r>
              <w:rPr>
                <w:rFonts w:hint="default" w:ascii="汉仪中秀体简" w:hAnsi="汉仪中秀体简" w:eastAsia="汉仪中秀体简" w:cs="汉仪中秀体简"/>
                <w:color w:val="000000"/>
                <w:kern w:val="0"/>
                <w:sz w:val="20"/>
                <w:szCs w:val="20"/>
                <w:lang w:val="en-US" w:eastAsia="zh-CN" w:bidi="ar"/>
              </w:rPr>
              <w:t>有所提升</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汉仪中秀体简" w:hAnsi="汉仪中秀体简" w:eastAsia="汉仪中秀体简" w:cs="汉仪中秀体简"/>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可持续影响指标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助力淮北城市形象宣传</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有所提升</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rPr>
            </w:pP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满意度指标</w:t>
            </w:r>
          </w:p>
        </w:tc>
        <w:tc>
          <w:tcPr>
            <w:tcW w:w="644"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满意度指标</w:t>
            </w: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服务对象满意度</w:t>
            </w:r>
          </w:p>
        </w:tc>
        <w:tc>
          <w:tcPr>
            <w:tcW w:w="359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≤90%</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bl>
    <w:p>
      <w:pPr>
        <w:pStyle w:val="4"/>
      </w:pP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“应急广播市级平台运维经费”项目</w:t>
      </w:r>
      <w:r>
        <w:rPr>
          <w:rFonts w:hint="eastAsia" w:ascii="TimesNewRoman" w:hAnsi="TimesNewRoman" w:eastAsia="仿宋_GB2312" w:cs="TimesNewRoman"/>
          <w:kern w:val="0"/>
          <w:sz w:val="32"/>
          <w:szCs w:val="32"/>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val="en-US" w:eastAsia="zh-CN"/>
        </w:rPr>
        <w:t>为深入贯彻落实党中央，国务院和省委省政府关于加快推进应急广播体系建设的文件精神，我市于2019年启动应急广播项目，为提升全市应急广播体系效能，发挥市传媒中心在网络传输，节目制作，技术保障，媒体融合等方面的优势，采取由市，县区广播电视新闻出版局负责建设，监督和业务监督，委托市传媒中心统一运维模式，建立全市应急广播系统的常态化运转机制。</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val="en-US" w:eastAsia="zh-CN"/>
        </w:rPr>
        <w:t>。淮北市应急广播体系建设领导小组专题会议纪要</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val="en-US" w:eastAsia="zh-CN"/>
        </w:rPr>
        <w:t>淮北市传媒中心</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2025年1-12月份</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val="en-US" w:eastAsia="zh-CN"/>
        </w:rPr>
        <w:t>该项目年度预算金额173.6万元，主要用于应急广播的运行维护。</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173.6万元</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（7）绩效目标。</w:t>
      </w:r>
      <w:r>
        <w:rPr>
          <w:rFonts w:hint="eastAsia" w:ascii="TimesNewRoman" w:hAnsi="TimesNewRoman" w:eastAsia="仿宋_GB2312" w:cs="TimesNewRoman"/>
          <w:kern w:val="0"/>
          <w:sz w:val="32"/>
          <w:szCs w:val="32"/>
          <w:lang w:val="en-US" w:eastAsia="zh-CN"/>
        </w:rPr>
        <w:t>发挥市传媒中心在网络传输，节目制作，技术保障等方面的优势，充分发挥宣传作用。按照“平时服务，战时应急，平战结合”原则，发挥全市经济广播体系效能，充分发挥日常宣传作用。</w:t>
      </w:r>
    </w:p>
    <w:p>
      <w:pPr>
        <w:pStyle w:val="2"/>
      </w:pPr>
    </w:p>
    <w:tbl>
      <w:tblPr>
        <w:tblStyle w:val="9"/>
        <w:tblW w:w="9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3"/>
        <w:gridCol w:w="615"/>
        <w:gridCol w:w="240"/>
        <w:gridCol w:w="406"/>
        <w:gridCol w:w="2445"/>
        <w:gridCol w:w="1573"/>
        <w:gridCol w:w="2025"/>
        <w:gridCol w:w="1"/>
        <w:gridCol w:w="202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gridAfter w:val="1"/>
          <w:wAfter w:w="1" w:type="dxa"/>
          <w:trHeight w:val="253" w:hRule="atLeast"/>
        </w:trPr>
        <w:tc>
          <w:tcPr>
            <w:tcW w:w="7677" w:type="dxa"/>
            <w:gridSpan w:val="7"/>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b/>
                <w:kern w:val="2"/>
                <w:sz w:val="21"/>
                <w:szCs w:val="21"/>
              </w:rPr>
            </w:pPr>
            <w:r>
              <w:rPr>
                <w:rFonts w:hint="eastAsia" w:ascii="宋体" w:hAnsi="宋体" w:eastAsia="宋体" w:cs="宋体"/>
                <w:b/>
                <w:color w:val="000000"/>
                <w:kern w:val="0"/>
                <w:sz w:val="28"/>
                <w:szCs w:val="28"/>
                <w:lang w:val="en-US" w:eastAsia="zh-CN" w:bidi="ar"/>
              </w:rPr>
              <w:t>项目支出绩效目标表</w:t>
            </w:r>
          </w:p>
        </w:tc>
        <w:tc>
          <w:tcPr>
            <w:tcW w:w="2026"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gridAfter w:val="1"/>
          <w:wAfter w:w="1" w:type="dxa"/>
          <w:trHeight w:val="270" w:hRule="atLeast"/>
        </w:trPr>
        <w:tc>
          <w:tcPr>
            <w:tcW w:w="7677" w:type="dxa"/>
            <w:gridSpan w:val="7"/>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（2025年度）                                </w:t>
            </w:r>
          </w:p>
        </w:tc>
        <w:tc>
          <w:tcPr>
            <w:tcW w:w="2026" w:type="dxa"/>
            <w:gridSpan w:val="2"/>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30" w:hRule="atLeast"/>
        </w:trPr>
        <w:tc>
          <w:tcPr>
            <w:tcW w:w="12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项目名称</w:t>
            </w:r>
          </w:p>
        </w:tc>
        <w:tc>
          <w:tcPr>
            <w:tcW w:w="6449"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应急广播市级平台运维经费</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12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主管部门   及代码</w:t>
            </w:r>
          </w:p>
        </w:tc>
        <w:tc>
          <w:tcPr>
            <w:tcW w:w="285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15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Calibri" w:hAnsi="Calibri" w:eastAsia="宋体" w:cs="Times New Roman"/>
                <w:kern w:val="2"/>
                <w:sz w:val="21"/>
                <w:szCs w:val="21"/>
              </w:rPr>
            </w:pPr>
            <w:r>
              <w:rPr>
                <w:rFonts w:hint="eastAsia" w:ascii="宋体" w:hAnsi="宋体" w:eastAsia="宋体" w:cs="宋体"/>
                <w:color w:val="000000"/>
                <w:kern w:val="0"/>
                <w:sz w:val="20"/>
                <w:szCs w:val="20"/>
                <w:lang w:val="en-US" w:eastAsia="zh-CN" w:bidi="ar"/>
              </w:rPr>
              <w:t>实施单位</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淮北市传媒中心</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项目来源</w:t>
            </w:r>
          </w:p>
        </w:tc>
        <w:tc>
          <w:tcPr>
            <w:tcW w:w="285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eastAsia="zh-CN"/>
              </w:rPr>
            </w:pPr>
            <w:r>
              <w:rPr>
                <w:rFonts w:hint="eastAsia" w:ascii="宋体" w:hAnsi="Calibri" w:eastAsia="宋体" w:cs="宋体"/>
                <w:kern w:val="2"/>
                <w:sz w:val="20"/>
                <w:szCs w:val="20"/>
                <w:lang w:eastAsia="zh-CN"/>
              </w:rPr>
              <w:t>本级申报</w:t>
            </w:r>
          </w:p>
        </w:tc>
        <w:tc>
          <w:tcPr>
            <w:tcW w:w="15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Calibri" w:hAnsi="Calibri" w:eastAsia="宋体" w:cs="Times New Roman"/>
                <w:kern w:val="2"/>
                <w:sz w:val="21"/>
                <w:szCs w:val="21"/>
              </w:rPr>
            </w:pPr>
            <w:r>
              <w:rPr>
                <w:rFonts w:hint="eastAsia" w:ascii="宋体" w:hAnsi="宋体" w:eastAsia="宋体" w:cs="宋体"/>
                <w:color w:val="000000"/>
                <w:kern w:val="0"/>
                <w:sz w:val="20"/>
                <w:szCs w:val="20"/>
                <w:lang w:val="en-US" w:eastAsia="zh-CN" w:bidi="ar"/>
              </w:rPr>
              <w:t>项目期</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2025</w:t>
            </w:r>
            <w:r>
              <w:rPr>
                <w:rFonts w:hint="eastAsia" w:ascii="宋体" w:hAnsi="宋体" w:eastAsia="宋体" w:cs="宋体"/>
                <w:kern w:val="2"/>
                <w:sz w:val="21"/>
                <w:szCs w:val="21"/>
                <w:lang w:val="en-US" w:eastAsia="zh-CN" w:bidi="ar"/>
              </w:rPr>
              <w:t>年</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28" w:type="dxa"/>
            <w:gridSpan w:val="3"/>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项目资金</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（万元）</w:t>
            </w:r>
          </w:p>
        </w:tc>
        <w:tc>
          <w:tcPr>
            <w:tcW w:w="285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年度资金总额：</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173.6万元</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28" w:type="dxa"/>
            <w:gridSpan w:val="3"/>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5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其中：财政拨款</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173.6万元</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 w:hRule="atLeast"/>
        </w:trPr>
        <w:tc>
          <w:tcPr>
            <w:tcW w:w="1228" w:type="dxa"/>
            <w:gridSpan w:val="3"/>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5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上年结转</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 w:hRule="atLeast"/>
        </w:trPr>
        <w:tc>
          <w:tcPr>
            <w:tcW w:w="1228" w:type="dxa"/>
            <w:gridSpan w:val="3"/>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5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 xml:space="preserve">         其他资金</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年度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目标</w:t>
            </w:r>
          </w:p>
        </w:tc>
        <w:tc>
          <w:tcPr>
            <w:tcW w:w="730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Calibri" w:eastAsia="宋体" w:cs="宋体"/>
                <w:kern w:val="2"/>
                <w:sz w:val="20"/>
                <w:szCs w:val="20"/>
              </w:rPr>
            </w:pPr>
            <w:r>
              <w:rPr>
                <w:rFonts w:hint="eastAsia" w:ascii="宋体" w:hAnsi="Calibri" w:eastAsia="宋体" w:cs="宋体"/>
                <w:kern w:val="2"/>
                <w:sz w:val="20"/>
                <w:szCs w:val="20"/>
                <w:lang w:val="en-US" w:eastAsia="zh-CN" w:bidi="ar"/>
              </w:rPr>
              <w:t>发挥传媒中心在网络传输、节目制作、技术保障、媒体融合等方面的优势，充分发挥日常宣传作用。</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Calibri" w:eastAsia="宋体" w:cs="宋体"/>
                <w:kern w:val="2"/>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37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绩</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标</w:t>
            </w:r>
          </w:p>
        </w:tc>
        <w:tc>
          <w:tcPr>
            <w:tcW w:w="6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一级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指标</w:t>
            </w:r>
          </w:p>
        </w:tc>
        <w:tc>
          <w:tcPr>
            <w:tcW w:w="64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二级指标</w:t>
            </w: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三级指标</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指标值</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产出指标</w:t>
            </w:r>
          </w:p>
        </w:tc>
        <w:tc>
          <w:tcPr>
            <w:tcW w:w="646"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数量指标</w:t>
            </w: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lang w:eastAsia="zh-CN"/>
              </w:rPr>
            </w:pPr>
            <w:r>
              <w:rPr>
                <w:rFonts w:hint="eastAsia" w:ascii="宋体" w:hAnsi="Calibri" w:eastAsia="宋体" w:cs="宋体"/>
                <w:kern w:val="2"/>
                <w:sz w:val="20"/>
                <w:szCs w:val="20"/>
                <w:lang w:eastAsia="zh-CN"/>
              </w:rPr>
              <w:t>日常维护信息系统数量</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eastAsia="zh-CN"/>
              </w:rPr>
            </w:pPr>
            <w:r>
              <w:rPr>
                <w:rFonts w:hint="eastAsia" w:ascii="宋体" w:hAnsi="Calibri" w:eastAsia="宋体" w:cs="宋体"/>
                <w:kern w:val="2"/>
                <w:sz w:val="20"/>
                <w:szCs w:val="20"/>
              </w:rPr>
              <w:t>≥</w:t>
            </w:r>
            <w:r>
              <w:rPr>
                <w:rFonts w:hint="eastAsia" w:ascii="宋体" w:hAnsi="Calibri" w:eastAsia="宋体" w:cs="宋体"/>
                <w:kern w:val="2"/>
                <w:sz w:val="20"/>
                <w:szCs w:val="20"/>
                <w:lang w:val="en-US" w:eastAsia="zh-CN"/>
              </w:rPr>
              <w:t>10个</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质量指标</w:t>
            </w: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lang w:eastAsia="zh-CN"/>
              </w:rPr>
            </w:pPr>
            <w:r>
              <w:rPr>
                <w:rFonts w:hint="eastAsia" w:ascii="宋体" w:hAnsi="Calibri" w:eastAsia="宋体" w:cs="宋体"/>
                <w:kern w:val="2"/>
                <w:sz w:val="20"/>
                <w:szCs w:val="20"/>
                <w:lang w:eastAsia="zh-CN"/>
              </w:rPr>
              <w:t>信息系统日常维护合格率</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eastAsia="zh-CN"/>
              </w:rPr>
            </w:pPr>
            <w:r>
              <w:rPr>
                <w:rFonts w:hint="eastAsia" w:ascii="宋体" w:hAnsi="Calibri" w:eastAsia="宋体" w:cs="宋体"/>
                <w:kern w:val="2"/>
                <w:sz w:val="20"/>
                <w:szCs w:val="20"/>
              </w:rPr>
              <w:t>≥</w:t>
            </w:r>
            <w:r>
              <w:rPr>
                <w:rFonts w:hint="eastAsia" w:ascii="宋体" w:hAnsi="Calibri" w:eastAsia="宋体" w:cs="宋体"/>
                <w:kern w:val="2"/>
                <w:sz w:val="20"/>
                <w:szCs w:val="20"/>
                <w:lang w:val="en-US" w:eastAsia="zh-CN"/>
              </w:rPr>
              <w:t>85%</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时效指标</w:t>
            </w: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lang w:eastAsia="zh-CN"/>
              </w:rPr>
            </w:pPr>
            <w:r>
              <w:rPr>
                <w:rFonts w:hint="eastAsia" w:ascii="宋体" w:hAnsi="Calibri" w:eastAsia="宋体" w:cs="宋体"/>
                <w:kern w:val="2"/>
                <w:sz w:val="20"/>
                <w:szCs w:val="20"/>
                <w:lang w:eastAsia="zh-CN"/>
              </w:rPr>
              <w:t>等保测评及安全运维周期</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eastAsia="zh-CN"/>
              </w:rPr>
            </w:pPr>
            <w:r>
              <w:rPr>
                <w:rFonts w:hint="eastAsia" w:ascii="宋体" w:hAnsi="Calibri" w:eastAsia="宋体" w:cs="宋体"/>
                <w:kern w:val="2"/>
                <w:sz w:val="20"/>
                <w:szCs w:val="20"/>
                <w:lang w:eastAsia="zh-CN"/>
              </w:rPr>
              <w:t>有所提升</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成本指标</w:t>
            </w: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lang w:eastAsia="zh-CN"/>
              </w:rPr>
            </w:pPr>
            <w:r>
              <w:rPr>
                <w:rFonts w:hint="eastAsia" w:ascii="宋体" w:hAnsi="Calibri" w:eastAsia="宋体" w:cs="宋体"/>
                <w:kern w:val="2"/>
                <w:sz w:val="20"/>
                <w:szCs w:val="20"/>
                <w:lang w:eastAsia="zh-CN"/>
              </w:rPr>
              <w:t>机房网络及信息安全维保成本</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eastAsia="zh-CN"/>
              </w:rPr>
            </w:pPr>
            <w:r>
              <w:rPr>
                <w:rFonts w:hint="eastAsia" w:ascii="宋体" w:hAnsi="Calibri" w:eastAsia="宋体" w:cs="宋体"/>
                <w:kern w:val="2"/>
                <w:sz w:val="20"/>
                <w:szCs w:val="20"/>
                <w:lang w:val="en-US" w:eastAsia="zh-CN"/>
              </w:rPr>
              <w:t>173.6万元</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效益指标</w:t>
            </w:r>
          </w:p>
        </w:tc>
        <w:tc>
          <w:tcPr>
            <w:tcW w:w="646"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经济效益指标</w:t>
            </w: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lang w:eastAsia="zh-CN"/>
              </w:rPr>
            </w:pPr>
            <w:r>
              <w:rPr>
                <w:rFonts w:hint="eastAsia" w:ascii="宋体" w:hAnsi="Calibri" w:eastAsia="宋体" w:cs="宋体"/>
                <w:kern w:val="2"/>
                <w:sz w:val="20"/>
                <w:szCs w:val="20"/>
                <w:lang w:eastAsia="zh-CN"/>
              </w:rPr>
              <w:t>减少项目运行成本、运维费用</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eastAsia="zh-CN"/>
              </w:rPr>
            </w:pPr>
            <w:r>
              <w:rPr>
                <w:rFonts w:hint="eastAsia" w:ascii="宋体" w:hAnsi="Calibri" w:eastAsia="宋体" w:cs="宋体"/>
                <w:kern w:val="2"/>
                <w:sz w:val="20"/>
                <w:szCs w:val="20"/>
                <w:lang w:eastAsia="zh-CN"/>
              </w:rPr>
              <w:t>有所提升</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社会效益指标</w:t>
            </w: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lang w:eastAsia="zh-CN"/>
              </w:rPr>
            </w:pPr>
            <w:r>
              <w:rPr>
                <w:rFonts w:hint="eastAsia" w:ascii="宋体" w:hAnsi="Calibri" w:eastAsia="宋体" w:cs="宋体"/>
                <w:kern w:val="2"/>
                <w:sz w:val="20"/>
                <w:szCs w:val="20"/>
                <w:lang w:eastAsia="zh-CN"/>
              </w:rPr>
              <w:t>对信息安全应急响应能力的改善和提升程度</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eastAsia="zh-CN"/>
              </w:rPr>
            </w:pPr>
            <w:r>
              <w:rPr>
                <w:rFonts w:hint="eastAsia" w:ascii="宋体" w:hAnsi="Calibri" w:eastAsia="宋体" w:cs="宋体"/>
                <w:kern w:val="2"/>
                <w:sz w:val="20"/>
                <w:szCs w:val="20"/>
              </w:rPr>
              <w:t>≥</w:t>
            </w:r>
            <w:r>
              <w:rPr>
                <w:rFonts w:hint="eastAsia" w:ascii="宋体" w:hAnsi="Calibri" w:eastAsia="宋体" w:cs="宋体"/>
                <w:kern w:val="2"/>
                <w:sz w:val="20"/>
                <w:szCs w:val="20"/>
                <w:lang w:val="en-US" w:eastAsia="zh-CN"/>
              </w:rPr>
              <w:t>70%</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生态效益指标</w:t>
            </w: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Calibri"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汉仪中秀体简" w:hAnsi="汉仪中秀体简" w:eastAsia="汉仪中秀体简" w:cs="汉仪中秀体简"/>
                <w:color w:val="000000"/>
                <w:kern w:val="0"/>
                <w:sz w:val="20"/>
                <w:szCs w:val="20"/>
                <w:lang w:eastAsia="zh-CN"/>
              </w:rPr>
            </w:pPr>
            <w:r>
              <w:rPr>
                <w:rFonts w:hint="eastAsia" w:ascii="汉仪中秀体简" w:hAnsi="汉仪中秀体简" w:eastAsia="汉仪中秀体简" w:cs="汉仪中秀体简"/>
                <w:color w:val="000000"/>
                <w:kern w:val="0"/>
                <w:sz w:val="20"/>
                <w:szCs w:val="20"/>
                <w:lang w:eastAsia="zh-CN"/>
              </w:rPr>
              <w:t>对减少硬件能耗支出，实现节能减排的影响程度</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汉仪中秀体简" w:hAnsi="汉仪中秀体简" w:eastAsia="汉仪中秀体简" w:cs="汉仪中秀体简"/>
                <w:color w:val="000000"/>
                <w:kern w:val="0"/>
                <w:sz w:val="20"/>
                <w:szCs w:val="20"/>
              </w:rPr>
            </w:pPr>
            <w:r>
              <w:rPr>
                <w:rFonts w:hint="eastAsia" w:ascii="汉仪中秀体简" w:hAnsi="汉仪中秀体简" w:eastAsia="汉仪中秀体简" w:cs="汉仪中秀体简"/>
                <w:color w:val="000000"/>
                <w:kern w:val="0"/>
                <w:sz w:val="20"/>
                <w:szCs w:val="20"/>
                <w:lang w:val="en-US" w:eastAsia="zh-CN" w:bidi="ar"/>
              </w:rPr>
              <w:t>有所提升</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汉仪中秀体简" w:hAnsi="汉仪中秀体简" w:eastAsia="汉仪中秀体简" w:cs="汉仪中秀体简"/>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0"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可持续影响指标</w:t>
            </w: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44"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对提高或改善公共服务水平的持续影响程度</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eastAsia="zh-CN"/>
              </w:rPr>
            </w:pPr>
            <w:r>
              <w:rPr>
                <w:rFonts w:hint="eastAsia" w:ascii="宋体" w:hAnsi="Calibri" w:eastAsia="宋体" w:cs="宋体"/>
                <w:kern w:val="2"/>
                <w:sz w:val="20"/>
                <w:szCs w:val="20"/>
              </w:rPr>
              <w:t>≥</w:t>
            </w:r>
            <w:r>
              <w:rPr>
                <w:rFonts w:hint="eastAsia" w:ascii="宋体" w:hAnsi="Calibri" w:eastAsia="宋体" w:cs="宋体"/>
                <w:kern w:val="2"/>
                <w:sz w:val="20"/>
                <w:szCs w:val="20"/>
                <w:lang w:val="en-US" w:eastAsia="zh-CN"/>
              </w:rPr>
              <w:t>80%</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w:t>
            </w: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rPr>
            </w:pP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满意度指标</w:t>
            </w:r>
          </w:p>
        </w:tc>
        <w:tc>
          <w:tcPr>
            <w:tcW w:w="646" w:type="dxa"/>
            <w:gridSpan w:val="2"/>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满意度指标</w:t>
            </w: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20"/>
                <w:szCs w:val="20"/>
              </w:rPr>
            </w:pPr>
            <w:r>
              <w:rPr>
                <w:rFonts w:hint="eastAsia" w:ascii="宋体" w:hAnsi="宋体" w:eastAsia="宋体" w:cs="宋体"/>
                <w:color w:val="000000"/>
                <w:kern w:val="0"/>
                <w:sz w:val="20"/>
                <w:szCs w:val="20"/>
                <w:lang w:val="en-US" w:eastAsia="zh-CN" w:bidi="ar"/>
              </w:rPr>
              <w:t>指标1：</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37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6" w:type="dxa"/>
            <w:gridSpan w:val="2"/>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公众满意度</w:t>
            </w:r>
          </w:p>
        </w:tc>
        <w:tc>
          <w:tcPr>
            <w:tcW w:w="359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lang w:val="en-US" w:eastAsia="zh-CN"/>
              </w:rPr>
            </w:pPr>
            <w:r>
              <w:rPr>
                <w:rFonts w:hint="eastAsia" w:ascii="宋体" w:hAnsi="Calibri" w:eastAsia="宋体" w:cs="宋体"/>
                <w:kern w:val="2"/>
                <w:sz w:val="20"/>
                <w:szCs w:val="20"/>
              </w:rPr>
              <w:t>≥</w:t>
            </w:r>
            <w:r>
              <w:rPr>
                <w:rFonts w:hint="eastAsia" w:ascii="宋体" w:hAnsi="Calibri" w:eastAsia="宋体" w:cs="宋体"/>
                <w:kern w:val="2"/>
                <w:sz w:val="20"/>
                <w:szCs w:val="20"/>
                <w:lang w:val="en-US" w:eastAsia="zh-CN"/>
              </w:rPr>
              <w:t>90%</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kern w:val="2"/>
                <w:sz w:val="20"/>
                <w:szCs w:val="20"/>
              </w:rPr>
            </w:pPr>
          </w:p>
        </w:tc>
      </w:tr>
    </w:tbl>
    <w:p>
      <w:pPr>
        <w:ind w:firstLine="640" w:firstLineChars="200"/>
        <w:rPr>
          <w:rFonts w:ascii="TimesNewRoman" w:hAnsi="TimesNewRoman" w:eastAsia="仿宋_GB2312" w:cs="TimesNewRoman"/>
          <w:kern w:val="0"/>
          <w:sz w:val="32"/>
          <w:szCs w:val="32"/>
        </w:rPr>
      </w:pP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为非参照公务员法管理的事业单位，按照部门预算机关运行经费口径，2025年无机关运行经费财政拨款预算。</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69.7</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69.7</w:t>
      </w:r>
      <w:r>
        <w:rPr>
          <w:rFonts w:hint="eastAsia" w:ascii="TimesNewRoman" w:hAnsi="TimesNewRoman" w:eastAsia="仿宋_GB2312" w:cs="TimesNewRoman"/>
          <w:kern w:val="0"/>
          <w:sz w:val="32"/>
          <w:szCs w:val="32"/>
        </w:rPr>
        <w:t>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14</w:t>
      </w:r>
      <w:r>
        <w:rPr>
          <w:rFonts w:hint="eastAsia" w:ascii="TimesNewRoman" w:hAnsi="TimesNewRoman" w:eastAsia="仿宋_GB2312" w:cs="TimesNewRoman"/>
          <w:kern w:val="0"/>
          <w:sz w:val="32"/>
          <w:szCs w:val="32"/>
        </w:rPr>
        <w:t>辆，其中：特种专业技术用车2辆、其他用车</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2辆。单价50万元以上的通用设备</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2025年部门（单位）预算安排购置公务用车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2025年，淮北市</w:t>
      </w:r>
      <w:r>
        <w:rPr>
          <w:rFonts w:hint="eastAsia" w:ascii="TimesNewRoman" w:hAnsi="TimesNewRoman" w:eastAsia="仿宋_GB2312" w:cs="TimesNewRoman"/>
          <w:kern w:val="0"/>
          <w:sz w:val="32"/>
          <w:szCs w:val="32"/>
          <w:lang w:eastAsia="zh-CN"/>
        </w:rPr>
        <w:t>传媒中心</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793.6</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pStyle w:val="7"/>
        <w:adjustRightInd w:val="0"/>
        <w:snapToGrid w:val="0"/>
        <w:spacing w:line="560" w:lineRule="exact"/>
        <w:jc w:val="center"/>
        <w:rPr>
          <w:rFonts w:ascii="TimesNewRoman" w:hAnsi="TimesNewRoman" w:eastAsia="黑体" w:cs="TimesNewRoman"/>
          <w:bCs/>
          <w:sz w:val="36"/>
          <w:szCs w:val="36"/>
        </w:rPr>
      </w:pPr>
    </w:p>
    <w:p>
      <w:pPr>
        <w:pStyle w:val="7"/>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7"/>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7"/>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7"/>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7"/>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7"/>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7"/>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7"/>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7"/>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7"/>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7"/>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
    <w:p/>
    <w:p/>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汉仪中秀体简">
    <w:altName w:val="微软雅黑"/>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33D3406"/>
    <w:rsid w:val="0572455C"/>
    <w:rsid w:val="059D0C23"/>
    <w:rsid w:val="065E7DF6"/>
    <w:rsid w:val="0CD96235"/>
    <w:rsid w:val="0EA25929"/>
    <w:rsid w:val="0FD43DBB"/>
    <w:rsid w:val="0FDE39BD"/>
    <w:rsid w:val="13114728"/>
    <w:rsid w:val="13F16E15"/>
    <w:rsid w:val="13F67EFF"/>
    <w:rsid w:val="14FA6B71"/>
    <w:rsid w:val="162B4179"/>
    <w:rsid w:val="16713F0B"/>
    <w:rsid w:val="195C61E2"/>
    <w:rsid w:val="1C3F3918"/>
    <w:rsid w:val="1E0D2C56"/>
    <w:rsid w:val="1EE404C5"/>
    <w:rsid w:val="22B812BF"/>
    <w:rsid w:val="2A02437C"/>
    <w:rsid w:val="2C284344"/>
    <w:rsid w:val="2D06781F"/>
    <w:rsid w:val="313A5006"/>
    <w:rsid w:val="31647236"/>
    <w:rsid w:val="33F43A5F"/>
    <w:rsid w:val="37197D8E"/>
    <w:rsid w:val="388850A5"/>
    <w:rsid w:val="3CD52F66"/>
    <w:rsid w:val="3F463053"/>
    <w:rsid w:val="401364EC"/>
    <w:rsid w:val="41385BE7"/>
    <w:rsid w:val="46B65F97"/>
    <w:rsid w:val="470E596A"/>
    <w:rsid w:val="4829498A"/>
    <w:rsid w:val="49965870"/>
    <w:rsid w:val="4CAE7770"/>
    <w:rsid w:val="4DCB3584"/>
    <w:rsid w:val="4E136E32"/>
    <w:rsid w:val="53690AD8"/>
    <w:rsid w:val="58E23F52"/>
    <w:rsid w:val="59BF65E6"/>
    <w:rsid w:val="5BF7764C"/>
    <w:rsid w:val="5D9C3B0C"/>
    <w:rsid w:val="61F84DAF"/>
    <w:rsid w:val="634562A0"/>
    <w:rsid w:val="66CE6E5B"/>
    <w:rsid w:val="6B0401DB"/>
    <w:rsid w:val="6DD75BF9"/>
    <w:rsid w:val="6DF14802"/>
    <w:rsid w:val="6F642594"/>
    <w:rsid w:val="6F72673D"/>
    <w:rsid w:val="6FC40CE6"/>
    <w:rsid w:val="703650C7"/>
    <w:rsid w:val="705C19EC"/>
    <w:rsid w:val="741C1600"/>
    <w:rsid w:val="78687B2B"/>
    <w:rsid w:val="7903333C"/>
    <w:rsid w:val="79600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rPr>
      <w:kern w:val="0"/>
      <w:sz w:val="20"/>
      <w:szCs w:val="20"/>
    </w:rPr>
  </w:style>
  <w:style w:type="paragraph" w:styleId="4">
    <w:name w:val="Body Text"/>
    <w:basedOn w:val="1"/>
    <w:qFormat/>
    <w:uiPriority w:val="0"/>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983</Words>
  <Characters>5608</Characters>
  <Lines>46</Lines>
  <Paragraphs>13</Paragraphs>
  <TotalTime>3</TotalTime>
  <ScaleCrop>false</ScaleCrop>
  <LinksUpToDate>false</LinksUpToDate>
  <CharactersWithSpaces>6578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饭团</cp:lastModifiedBy>
  <dcterms:modified xsi:type="dcterms:W3CDTF">2025-02-11T02:33:51Z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