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topLinePunct w:val="0"/>
        <w:bidi w:val="0"/>
        <w:spacing w:line="59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淮北市危险货物道路运输安全专项整治</w:t>
      </w:r>
    </w:p>
    <w:p>
      <w:pPr>
        <w:keepNext w:val="0"/>
        <w:keepLines w:val="0"/>
        <w:pageBreakBefore w:val="0"/>
        <w:wordWrap/>
        <w:topLinePunct w:val="0"/>
        <w:bidi w:val="0"/>
        <w:spacing w:line="59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工作方案</w:t>
      </w:r>
    </w:p>
    <w:p>
      <w:pPr>
        <w:keepNext w:val="0"/>
        <w:keepLines w:val="0"/>
        <w:pageBreakBefore w:val="0"/>
        <w:wordWrap/>
        <w:topLinePunct w:val="0"/>
        <w:bidi w:val="0"/>
        <w:spacing w:line="590" w:lineRule="exact"/>
        <w:ind w:firstLine="627" w:firstLineChars="196"/>
        <w:rPr>
          <w:rFonts w:ascii="楷体_GB2312" w:hAnsi="Times New Roman" w:eastAsia="仿宋_GB2312" w:cs="Times New Roman"/>
          <w:sz w:val="32"/>
          <w:szCs w:val="32"/>
        </w:rPr>
      </w:pPr>
    </w:p>
    <w:p>
      <w:pPr>
        <w:pStyle w:val="8"/>
        <w:keepNext w:val="0"/>
        <w:keepLines w:val="0"/>
        <w:pageBreakBefore w:val="0"/>
        <w:widowControl/>
        <w:suppressAutoHyphens/>
        <w:wordWrap/>
        <w:topLinePunct w:val="0"/>
        <w:bidi w:val="0"/>
        <w:spacing w:line="590" w:lineRule="exact"/>
        <w:ind w:firstLine="640" w:firstLineChars="200"/>
        <w:jc w:val="left"/>
        <w:rPr>
          <w:rFonts w:ascii="仿宋_GB2312" w:hAnsi="仿宋_GB2312" w:eastAsia="仿宋_GB2312" w:cs="仿宋_GB2312"/>
          <w:color w:val="000000"/>
          <w:kern w:val="0"/>
          <w:sz w:val="32"/>
          <w:szCs w:val="32"/>
          <w:shd w:val="clear" w:color="auto" w:fill="FFFFFF"/>
        </w:rPr>
      </w:pPr>
      <w:r>
        <w:rPr>
          <w:rFonts w:ascii="仿宋_GB2312" w:hAnsi="仿宋_GB2312" w:eastAsia="仿宋_GB2312" w:cs="仿宋_GB2312"/>
          <w:color w:val="000000"/>
          <w:kern w:val="0"/>
          <w:sz w:val="32"/>
          <w:szCs w:val="32"/>
          <w:shd w:val="clear" w:color="auto" w:fill="FFFFFF"/>
        </w:rPr>
        <w:t>为深入学习贯彻党的二十大精神和习近平总书记关于安全生产重要论述及重要指示批示精神，全面落实国务院安委会关于安全生产十五条硬措施</w:t>
      </w:r>
      <w:r>
        <w:rPr>
          <w:rFonts w:hint="eastAsia" w:ascii="仿宋_GB2312" w:hAnsi="仿宋_GB2312" w:eastAsia="仿宋_GB2312" w:cs="仿宋_GB2312"/>
          <w:color w:val="000000"/>
          <w:kern w:val="0"/>
          <w:sz w:val="32"/>
          <w:szCs w:val="32"/>
          <w:shd w:val="clear" w:color="auto" w:fill="FFFFFF"/>
        </w:rPr>
        <w:t>，</w:t>
      </w:r>
      <w:r>
        <w:rPr>
          <w:rFonts w:ascii="仿宋_GB2312" w:hAnsi="仿宋_GB2312" w:eastAsia="仿宋_GB2312" w:cs="仿宋_GB2312"/>
          <w:color w:val="000000"/>
          <w:kern w:val="0"/>
          <w:sz w:val="32"/>
          <w:szCs w:val="32"/>
          <w:shd w:val="clear" w:color="auto" w:fill="FFFFFF"/>
        </w:rPr>
        <w:t>进一步加强和规范全市危险货物道路运输安全管理，有效防范事故发生</w:t>
      </w:r>
      <w:r>
        <w:rPr>
          <w:rFonts w:hint="eastAsia" w:ascii="仿宋_GB2312" w:hAnsi="仿宋_GB2312" w:eastAsia="仿宋_GB2312" w:cs="仿宋_GB2312"/>
          <w:color w:val="000000"/>
          <w:kern w:val="0"/>
          <w:sz w:val="32"/>
          <w:szCs w:val="32"/>
          <w:shd w:val="clear" w:color="auto" w:fill="FFFFFF"/>
        </w:rPr>
        <w:t>，</w:t>
      </w:r>
      <w:r>
        <w:rPr>
          <w:rFonts w:ascii="仿宋_GB2312" w:hAnsi="仿宋_GB2312" w:eastAsia="仿宋_GB2312" w:cs="仿宋_GB2312"/>
          <w:color w:val="000000"/>
          <w:kern w:val="0"/>
          <w:sz w:val="32"/>
          <w:szCs w:val="32"/>
          <w:shd w:val="clear" w:color="auto" w:fill="FFFFFF"/>
        </w:rPr>
        <w:t>特制定本</w:t>
      </w:r>
      <w:r>
        <w:rPr>
          <w:rFonts w:hint="eastAsia" w:ascii="仿宋_GB2312" w:hAnsi="仿宋_GB2312" w:eastAsia="仿宋_GB2312" w:cs="仿宋_GB2312"/>
          <w:color w:val="000000"/>
          <w:kern w:val="0"/>
          <w:sz w:val="32"/>
          <w:szCs w:val="32"/>
          <w:shd w:val="clear" w:color="auto" w:fill="FFFFFF"/>
        </w:rPr>
        <w:t>工作</w:t>
      </w:r>
      <w:r>
        <w:rPr>
          <w:rFonts w:ascii="仿宋_GB2312" w:hAnsi="仿宋_GB2312" w:eastAsia="仿宋_GB2312" w:cs="仿宋_GB2312"/>
          <w:color w:val="000000"/>
          <w:kern w:val="0"/>
          <w:sz w:val="32"/>
          <w:szCs w:val="32"/>
          <w:shd w:val="clear" w:color="auto" w:fill="FFFFFF"/>
        </w:rPr>
        <w:t>方案。</w:t>
      </w:r>
    </w:p>
    <w:p>
      <w:pPr>
        <w:keepNext w:val="0"/>
        <w:keepLines w:val="0"/>
        <w:pageBreakBefore w:val="0"/>
        <w:wordWrap/>
        <w:topLinePunct w:val="0"/>
        <w:bidi w:val="0"/>
        <w:spacing w:line="590" w:lineRule="exact"/>
        <w:ind w:firstLine="627" w:firstLineChars="196"/>
        <w:rPr>
          <w:rFonts w:ascii="黑体" w:hAnsi="黑体" w:eastAsia="黑体" w:cs="黑体"/>
          <w:sz w:val="32"/>
          <w:szCs w:val="32"/>
        </w:rPr>
      </w:pPr>
      <w:r>
        <w:rPr>
          <w:rFonts w:hint="eastAsia" w:ascii="黑体" w:hAnsi="黑体" w:eastAsia="黑体" w:cs="黑体"/>
          <w:sz w:val="32"/>
          <w:szCs w:val="32"/>
        </w:rPr>
        <w:t>一、指导思想</w:t>
      </w:r>
    </w:p>
    <w:p>
      <w:pPr>
        <w:pStyle w:val="8"/>
        <w:keepNext w:val="0"/>
        <w:keepLines w:val="0"/>
        <w:pageBreakBefore w:val="0"/>
        <w:widowControl/>
        <w:suppressAutoHyphens/>
        <w:wordWrap/>
        <w:topLinePunct w:val="0"/>
        <w:bidi w:val="0"/>
        <w:spacing w:line="590" w:lineRule="exact"/>
        <w:ind w:firstLine="640" w:firstLineChars="200"/>
        <w:jc w:val="left"/>
        <w:rPr>
          <w:rFonts w:ascii="仿宋_GB2312" w:hAnsi="仿宋_GB2312" w:eastAsia="仿宋_GB2312" w:cs="仿宋_GB2312"/>
          <w:color w:val="000000"/>
          <w:kern w:val="0"/>
          <w:sz w:val="32"/>
          <w:szCs w:val="32"/>
          <w:shd w:val="clear" w:color="auto" w:fill="FFFFFF"/>
        </w:rPr>
      </w:pPr>
      <w:r>
        <w:rPr>
          <w:rFonts w:ascii="仿宋_GB2312" w:hAnsi="仿宋_GB2312" w:eastAsia="仿宋_GB2312" w:cs="仿宋_GB2312"/>
          <w:color w:val="000000"/>
          <w:kern w:val="0"/>
          <w:sz w:val="32"/>
          <w:szCs w:val="32"/>
          <w:shd w:val="clear" w:color="auto" w:fill="FFFFFF"/>
        </w:rPr>
        <w:t>坚持“全覆盖、零容</w:t>
      </w:r>
      <w:bookmarkStart w:id="0" w:name="_GoBack"/>
      <w:bookmarkEnd w:id="0"/>
      <w:r>
        <w:rPr>
          <w:rFonts w:ascii="仿宋_GB2312" w:hAnsi="仿宋_GB2312" w:eastAsia="仿宋_GB2312" w:cs="仿宋_GB2312"/>
          <w:color w:val="000000"/>
          <w:kern w:val="0"/>
          <w:sz w:val="32"/>
          <w:szCs w:val="32"/>
          <w:shd w:val="clear" w:color="auto" w:fill="FFFFFF"/>
        </w:rPr>
        <w:t>忍、严执法、重实效”工作原则，进一步强化安全生产红线意识，牢固树立安全发展理念，认真贯彻落实“党政同责、一岗双责、失职追责”和“属地管理、分级负责”的安全生产责任体系，严打道路危险货物运输领域各类违法违规运营行为，有效堵塞监管漏洞，深化安全生产网格化管理，切实把安全生产责任落实到“最后一公里”，坚决做到盯得住、守得好、不漏管、不出事，确保全市危险货物道路运输安全生产形势持续稳定。</w:t>
      </w:r>
    </w:p>
    <w:p>
      <w:pPr>
        <w:keepNext w:val="0"/>
        <w:keepLines w:val="0"/>
        <w:pageBreakBefore w:val="0"/>
        <w:wordWrap/>
        <w:topLinePunct w:val="0"/>
        <w:bidi w:val="0"/>
        <w:spacing w:line="590" w:lineRule="exact"/>
        <w:ind w:firstLine="627" w:firstLineChars="196"/>
        <w:rPr>
          <w:rFonts w:ascii="楷体_GB2312" w:hAnsi="Times New Roman" w:eastAsia="仿宋_GB2312" w:cs="Times New Roman"/>
          <w:b/>
          <w:bCs/>
          <w:sz w:val="32"/>
          <w:szCs w:val="32"/>
        </w:rPr>
      </w:pPr>
      <w:r>
        <w:rPr>
          <w:rFonts w:hint="eastAsia" w:ascii="黑体" w:hAnsi="黑体" w:eastAsia="黑体" w:cs="黑体"/>
          <w:sz w:val="32"/>
          <w:szCs w:val="32"/>
        </w:rPr>
        <w:t>二、工作目标</w:t>
      </w:r>
    </w:p>
    <w:p>
      <w:pPr>
        <w:pStyle w:val="8"/>
        <w:keepNext w:val="0"/>
        <w:keepLines w:val="0"/>
        <w:pageBreakBefore w:val="0"/>
        <w:widowControl/>
        <w:suppressAutoHyphens/>
        <w:wordWrap/>
        <w:topLinePunct w:val="0"/>
        <w:bidi w:val="0"/>
        <w:spacing w:line="590" w:lineRule="exact"/>
        <w:ind w:firstLine="640" w:firstLineChars="200"/>
        <w:jc w:val="left"/>
        <w:rPr>
          <w:rFonts w:ascii="仿宋_GB2312" w:hAnsi="仿宋_GB2312" w:eastAsia="仿宋_GB2312" w:cs="仿宋_GB2312"/>
          <w:color w:val="000000"/>
          <w:kern w:val="0"/>
          <w:sz w:val="32"/>
          <w:szCs w:val="32"/>
          <w:shd w:val="clear" w:color="auto" w:fill="FFFFFF"/>
        </w:rPr>
      </w:pPr>
      <w:r>
        <w:rPr>
          <w:rFonts w:ascii="仿宋_GB2312" w:hAnsi="仿宋_GB2312" w:eastAsia="仿宋_GB2312" w:cs="仿宋_GB2312"/>
          <w:color w:val="000000"/>
          <w:kern w:val="0"/>
          <w:sz w:val="32"/>
          <w:szCs w:val="32"/>
          <w:shd w:val="clear" w:color="auto" w:fill="FFFFFF"/>
        </w:rPr>
        <w:t>整治行动以加强危货运输安全管理为重点，通过开展覆盖全市所有道路危险货物运输企业、运营车辆和从业人员，特别是对反复发生、长期未根治的安全生产事故隐患和安全生产突出问题的专项集中整治，严格审核业户经营资质、运输车辆技术条件、操作人员从业资格、人员学习教育、车辆动态监控，落实运输各个环节的安全责任，解决危货运输安全管理中存在的薄弱环节和突出问题，进一步规范危险货物运输生产经营行为，严厉打击违法违规运输行为，坚决杜绝重特大事故的发生，推动我市危货运输安全生产状况持续稳定。</w:t>
      </w:r>
    </w:p>
    <w:p>
      <w:pPr>
        <w:keepNext w:val="0"/>
        <w:keepLines w:val="0"/>
        <w:pageBreakBefore w:val="0"/>
        <w:wordWrap/>
        <w:topLinePunct w:val="0"/>
        <w:bidi w:val="0"/>
        <w:spacing w:line="590" w:lineRule="exact"/>
        <w:ind w:firstLine="627" w:firstLineChars="196"/>
        <w:rPr>
          <w:rFonts w:ascii="黑体" w:hAnsi="黑体" w:eastAsia="黑体" w:cs="黑体"/>
          <w:sz w:val="32"/>
          <w:szCs w:val="32"/>
        </w:rPr>
      </w:pPr>
      <w:r>
        <w:rPr>
          <w:rFonts w:hint="eastAsia" w:ascii="黑体" w:hAnsi="黑体" w:eastAsia="黑体" w:cs="黑体"/>
          <w:sz w:val="32"/>
          <w:szCs w:val="32"/>
        </w:rPr>
        <w:t>三、整治时间</w:t>
      </w:r>
    </w:p>
    <w:p>
      <w:pPr>
        <w:keepNext w:val="0"/>
        <w:keepLines w:val="0"/>
        <w:pageBreakBefore w:val="0"/>
        <w:wordWrap/>
        <w:topLinePunct w:val="0"/>
        <w:bidi w:val="0"/>
        <w:spacing w:line="590" w:lineRule="exact"/>
        <w:ind w:firstLine="627" w:firstLineChars="196"/>
        <w:rPr>
          <w:rFonts w:ascii="楷体_GB2312" w:hAnsi="Times New Roman" w:eastAsia="仿宋_GB2312" w:cs="Times New Roman"/>
          <w:sz w:val="32"/>
          <w:szCs w:val="32"/>
        </w:rPr>
      </w:pPr>
      <w:r>
        <w:rPr>
          <w:rFonts w:hint="eastAsia" w:ascii="仿宋_GB2312" w:hAnsi="仿宋_GB2312" w:eastAsia="仿宋_GB2312" w:cs="仿宋_GB2312"/>
          <w:color w:val="000000"/>
          <w:kern w:val="0"/>
          <w:sz w:val="32"/>
          <w:szCs w:val="32"/>
          <w:shd w:val="clear" w:color="auto" w:fill="FFFFFF"/>
        </w:rPr>
        <w:t>即日起，为期一个月。</w:t>
      </w:r>
    </w:p>
    <w:p>
      <w:pPr>
        <w:keepNext w:val="0"/>
        <w:keepLines w:val="0"/>
        <w:pageBreakBefore w:val="0"/>
        <w:wordWrap/>
        <w:topLinePunct w:val="0"/>
        <w:bidi w:val="0"/>
        <w:spacing w:line="590" w:lineRule="exact"/>
        <w:ind w:firstLine="627" w:firstLineChars="196"/>
        <w:rPr>
          <w:rFonts w:ascii="黑体" w:hAnsi="黑体" w:eastAsia="黑体" w:cs="黑体"/>
          <w:sz w:val="32"/>
          <w:szCs w:val="32"/>
        </w:rPr>
      </w:pPr>
      <w:r>
        <w:rPr>
          <w:rFonts w:hint="eastAsia" w:ascii="黑体" w:hAnsi="黑体" w:eastAsia="黑体" w:cs="黑体"/>
          <w:sz w:val="32"/>
          <w:szCs w:val="32"/>
        </w:rPr>
        <w:t>四、整治任务</w:t>
      </w:r>
    </w:p>
    <w:p>
      <w:pPr>
        <w:pStyle w:val="8"/>
        <w:keepNext w:val="0"/>
        <w:keepLines w:val="0"/>
        <w:pageBreakBefore w:val="0"/>
        <w:widowControl/>
        <w:suppressAutoHyphens/>
        <w:wordWrap/>
        <w:topLinePunct w:val="0"/>
        <w:bidi w:val="0"/>
        <w:spacing w:line="590" w:lineRule="exact"/>
        <w:ind w:firstLine="640" w:firstLineChars="200"/>
        <w:jc w:val="left"/>
        <w:rPr>
          <w:rFonts w:ascii="Times New Roman" w:hAnsi="Times New Roman" w:eastAsia="楷体" w:cs="Times New Roman"/>
          <w:bCs/>
          <w:kern w:val="0"/>
          <w:sz w:val="32"/>
          <w:szCs w:val="32"/>
        </w:rPr>
      </w:pPr>
      <w:r>
        <w:rPr>
          <w:rFonts w:hint="eastAsia" w:ascii="Times New Roman" w:hAnsi="Times New Roman" w:eastAsia="楷体" w:cs="Times New Roman"/>
          <w:bCs/>
          <w:kern w:val="0"/>
          <w:sz w:val="32"/>
          <w:szCs w:val="32"/>
        </w:rPr>
        <w:t>（一）严格核查企业车辆及设备</w:t>
      </w:r>
    </w:p>
    <w:p>
      <w:pPr>
        <w:pStyle w:val="8"/>
        <w:keepNext w:val="0"/>
        <w:keepLines w:val="0"/>
        <w:pageBreakBefore w:val="0"/>
        <w:widowControl/>
        <w:suppressAutoHyphens/>
        <w:wordWrap/>
        <w:topLinePunct w:val="0"/>
        <w:bidi w:val="0"/>
        <w:spacing w:line="590" w:lineRule="exact"/>
        <w:ind w:firstLine="640" w:firstLineChars="200"/>
        <w:jc w:val="left"/>
        <w:rPr>
          <w:rFonts w:ascii="Times New Roman" w:hAnsi="Times New Roman" w:eastAsia="楷体" w:cs="Times New Roman"/>
          <w:bCs/>
          <w:kern w:val="0"/>
          <w:sz w:val="32"/>
          <w:szCs w:val="32"/>
        </w:rPr>
      </w:pPr>
      <w:r>
        <w:rPr>
          <w:rFonts w:hint="eastAsia" w:ascii="仿宋_GB2312" w:hAnsi="仿宋_GB2312" w:eastAsia="仿宋_GB2312" w:cs="仿宋_GB2312"/>
          <w:color w:val="000000"/>
          <w:kern w:val="0"/>
          <w:sz w:val="32"/>
          <w:szCs w:val="32"/>
          <w:shd w:val="clear" w:color="auto" w:fill="FFFFFF"/>
        </w:rPr>
        <w:t>1.核查企业是否严格按照国家规定的周期和频次对所属危险货物运输车辆进行技术等级评定，车辆是否到经备案且符合相应维修条件的企业进行维修，是否建立车辆技术档案、实行一车一档，是否使用报废、擅自改装、拼装、检验不合格等不符合国家规定的车辆，严把车辆年度审验关。针对180日 （含） 以上未按照国家有关规定对车辆进行年审、检测或维护的，注销其《道路运输证》，并在媒体公告。</w:t>
      </w:r>
      <w:r>
        <w:rPr>
          <w:rFonts w:hint="eastAsia" w:ascii="Times New Roman" w:hAnsi="Times New Roman" w:eastAsia="楷体" w:cs="Times New Roman"/>
          <w:bCs/>
          <w:kern w:val="0"/>
          <w:sz w:val="32"/>
          <w:szCs w:val="32"/>
        </w:rPr>
        <w:t>（责任单位：市交通执法支队、市运管中心，濉溪县公安局、濉溪县交通运输局落实属地管理责任，以下均需，不再重复列出）</w:t>
      </w:r>
    </w:p>
    <w:p>
      <w:pPr>
        <w:pStyle w:val="8"/>
        <w:keepNext w:val="0"/>
        <w:keepLines w:val="0"/>
        <w:pageBreakBefore w:val="0"/>
        <w:widowControl/>
        <w:suppressAutoHyphens/>
        <w:wordWrap/>
        <w:topLinePunct w:val="0"/>
        <w:bidi w:val="0"/>
        <w:spacing w:line="590" w:lineRule="exact"/>
        <w:ind w:firstLine="640" w:firstLineChars="200"/>
        <w:jc w:val="left"/>
        <w:rPr>
          <w:rFonts w:ascii="Times New Roman" w:hAnsi="Times New Roman" w:eastAsia="楷体" w:cs="Times New Roman"/>
          <w:bCs/>
          <w:kern w:val="0"/>
          <w:sz w:val="32"/>
          <w:szCs w:val="32"/>
        </w:rPr>
      </w:pPr>
      <w:r>
        <w:rPr>
          <w:rFonts w:hint="eastAsia" w:ascii="Times New Roman" w:hAnsi="Times New Roman" w:eastAsia="楷体" w:cs="Times New Roman"/>
          <w:bCs/>
          <w:kern w:val="0"/>
          <w:sz w:val="32"/>
          <w:szCs w:val="32"/>
        </w:rPr>
        <w:t>（二）严格核查企业从业人员</w:t>
      </w:r>
    </w:p>
    <w:p>
      <w:pPr>
        <w:pStyle w:val="8"/>
        <w:keepNext w:val="0"/>
        <w:keepLines w:val="0"/>
        <w:pageBreakBefore w:val="0"/>
        <w:widowControl/>
        <w:suppressAutoHyphens/>
        <w:wordWrap/>
        <w:topLinePunct w:val="0"/>
        <w:bidi w:val="0"/>
        <w:spacing w:line="590" w:lineRule="exact"/>
        <w:ind w:firstLine="640" w:firstLineChars="200"/>
        <w:jc w:val="left"/>
        <w:rPr>
          <w:rFonts w:ascii="Times New Roman" w:hAnsi="Times New Roman" w:eastAsia="楷体" w:cs="Times New Roman"/>
          <w:bCs/>
          <w:kern w:val="0"/>
          <w:sz w:val="32"/>
          <w:szCs w:val="32"/>
        </w:rPr>
      </w:pPr>
      <w:r>
        <w:rPr>
          <w:rFonts w:hint="eastAsia" w:ascii="仿宋_GB2312" w:hAnsi="仿宋_GB2312" w:eastAsia="仿宋_GB2312" w:cs="仿宋_GB2312"/>
          <w:color w:val="000000"/>
          <w:kern w:val="0"/>
          <w:sz w:val="32"/>
          <w:szCs w:val="32"/>
          <w:shd w:val="clear" w:color="auto" w:fill="FFFFFF"/>
        </w:rPr>
        <w:t>2.核查专职安全管理员、驾驶人员和押运人员从业资格证及类别是否符合要求，是否建立健全从业人员诚信档案和教育培训档案、实行一人一档，是否实行岗前培训考核制度，是否定期、有针对性地开展安全教育，是否开展典型事故案例分析、防御性驾驶技术等专项培训。从严查处违反《道路运输从业人员管理规定》的行为。</w:t>
      </w:r>
      <w:r>
        <w:rPr>
          <w:rFonts w:hint="eastAsia" w:ascii="Times New Roman" w:hAnsi="Times New Roman" w:eastAsia="楷体" w:cs="Times New Roman"/>
          <w:bCs/>
          <w:kern w:val="0"/>
          <w:sz w:val="32"/>
          <w:szCs w:val="32"/>
        </w:rPr>
        <w:t>（责任单位：市交通执法支队、市运管中心）</w:t>
      </w:r>
    </w:p>
    <w:p>
      <w:pPr>
        <w:pStyle w:val="8"/>
        <w:keepNext w:val="0"/>
        <w:keepLines w:val="0"/>
        <w:pageBreakBefore w:val="0"/>
        <w:widowControl/>
        <w:suppressAutoHyphens/>
        <w:wordWrap/>
        <w:topLinePunct w:val="0"/>
        <w:bidi w:val="0"/>
        <w:spacing w:line="590" w:lineRule="exact"/>
        <w:ind w:firstLine="640" w:firstLineChars="200"/>
        <w:jc w:val="left"/>
        <w:rPr>
          <w:rFonts w:ascii="Times New Roman" w:hAnsi="Times New Roman" w:eastAsia="楷体" w:cs="Times New Roman"/>
          <w:bCs/>
          <w:kern w:val="0"/>
          <w:sz w:val="32"/>
          <w:szCs w:val="32"/>
        </w:rPr>
      </w:pPr>
      <w:r>
        <w:rPr>
          <w:rFonts w:hint="eastAsia" w:ascii="Times New Roman" w:hAnsi="Times New Roman" w:eastAsia="楷体" w:cs="Times New Roman"/>
          <w:bCs/>
          <w:kern w:val="0"/>
          <w:sz w:val="32"/>
          <w:szCs w:val="32"/>
        </w:rPr>
        <w:t>（三）严格核查企业经营行为</w:t>
      </w:r>
    </w:p>
    <w:p>
      <w:pPr>
        <w:pStyle w:val="8"/>
        <w:keepNext w:val="0"/>
        <w:keepLines w:val="0"/>
        <w:pageBreakBefore w:val="0"/>
        <w:widowControl/>
        <w:suppressAutoHyphens/>
        <w:wordWrap/>
        <w:topLinePunct w:val="0"/>
        <w:bidi w:val="0"/>
        <w:spacing w:line="590" w:lineRule="exact"/>
        <w:ind w:firstLine="640" w:firstLineChars="200"/>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3.核查车辆运营行为。严查无相应资质的车辆运输剧毒化学品、民用爆炸物品、烟花爆竹等行为；严把新车入户登记关，依规查验车辆质量和外部标识等，对不符合规定的不予登记；对达到报废标准的车辆依法强制报废，监督销毁。对危险货物道路运输车辆驾驶人员进行全面核查，对逾期未审验、逾期未换证、记满12分未参加学习的车辆驾驶人进行摸排、督促，并抄告相关部门；严厉查处危险货物道路运输车辆及驾驶人“三超一疲劳”等违法行为；加强对行驶经过淮北市的危险货物道路运输车辆交通安全管理；加强危险货物道路运输领域涉黑涉恶线索核查，严厉打击涉黑违法犯罪。</w:t>
      </w:r>
      <w:r>
        <w:rPr>
          <w:rFonts w:hint="eastAsia" w:ascii="Times New Roman" w:hAnsi="Times New Roman" w:eastAsia="楷体" w:cs="Times New Roman"/>
          <w:bCs/>
          <w:kern w:val="0"/>
          <w:sz w:val="32"/>
          <w:szCs w:val="32"/>
        </w:rPr>
        <w:t>（责任单位：市交警支队）</w:t>
      </w:r>
    </w:p>
    <w:p>
      <w:pPr>
        <w:pStyle w:val="8"/>
        <w:keepNext w:val="0"/>
        <w:keepLines w:val="0"/>
        <w:pageBreakBefore w:val="0"/>
        <w:widowControl/>
        <w:suppressAutoHyphens/>
        <w:wordWrap/>
        <w:topLinePunct w:val="0"/>
        <w:bidi w:val="0"/>
        <w:spacing w:line="590" w:lineRule="exact"/>
        <w:ind w:firstLine="640" w:firstLineChars="200"/>
        <w:jc w:val="left"/>
        <w:rPr>
          <w:rFonts w:ascii="Times New Roman" w:hAnsi="Times New Roman" w:eastAsia="楷体" w:cs="Times New Roman"/>
          <w:bCs/>
          <w:kern w:val="0"/>
          <w:sz w:val="32"/>
          <w:szCs w:val="32"/>
        </w:rPr>
      </w:pPr>
      <w:r>
        <w:rPr>
          <w:rFonts w:hint="eastAsia" w:ascii="仿宋_GB2312" w:hAnsi="仿宋_GB2312" w:eastAsia="仿宋_GB2312" w:cs="仿宋_GB2312"/>
          <w:color w:val="000000"/>
          <w:kern w:val="0"/>
          <w:sz w:val="32"/>
          <w:szCs w:val="32"/>
          <w:shd w:val="clear" w:color="auto" w:fill="FFFFFF"/>
        </w:rPr>
        <w:t>4.核查车辆运营手续。审核车辆营运手续是否完备，主要包括车辆年检、《道路运输证》年审、车辆技术等级、车辆使用年限是否符合营运要求；对不合格的车辆，明确整改期限和要求，责令改正；对经整改仍不合格的车辆，依法注销车辆《道路运输证》。对申请报废更新的危险货物道路运输车辆超过一年期限未更新的，注销其车辆《道路运输证》。加强异地备案管理，重点核查异地经营 （运输线路起讫点均不在企业注册地市域内）累计达 3 个月以上的车辆是否向经营地设区的市级道路运输管理机构备案并接受其监管。</w:t>
      </w:r>
      <w:r>
        <w:rPr>
          <w:rFonts w:hint="eastAsia" w:ascii="Times New Roman" w:hAnsi="Times New Roman" w:eastAsia="楷体" w:cs="Times New Roman"/>
          <w:bCs/>
          <w:kern w:val="0"/>
          <w:sz w:val="32"/>
          <w:szCs w:val="32"/>
        </w:rPr>
        <w:t>（责任单位：市交通执法支队、市运管中心）</w:t>
      </w:r>
    </w:p>
    <w:p>
      <w:pPr>
        <w:pStyle w:val="8"/>
        <w:keepNext w:val="0"/>
        <w:keepLines w:val="0"/>
        <w:pageBreakBefore w:val="0"/>
        <w:widowControl/>
        <w:suppressAutoHyphens/>
        <w:wordWrap/>
        <w:topLinePunct w:val="0"/>
        <w:bidi w:val="0"/>
        <w:spacing w:line="590" w:lineRule="exact"/>
        <w:ind w:firstLine="640" w:firstLineChars="200"/>
        <w:jc w:val="left"/>
        <w:rPr>
          <w:rFonts w:ascii="Times New Roman" w:hAnsi="Times New Roman" w:eastAsia="楷体" w:cs="Times New Roman"/>
          <w:bCs/>
          <w:kern w:val="0"/>
          <w:sz w:val="32"/>
          <w:szCs w:val="32"/>
        </w:rPr>
      </w:pPr>
      <w:r>
        <w:rPr>
          <w:rFonts w:hint="eastAsia" w:ascii="仿宋_GB2312" w:hAnsi="仿宋_GB2312" w:eastAsia="仿宋_GB2312" w:cs="仿宋_GB2312"/>
          <w:color w:val="000000"/>
          <w:kern w:val="0"/>
          <w:sz w:val="32"/>
          <w:szCs w:val="32"/>
          <w:shd w:val="clear" w:color="auto" w:fill="FFFFFF"/>
        </w:rPr>
        <w:t>5.核查承运人责任险投保情况。重点核查运行车辆是否按交通运输部、中国保险监督管理委员会《关于做好道路运输承运人责任保险工作的通知》（交运发〔2013〕786 号）要求足额投保；投保是否处于有效期。对未投保危险货物承运人责任险的，责令限期投保；对拒不投保的，由原许可机关吊销《道路运输经营许可证》或《道路危险货物运输许可证》，或者吊销相应的许可经营范围。</w:t>
      </w:r>
      <w:r>
        <w:rPr>
          <w:rFonts w:hint="eastAsia" w:ascii="Times New Roman" w:hAnsi="Times New Roman" w:eastAsia="楷体" w:cs="Times New Roman"/>
          <w:bCs/>
          <w:kern w:val="0"/>
          <w:sz w:val="32"/>
          <w:szCs w:val="32"/>
        </w:rPr>
        <w:t>（责任单位：市交通执法支队、市运管中心）</w:t>
      </w:r>
    </w:p>
    <w:p>
      <w:pPr>
        <w:pStyle w:val="8"/>
        <w:keepNext w:val="0"/>
        <w:keepLines w:val="0"/>
        <w:pageBreakBefore w:val="0"/>
        <w:widowControl/>
        <w:suppressAutoHyphens/>
        <w:wordWrap/>
        <w:topLinePunct w:val="0"/>
        <w:bidi w:val="0"/>
        <w:spacing w:line="590" w:lineRule="exact"/>
        <w:ind w:firstLine="640" w:firstLineChars="200"/>
        <w:jc w:val="left"/>
        <w:rPr>
          <w:rFonts w:ascii="Times New Roman" w:hAnsi="Times New Roman" w:eastAsia="楷体" w:cs="Times New Roman"/>
          <w:bCs/>
          <w:kern w:val="0"/>
          <w:sz w:val="32"/>
          <w:szCs w:val="32"/>
        </w:rPr>
      </w:pPr>
      <w:r>
        <w:rPr>
          <w:rFonts w:hint="eastAsia" w:ascii="仿宋_GB2312" w:hAnsi="仿宋_GB2312" w:eastAsia="仿宋_GB2312" w:cs="仿宋_GB2312"/>
          <w:color w:val="000000"/>
          <w:kern w:val="0"/>
          <w:sz w:val="32"/>
          <w:szCs w:val="32"/>
          <w:shd w:val="clear" w:color="auto" w:fill="FFFFFF"/>
        </w:rPr>
        <w:t>6.核查车辆动态监控落实情况。重点检查是否安装符合规定的卫星定位终端设备，是否使用通过交通运输部符合性审查且 在省交通运输厅备案的动态监控平台，并接入部、省联网联控监管平台；是否建立专门的监控室并挂牌，配备专职动态监控人员；是否制定和完善监控人员岗位责任制度、值班制度、监控记录与台账制度以及与动态监控有关的奖惩制度；是否实行实时监控，对发现的问题是否及时警示、纠正和处理。对未按照要求安装卫星定位装置，或者已安装卫星定位装置但未能在联网联控系统正常显示的车辆，依法不予发放或者审验《道路运输证》。</w:t>
      </w:r>
      <w:r>
        <w:rPr>
          <w:rFonts w:hint="eastAsia" w:ascii="Times New Roman" w:hAnsi="Times New Roman" w:eastAsia="楷体" w:cs="Times New Roman"/>
          <w:bCs/>
          <w:kern w:val="0"/>
          <w:sz w:val="32"/>
          <w:szCs w:val="32"/>
        </w:rPr>
        <w:t>（责任单位：市交通执法支队、市运管中心）</w:t>
      </w:r>
    </w:p>
    <w:p>
      <w:pPr>
        <w:pStyle w:val="8"/>
        <w:keepNext w:val="0"/>
        <w:keepLines w:val="0"/>
        <w:pageBreakBefore w:val="0"/>
        <w:widowControl/>
        <w:suppressAutoHyphens/>
        <w:wordWrap/>
        <w:topLinePunct w:val="0"/>
        <w:bidi w:val="0"/>
        <w:spacing w:line="590" w:lineRule="exact"/>
        <w:ind w:firstLine="640" w:firstLineChars="200"/>
        <w:jc w:val="left"/>
        <w:rPr>
          <w:rFonts w:ascii="Times New Roman" w:hAnsi="Times New Roman" w:eastAsia="楷体" w:cs="Times New Roman"/>
          <w:bCs/>
          <w:kern w:val="0"/>
          <w:sz w:val="32"/>
          <w:szCs w:val="32"/>
        </w:rPr>
      </w:pPr>
      <w:r>
        <w:rPr>
          <w:rFonts w:hint="eastAsia" w:ascii="仿宋_GB2312" w:hAnsi="仿宋_GB2312" w:eastAsia="仿宋_GB2312" w:cs="仿宋_GB2312"/>
          <w:color w:val="000000"/>
          <w:kern w:val="0"/>
          <w:sz w:val="32"/>
          <w:szCs w:val="32"/>
          <w:shd w:val="clear" w:color="auto" w:fill="FFFFFF"/>
        </w:rPr>
        <w:t>7.核查电子运单使用情况。重点检查车辆运输行驶轨迹记录，对存在车辆运行轨迹但未按要求派发运单的，依据《危险货物道路运输安全管理办法》从严查处。</w:t>
      </w:r>
      <w:r>
        <w:rPr>
          <w:rFonts w:hint="eastAsia" w:ascii="Times New Roman" w:hAnsi="Times New Roman" w:eastAsia="楷体" w:cs="Times New Roman"/>
          <w:bCs/>
          <w:kern w:val="0"/>
          <w:sz w:val="32"/>
          <w:szCs w:val="32"/>
        </w:rPr>
        <w:t>（责任单位：市交通执法支队）</w:t>
      </w:r>
    </w:p>
    <w:p>
      <w:pPr>
        <w:pStyle w:val="8"/>
        <w:keepNext w:val="0"/>
        <w:keepLines w:val="0"/>
        <w:pageBreakBefore w:val="0"/>
        <w:widowControl/>
        <w:suppressAutoHyphens/>
        <w:wordWrap/>
        <w:topLinePunct w:val="0"/>
        <w:bidi w:val="0"/>
        <w:spacing w:line="590" w:lineRule="exact"/>
        <w:ind w:firstLine="640" w:firstLineChars="200"/>
        <w:jc w:val="left"/>
        <w:rPr>
          <w:rFonts w:ascii="Times New Roman" w:hAnsi="Times New Roman" w:eastAsia="楷体" w:cs="Times New Roman"/>
          <w:bCs/>
          <w:kern w:val="0"/>
          <w:sz w:val="32"/>
          <w:szCs w:val="32"/>
        </w:rPr>
      </w:pPr>
      <w:r>
        <w:rPr>
          <w:rFonts w:hint="eastAsia" w:ascii="Times New Roman" w:hAnsi="Times New Roman" w:eastAsia="楷体" w:cs="Times New Roman"/>
          <w:bCs/>
          <w:kern w:val="0"/>
          <w:sz w:val="32"/>
          <w:szCs w:val="32"/>
        </w:rPr>
        <w:t>（四）严格核查企业安全生产管理制度</w:t>
      </w:r>
    </w:p>
    <w:p>
      <w:pPr>
        <w:pStyle w:val="8"/>
        <w:keepNext w:val="0"/>
        <w:keepLines w:val="0"/>
        <w:pageBreakBefore w:val="0"/>
        <w:widowControl/>
        <w:suppressAutoHyphens/>
        <w:wordWrap/>
        <w:topLinePunct w:val="0"/>
        <w:bidi w:val="0"/>
        <w:spacing w:line="590" w:lineRule="exact"/>
        <w:ind w:firstLine="640" w:firstLineChars="200"/>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8.重点排查企业主要负责人、安全管理部门负责人、专职安全管理人员安全生产责任制度，从业人员安全生产责任制度，安全生产监督检查制度，安全生产教育培训制度，从业人员、专用车辆、设备及停车场地安全管理制度，应急救援预案制度，安全生产作业规程，安全生产考核与奖惩制度，安全事故报告、统计与处理制度等落实情况。对不具备安全生产条件的，责令其停产停业整顿；经整顿仍不具备安全生产条件的，依法吊销企业经营许可证。</w:t>
      </w:r>
      <w:r>
        <w:rPr>
          <w:rFonts w:hint="eastAsia" w:ascii="Times New Roman" w:hAnsi="Times New Roman" w:eastAsia="楷体" w:cs="Times New Roman"/>
          <w:bCs/>
          <w:kern w:val="0"/>
          <w:sz w:val="32"/>
          <w:szCs w:val="32"/>
        </w:rPr>
        <w:t>（责任单位：市交通执法支队、市运管中心）</w:t>
      </w:r>
    </w:p>
    <w:p>
      <w:pPr>
        <w:keepNext w:val="0"/>
        <w:keepLines w:val="0"/>
        <w:pageBreakBefore w:val="0"/>
        <w:wordWrap/>
        <w:topLinePunct w:val="0"/>
        <w:bidi w:val="0"/>
        <w:spacing w:line="590" w:lineRule="exact"/>
        <w:ind w:firstLine="627" w:firstLineChars="196"/>
        <w:rPr>
          <w:rFonts w:ascii="黑体" w:hAnsi="黑体" w:eastAsia="黑体" w:cs="黑体"/>
          <w:sz w:val="32"/>
          <w:szCs w:val="32"/>
        </w:rPr>
      </w:pPr>
      <w:r>
        <w:rPr>
          <w:rFonts w:hint="eastAsia" w:ascii="黑体" w:hAnsi="黑体" w:eastAsia="黑体" w:cs="黑体"/>
          <w:sz w:val="32"/>
          <w:szCs w:val="32"/>
        </w:rPr>
        <w:t>五、工作要求</w:t>
      </w:r>
    </w:p>
    <w:p>
      <w:pPr>
        <w:pStyle w:val="8"/>
        <w:keepNext w:val="0"/>
        <w:keepLines w:val="0"/>
        <w:pageBreakBefore w:val="0"/>
        <w:widowControl/>
        <w:suppressAutoHyphens/>
        <w:wordWrap/>
        <w:topLinePunct w:val="0"/>
        <w:bidi w:val="0"/>
        <w:spacing w:line="590" w:lineRule="exact"/>
        <w:ind w:firstLine="640" w:firstLineChars="200"/>
        <w:jc w:val="left"/>
        <w:rPr>
          <w:rFonts w:ascii="仿宋_GB2312" w:hAnsi="仿宋_GB2312" w:eastAsia="仿宋_GB2312" w:cs="仿宋_GB2312"/>
          <w:color w:val="000000"/>
          <w:kern w:val="0"/>
          <w:sz w:val="32"/>
          <w:szCs w:val="32"/>
          <w:shd w:val="clear" w:color="auto" w:fill="FFFFFF"/>
        </w:rPr>
      </w:pPr>
      <w:r>
        <w:rPr>
          <w:rFonts w:hint="eastAsia" w:ascii="Times New Roman" w:hAnsi="Times New Roman" w:eastAsia="楷体" w:cs="Times New Roman"/>
          <w:bCs/>
          <w:kern w:val="0"/>
          <w:sz w:val="32"/>
          <w:szCs w:val="32"/>
        </w:rPr>
        <w:t>（一）强化联动配合。</w:t>
      </w:r>
      <w:r>
        <w:rPr>
          <w:rFonts w:hint="eastAsia" w:ascii="仿宋_GB2312" w:hAnsi="仿宋_GB2312" w:eastAsia="仿宋_GB2312" w:cs="仿宋_GB2312"/>
          <w:color w:val="000000"/>
          <w:kern w:val="0"/>
          <w:sz w:val="32"/>
          <w:szCs w:val="32"/>
          <w:shd w:val="clear" w:color="auto" w:fill="FFFFFF"/>
        </w:rPr>
        <w:t>各单位要高度重视此项工作，加强沟通协作，建立健全部门完善信息联动机制，畅通部门间信息共享渠道协同高效推进整治工作，有效防范化解重大安全风险。</w:t>
      </w:r>
    </w:p>
    <w:p>
      <w:pPr>
        <w:pStyle w:val="8"/>
        <w:keepNext w:val="0"/>
        <w:keepLines w:val="0"/>
        <w:pageBreakBefore w:val="0"/>
        <w:widowControl/>
        <w:suppressAutoHyphens/>
        <w:wordWrap/>
        <w:topLinePunct w:val="0"/>
        <w:bidi w:val="0"/>
        <w:spacing w:line="590" w:lineRule="exact"/>
        <w:ind w:firstLine="640" w:firstLineChars="200"/>
        <w:jc w:val="left"/>
        <w:rPr>
          <w:rFonts w:ascii="仿宋_GB2312" w:hAnsi="仿宋_GB2312" w:eastAsia="仿宋_GB2312" w:cs="仿宋_GB2312"/>
          <w:color w:val="000000"/>
          <w:kern w:val="0"/>
          <w:sz w:val="32"/>
          <w:szCs w:val="32"/>
          <w:shd w:val="clear" w:color="auto" w:fill="FFFFFF"/>
        </w:rPr>
      </w:pPr>
      <w:r>
        <w:rPr>
          <w:rFonts w:hint="eastAsia" w:ascii="Times New Roman" w:hAnsi="Times New Roman" w:eastAsia="楷体" w:cs="Times New Roman"/>
          <w:bCs/>
          <w:kern w:val="0"/>
          <w:sz w:val="32"/>
          <w:szCs w:val="32"/>
        </w:rPr>
        <w:t>（二）强化舆论宣传。</w:t>
      </w:r>
      <w:r>
        <w:rPr>
          <w:rFonts w:hint="eastAsia" w:ascii="仿宋_GB2312" w:hAnsi="仿宋_GB2312" w:eastAsia="仿宋_GB2312" w:cs="仿宋_GB2312"/>
          <w:color w:val="000000"/>
          <w:kern w:val="0"/>
          <w:sz w:val="32"/>
          <w:szCs w:val="32"/>
          <w:shd w:val="clear" w:color="auto" w:fill="FFFFFF"/>
        </w:rPr>
        <w:t>加大专项整治期间查处典型案例的曝光力度，广泛开展警示教育，引导危险货物道 路运输企业和从业人员增强安全意识，自觉规范从业行为。</w:t>
      </w:r>
    </w:p>
    <w:p>
      <w:pPr>
        <w:keepNext w:val="0"/>
        <w:keepLines w:val="0"/>
        <w:pageBreakBefore w:val="0"/>
        <w:wordWrap/>
        <w:topLinePunct w:val="0"/>
        <w:bidi w:val="0"/>
        <w:spacing w:line="590" w:lineRule="exact"/>
        <w:ind w:firstLine="627" w:firstLineChars="196"/>
        <w:rPr>
          <w:rFonts w:ascii="仿宋" w:hAnsi="仿宋" w:eastAsia="仿宋" w:cs="仿宋"/>
          <w:sz w:val="32"/>
          <w:szCs w:val="32"/>
        </w:rPr>
      </w:pPr>
    </w:p>
    <w:p>
      <w:pPr>
        <w:keepNext w:val="0"/>
        <w:keepLines w:val="0"/>
        <w:pageBreakBefore w:val="0"/>
        <w:wordWrap/>
        <w:topLinePunct w:val="0"/>
        <w:bidi w:val="0"/>
        <w:adjustRightInd w:val="0"/>
        <w:snapToGrid w:val="0"/>
        <w:spacing w:line="590" w:lineRule="exact"/>
        <w:ind w:firstLine="960" w:firstLineChars="300"/>
        <w:jc w:val="lef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附件：淮北市危险货物道路运输安全隐患排查整改清单</w:t>
      </w:r>
    </w:p>
    <w:p>
      <w:pPr>
        <w:keepNext w:val="0"/>
        <w:keepLines w:val="0"/>
        <w:pageBreakBefore w:val="0"/>
        <w:widowControl/>
        <w:kinsoku w:val="0"/>
        <w:wordWrap/>
        <w:topLinePunct w:val="0"/>
        <w:autoSpaceDE w:val="0"/>
        <w:autoSpaceDN w:val="0"/>
        <w:bidi w:val="0"/>
        <w:adjustRightInd w:val="0"/>
        <w:snapToGrid w:val="0"/>
        <w:spacing w:line="590" w:lineRule="exact"/>
        <w:jc w:val="left"/>
        <w:textAlignment w:val="baseline"/>
        <w:rPr>
          <w:rFonts w:ascii="Times New Roman" w:hAnsi="Times New Roman" w:eastAsia="方正仿宋_GBK" w:cs="Times New Roman"/>
          <w:color w:val="000000"/>
          <w:sz w:val="32"/>
          <w:szCs w:val="32"/>
          <w:shd w:val="clear" w:color="auto" w:fill="FFFFFF"/>
        </w:rPr>
      </w:pPr>
      <w:r>
        <w:rPr>
          <w:rFonts w:hint="eastAsia" w:ascii="Times New Roman" w:hAnsi="Times New Roman" w:eastAsia="方正仿宋_GBK" w:cs="Times New Roman"/>
          <w:color w:val="000000"/>
          <w:sz w:val="32"/>
          <w:szCs w:val="32"/>
          <w:shd w:val="clear" w:color="auto" w:fill="FFFFFF"/>
        </w:rPr>
        <w:br w:type="page"/>
      </w:r>
    </w:p>
    <w:p>
      <w:pPr>
        <w:keepNext w:val="0"/>
        <w:keepLines w:val="0"/>
        <w:pageBreakBefore w:val="0"/>
        <w:wordWrap/>
        <w:topLinePunct w:val="0"/>
        <w:bidi w:val="0"/>
        <w:adjustRightInd w:val="0"/>
        <w:snapToGrid w:val="0"/>
        <w:spacing w:line="590" w:lineRule="exact"/>
        <w:jc w:val="center"/>
        <w:rPr>
          <w:rFonts w:ascii="方正小标宋简体" w:hAnsi="方正小标宋简体" w:eastAsia="方正小标宋简体" w:cs="方正小标宋简体"/>
          <w:color w:val="000000"/>
          <w:sz w:val="44"/>
          <w:szCs w:val="44"/>
          <w:shd w:val="clear" w:color="auto" w:fill="FFFFFF"/>
        </w:rPr>
        <w:sectPr>
          <w:footerReference r:id="rId3" w:type="default"/>
          <w:pgSz w:w="11906" w:h="16838"/>
          <w:pgMar w:top="1985" w:right="1474" w:bottom="1871" w:left="1588" w:header="851" w:footer="992" w:gutter="0"/>
          <w:cols w:space="425" w:num="1"/>
          <w:docGrid w:type="lines" w:linePitch="312" w:charSpace="0"/>
        </w:sectPr>
      </w:pPr>
    </w:p>
    <w:p>
      <w:pPr>
        <w:keepNext w:val="0"/>
        <w:keepLines w:val="0"/>
        <w:pageBreakBefore w:val="0"/>
        <w:widowControl/>
        <w:kinsoku w:val="0"/>
        <w:wordWrap/>
        <w:topLinePunct w:val="0"/>
        <w:autoSpaceDE w:val="0"/>
        <w:autoSpaceDN w:val="0"/>
        <w:bidi w:val="0"/>
        <w:adjustRightInd w:val="0"/>
        <w:snapToGrid w:val="0"/>
        <w:spacing w:line="590" w:lineRule="exact"/>
        <w:jc w:val="left"/>
        <w:textAlignment w:val="baseline"/>
        <w:rPr>
          <w:rFonts w:ascii="方正小标宋简体" w:hAnsi="方正小标宋简体" w:eastAsia="黑体" w:cs="方正小标宋简体"/>
          <w:snapToGrid w:val="0"/>
          <w:color w:val="000000"/>
          <w:kern w:val="0"/>
          <w:sz w:val="31"/>
          <w:szCs w:val="31"/>
        </w:rPr>
      </w:pPr>
      <w:r>
        <w:rPr>
          <w:rFonts w:hint="eastAsia" w:ascii="Times New Roman" w:hAnsi="Times New Roman" w:eastAsia="方正仿宋_GBK" w:cs="Times New Roman"/>
          <w:color w:val="000000"/>
          <w:sz w:val="32"/>
          <w:szCs w:val="32"/>
          <w:shd w:val="clear" w:color="auto" w:fill="FFFFFF"/>
        </w:rPr>
        <w:t>附件</w:t>
      </w:r>
    </w:p>
    <w:p>
      <w:pPr>
        <w:keepNext w:val="0"/>
        <w:keepLines w:val="0"/>
        <w:pageBreakBefore w:val="0"/>
        <w:wordWrap/>
        <w:topLinePunct w:val="0"/>
        <w:bidi w:val="0"/>
        <w:adjustRightInd w:val="0"/>
        <w:snapToGrid w:val="0"/>
        <w:spacing w:line="590" w:lineRule="exact"/>
        <w:jc w:val="center"/>
        <w:rPr>
          <w:rFonts w:ascii="方正小标宋简体" w:hAnsi="方正小标宋简体" w:eastAsia="方正小标宋简体" w:cs="方正小标宋简体"/>
          <w:color w:val="000000"/>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rPr>
        <w:t>淮北市危险货物道路运输安全隐患排查整改清单</w:t>
      </w:r>
    </w:p>
    <w:tbl>
      <w:tblPr>
        <w:tblStyle w:val="15"/>
        <w:tblpPr w:leftFromText="180" w:rightFromText="180" w:vertAnchor="text" w:horzAnchor="page" w:tblpX="1506" w:tblpY="908"/>
        <w:tblOverlap w:val="never"/>
        <w:tblW w:w="1341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3"/>
        <w:gridCol w:w="1075"/>
        <w:gridCol w:w="1150"/>
        <w:gridCol w:w="1163"/>
        <w:gridCol w:w="1650"/>
        <w:gridCol w:w="1125"/>
        <w:gridCol w:w="1700"/>
        <w:gridCol w:w="2284"/>
        <w:gridCol w:w="1790"/>
        <w:gridCol w:w="10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trPr>
        <w:tc>
          <w:tcPr>
            <w:tcW w:w="383" w:type="dxa"/>
            <w:tcBorders>
              <w:right w:val="single" w:color="auto" w:sz="4" w:space="0"/>
            </w:tcBorders>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r>
              <w:rPr>
                <w:rFonts w:hint="eastAsia" w:ascii="仿宋" w:hAnsi="仿宋" w:eastAsia="仿宋" w:cs="仿宋"/>
                <w:snapToGrid w:val="0"/>
                <w:color w:val="000000"/>
                <w:kern w:val="0"/>
                <w:sz w:val="24"/>
              </w:rPr>
              <w:t>序号</w:t>
            </w:r>
          </w:p>
        </w:tc>
        <w:tc>
          <w:tcPr>
            <w:tcW w:w="1075" w:type="dxa"/>
            <w:tcBorders>
              <w:left w:val="single" w:color="auto" w:sz="4" w:space="0"/>
            </w:tcBorders>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spacing w:val="7"/>
                <w:kern w:val="0"/>
                <w:sz w:val="24"/>
              </w:rPr>
            </w:pPr>
            <w:r>
              <w:rPr>
                <w:rFonts w:hint="eastAsia" w:ascii="仿宋" w:hAnsi="仿宋" w:eastAsia="仿宋" w:cs="仿宋"/>
                <w:snapToGrid w:val="0"/>
                <w:color w:val="000000"/>
                <w:spacing w:val="7"/>
                <w:kern w:val="0"/>
                <w:sz w:val="24"/>
              </w:rPr>
              <w:t>车</w:t>
            </w:r>
            <w:r>
              <w:rPr>
                <w:rFonts w:hint="eastAsia" w:ascii="仿宋" w:hAnsi="仿宋" w:eastAsia="仿宋" w:cs="仿宋"/>
                <w:snapToGrid w:val="0"/>
                <w:color w:val="000000"/>
                <w:spacing w:val="6"/>
                <w:kern w:val="0"/>
                <w:sz w:val="24"/>
              </w:rPr>
              <w:t>牌号</w:t>
            </w:r>
          </w:p>
        </w:tc>
        <w:tc>
          <w:tcPr>
            <w:tcW w:w="1150"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r>
              <w:rPr>
                <w:rFonts w:hint="eastAsia" w:ascii="仿宋" w:hAnsi="仿宋" w:eastAsia="仿宋" w:cs="仿宋"/>
                <w:snapToGrid w:val="0"/>
                <w:color w:val="000000"/>
                <w:spacing w:val="5"/>
                <w:kern w:val="0"/>
                <w:sz w:val="24"/>
              </w:rPr>
              <w:t>驾驶</w:t>
            </w:r>
            <w:r>
              <w:rPr>
                <w:rFonts w:hint="eastAsia" w:ascii="仿宋" w:hAnsi="仿宋" w:eastAsia="仿宋" w:cs="仿宋"/>
                <w:snapToGrid w:val="0"/>
                <w:color w:val="000000"/>
                <w:spacing w:val="4"/>
                <w:kern w:val="0"/>
                <w:sz w:val="24"/>
              </w:rPr>
              <w:t>员</w:t>
            </w:r>
          </w:p>
        </w:tc>
        <w:tc>
          <w:tcPr>
            <w:tcW w:w="1163"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r>
              <w:rPr>
                <w:rFonts w:hint="eastAsia" w:ascii="仿宋" w:hAnsi="仿宋" w:eastAsia="仿宋" w:cs="仿宋"/>
                <w:snapToGrid w:val="0"/>
                <w:color w:val="000000"/>
                <w:spacing w:val="7"/>
                <w:kern w:val="0"/>
                <w:sz w:val="24"/>
              </w:rPr>
              <w:t>押运员</w:t>
            </w:r>
          </w:p>
        </w:tc>
        <w:tc>
          <w:tcPr>
            <w:tcW w:w="1650"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r>
              <w:rPr>
                <w:rFonts w:hint="eastAsia" w:ascii="仿宋" w:hAnsi="仿宋" w:eastAsia="仿宋" w:cs="仿宋"/>
                <w:snapToGrid w:val="0"/>
                <w:color w:val="000000"/>
                <w:kern w:val="0"/>
                <w:sz w:val="24"/>
              </w:rPr>
              <w:t>经营地点或备案地</w:t>
            </w:r>
          </w:p>
        </w:tc>
        <w:tc>
          <w:tcPr>
            <w:tcW w:w="1125"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r>
              <w:rPr>
                <w:rFonts w:hint="eastAsia" w:ascii="仿宋" w:hAnsi="仿宋" w:eastAsia="仿宋" w:cs="仿宋"/>
                <w:snapToGrid w:val="0"/>
                <w:color w:val="000000"/>
                <w:kern w:val="0"/>
                <w:sz w:val="24"/>
              </w:rPr>
              <w:t>运输介质</w:t>
            </w:r>
          </w:p>
        </w:tc>
        <w:tc>
          <w:tcPr>
            <w:tcW w:w="1700"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r>
              <w:rPr>
                <w:rFonts w:hint="eastAsia" w:ascii="仿宋" w:hAnsi="仿宋" w:eastAsia="仿宋" w:cs="仿宋"/>
                <w:snapToGrid w:val="0"/>
                <w:color w:val="000000"/>
                <w:spacing w:val="11"/>
                <w:kern w:val="0"/>
                <w:sz w:val="24"/>
              </w:rPr>
              <w:t>存</w:t>
            </w:r>
            <w:r>
              <w:rPr>
                <w:rFonts w:hint="eastAsia" w:ascii="仿宋" w:hAnsi="仿宋" w:eastAsia="仿宋" w:cs="仿宋"/>
                <w:snapToGrid w:val="0"/>
                <w:color w:val="000000"/>
                <w:spacing w:val="8"/>
                <w:kern w:val="0"/>
                <w:sz w:val="24"/>
              </w:rPr>
              <w:t>在问题隐患</w:t>
            </w:r>
          </w:p>
        </w:tc>
        <w:tc>
          <w:tcPr>
            <w:tcW w:w="2284"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r>
              <w:rPr>
                <w:rFonts w:hint="eastAsia" w:ascii="仿宋" w:hAnsi="仿宋" w:eastAsia="仿宋" w:cs="仿宋"/>
                <w:snapToGrid w:val="0"/>
                <w:color w:val="000000"/>
                <w:spacing w:val="8"/>
                <w:kern w:val="0"/>
                <w:sz w:val="24"/>
              </w:rPr>
              <w:t>整</w:t>
            </w:r>
            <w:r>
              <w:rPr>
                <w:rFonts w:hint="eastAsia" w:ascii="仿宋" w:hAnsi="仿宋" w:eastAsia="仿宋" w:cs="仿宋"/>
                <w:snapToGrid w:val="0"/>
                <w:color w:val="000000"/>
                <w:spacing w:val="7"/>
                <w:kern w:val="0"/>
                <w:sz w:val="24"/>
              </w:rPr>
              <w:t>改措施</w:t>
            </w:r>
          </w:p>
        </w:tc>
        <w:tc>
          <w:tcPr>
            <w:tcW w:w="1790"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r>
              <w:rPr>
                <w:rFonts w:hint="eastAsia" w:ascii="仿宋" w:hAnsi="仿宋" w:eastAsia="仿宋" w:cs="仿宋"/>
                <w:snapToGrid w:val="0"/>
                <w:color w:val="000000"/>
                <w:spacing w:val="8"/>
                <w:kern w:val="0"/>
                <w:sz w:val="24"/>
              </w:rPr>
              <w:t>整改责任人</w:t>
            </w:r>
          </w:p>
        </w:tc>
        <w:tc>
          <w:tcPr>
            <w:tcW w:w="1094"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r>
              <w:rPr>
                <w:rFonts w:hint="eastAsia" w:ascii="仿宋" w:hAnsi="仿宋" w:eastAsia="仿宋" w:cs="仿宋"/>
                <w:snapToGrid w:val="0"/>
                <w:color w:val="000000"/>
                <w:kern w:val="0"/>
                <w:sz w:val="24"/>
              </w:rPr>
              <w:t>整改时限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383" w:type="dxa"/>
            <w:tcBorders>
              <w:right w:val="single" w:color="auto" w:sz="4" w:space="0"/>
            </w:tcBorders>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075" w:type="dxa"/>
            <w:tcBorders>
              <w:left w:val="single" w:color="auto" w:sz="4" w:space="0"/>
            </w:tcBorders>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150"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163"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650"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125"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700"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2284"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790"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094"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383" w:type="dxa"/>
            <w:tcBorders>
              <w:right w:val="single" w:color="auto" w:sz="4" w:space="0"/>
            </w:tcBorders>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075" w:type="dxa"/>
            <w:tcBorders>
              <w:left w:val="single" w:color="auto" w:sz="4" w:space="0"/>
            </w:tcBorders>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150"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163"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650"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125"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700"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2284"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790"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094"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383" w:type="dxa"/>
            <w:tcBorders>
              <w:right w:val="single" w:color="auto" w:sz="4" w:space="0"/>
            </w:tcBorders>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075" w:type="dxa"/>
            <w:tcBorders>
              <w:left w:val="single" w:color="auto" w:sz="4" w:space="0"/>
            </w:tcBorders>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150"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163"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650"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125"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700"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2284"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790"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094"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383" w:type="dxa"/>
            <w:tcBorders>
              <w:right w:val="single" w:color="auto" w:sz="4" w:space="0"/>
            </w:tcBorders>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075" w:type="dxa"/>
            <w:tcBorders>
              <w:left w:val="single" w:color="auto" w:sz="4" w:space="0"/>
            </w:tcBorders>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150"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163"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650"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125"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700"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2284"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790"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094"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383" w:type="dxa"/>
            <w:tcBorders>
              <w:right w:val="single" w:color="auto" w:sz="4" w:space="0"/>
            </w:tcBorders>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075" w:type="dxa"/>
            <w:tcBorders>
              <w:left w:val="single" w:color="auto" w:sz="4" w:space="0"/>
            </w:tcBorders>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150"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163"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650"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125"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700"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2284"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790"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094"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383" w:type="dxa"/>
            <w:tcBorders>
              <w:right w:val="single" w:color="auto" w:sz="4" w:space="0"/>
            </w:tcBorders>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075" w:type="dxa"/>
            <w:tcBorders>
              <w:left w:val="single" w:color="auto" w:sz="4" w:space="0"/>
            </w:tcBorders>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150"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163"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650"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125"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700"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2284"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790"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094"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383" w:type="dxa"/>
            <w:tcBorders>
              <w:right w:val="single" w:color="auto" w:sz="4" w:space="0"/>
            </w:tcBorders>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075" w:type="dxa"/>
            <w:tcBorders>
              <w:left w:val="single" w:color="auto" w:sz="4" w:space="0"/>
            </w:tcBorders>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150"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163"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650"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125"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700"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2284"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790"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094"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383" w:type="dxa"/>
            <w:tcBorders>
              <w:right w:val="single" w:color="auto" w:sz="4" w:space="0"/>
            </w:tcBorders>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075" w:type="dxa"/>
            <w:tcBorders>
              <w:left w:val="single" w:color="auto" w:sz="4" w:space="0"/>
            </w:tcBorders>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150"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163"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650"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125"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700"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2284"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790"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c>
          <w:tcPr>
            <w:tcW w:w="1094" w:type="dxa"/>
            <w:vAlign w:val="center"/>
          </w:tcPr>
          <w:p>
            <w:pPr>
              <w:keepNext w:val="0"/>
              <w:keepLines w:val="0"/>
              <w:pageBreakBefore w:val="0"/>
              <w:widowControl/>
              <w:kinsoku w:val="0"/>
              <w:wordWrap/>
              <w:topLinePunct w:val="0"/>
              <w:autoSpaceDE w:val="0"/>
              <w:autoSpaceDN w:val="0"/>
              <w:bidi w:val="0"/>
              <w:adjustRightInd w:val="0"/>
              <w:snapToGrid w:val="0"/>
              <w:spacing w:line="590" w:lineRule="exact"/>
              <w:jc w:val="center"/>
              <w:textAlignment w:val="baseline"/>
              <w:rPr>
                <w:rFonts w:ascii="仿宋" w:hAnsi="仿宋" w:eastAsia="仿宋" w:cs="仿宋"/>
                <w:snapToGrid w:val="0"/>
                <w:color w:val="000000"/>
                <w:kern w:val="0"/>
                <w:sz w:val="24"/>
              </w:rPr>
            </w:pPr>
          </w:p>
        </w:tc>
      </w:tr>
    </w:tbl>
    <w:p>
      <w:pPr>
        <w:pStyle w:val="2"/>
        <w:keepNext w:val="0"/>
        <w:keepLines w:val="0"/>
        <w:pageBreakBefore w:val="0"/>
        <w:wordWrap/>
        <w:topLinePunct w:val="0"/>
        <w:bidi w:val="0"/>
        <w:spacing w:before="0" w:beforeAutospacing="0" w:after="0" w:afterAutospacing="0" w:line="590" w:lineRule="exact"/>
        <w:ind w:firstLine="480" w:firstLineChars="200"/>
        <w:rPr>
          <w:rFonts w:ascii="仿宋" w:hAnsi="仿宋" w:eastAsia="仿宋" w:cs="仿宋"/>
          <w:b w:val="0"/>
          <w:bCs w:val="0"/>
          <w:sz w:val="24"/>
          <w:szCs w:val="24"/>
        </w:rPr>
      </w:pPr>
      <w:r>
        <w:rPr>
          <w:rFonts w:hint="eastAsia" w:ascii="仿宋" w:hAnsi="仿宋" w:eastAsia="仿宋" w:cs="仿宋"/>
          <w:b w:val="0"/>
          <w:bCs w:val="0"/>
          <w:sz w:val="24"/>
          <w:szCs w:val="24"/>
        </w:rPr>
        <w:t>填报单位：                                                                       填报时间：    年  月  日</w:t>
      </w:r>
    </w:p>
    <w:sectPr>
      <w:pgSz w:w="16838" w:h="11906" w:orient="landscape"/>
      <w:pgMar w:top="1588" w:right="1440" w:bottom="1474" w:left="1440" w:header="851" w:footer="992" w:gutter="0"/>
      <w:cols w:space="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X96c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rJf3pzgCAABvBAAADgAAAAAAAAABACAAAAAfAQAAZHJzL2Uyb0RvYy54&#10;bWxQSwUGAAAAAAYABgBZAQAAyQU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kYjhmYWVjY2MwYTNjM2VkMzk0M2I2ZjA1MTdiZWEifQ=="/>
  </w:docVars>
  <w:rsids>
    <w:rsidRoot w:val="4B5A4E4F"/>
    <w:rsid w:val="000511D2"/>
    <w:rsid w:val="0006063D"/>
    <w:rsid w:val="000F1228"/>
    <w:rsid w:val="001612D3"/>
    <w:rsid w:val="001A0E01"/>
    <w:rsid w:val="001F71D2"/>
    <w:rsid w:val="002A0BE4"/>
    <w:rsid w:val="002F6674"/>
    <w:rsid w:val="004B25CA"/>
    <w:rsid w:val="005406E1"/>
    <w:rsid w:val="005E312D"/>
    <w:rsid w:val="006076FE"/>
    <w:rsid w:val="006634C6"/>
    <w:rsid w:val="00667E6E"/>
    <w:rsid w:val="006772B1"/>
    <w:rsid w:val="0068423E"/>
    <w:rsid w:val="006E21BF"/>
    <w:rsid w:val="0079430B"/>
    <w:rsid w:val="008A7BCE"/>
    <w:rsid w:val="009730A5"/>
    <w:rsid w:val="00A646ED"/>
    <w:rsid w:val="00A944F2"/>
    <w:rsid w:val="00B04389"/>
    <w:rsid w:val="00C07D61"/>
    <w:rsid w:val="00C55E74"/>
    <w:rsid w:val="00D0359C"/>
    <w:rsid w:val="00D1494F"/>
    <w:rsid w:val="00D15C12"/>
    <w:rsid w:val="00E70B63"/>
    <w:rsid w:val="00E91AAC"/>
    <w:rsid w:val="02555ED9"/>
    <w:rsid w:val="02CD5FD0"/>
    <w:rsid w:val="03713892"/>
    <w:rsid w:val="046163BD"/>
    <w:rsid w:val="0CBD45C2"/>
    <w:rsid w:val="0E077D91"/>
    <w:rsid w:val="104F540B"/>
    <w:rsid w:val="10A862E5"/>
    <w:rsid w:val="114F7F97"/>
    <w:rsid w:val="11700D18"/>
    <w:rsid w:val="15525ABC"/>
    <w:rsid w:val="15DE7DEB"/>
    <w:rsid w:val="16F46EE5"/>
    <w:rsid w:val="1AD30D1B"/>
    <w:rsid w:val="1D0E253D"/>
    <w:rsid w:val="1DB46959"/>
    <w:rsid w:val="1EFD0F84"/>
    <w:rsid w:val="1F5644EA"/>
    <w:rsid w:val="1FC009DE"/>
    <w:rsid w:val="22A527AF"/>
    <w:rsid w:val="23BC14BC"/>
    <w:rsid w:val="2C436713"/>
    <w:rsid w:val="3014442E"/>
    <w:rsid w:val="319D1733"/>
    <w:rsid w:val="31BF7E3F"/>
    <w:rsid w:val="31EF4885"/>
    <w:rsid w:val="32BA12BD"/>
    <w:rsid w:val="35425594"/>
    <w:rsid w:val="361F13AE"/>
    <w:rsid w:val="365E2A77"/>
    <w:rsid w:val="37BEE3E8"/>
    <w:rsid w:val="3925145A"/>
    <w:rsid w:val="39545CE6"/>
    <w:rsid w:val="3A5531D9"/>
    <w:rsid w:val="3AAA2FF5"/>
    <w:rsid w:val="3B7A1263"/>
    <w:rsid w:val="3D1C4922"/>
    <w:rsid w:val="3E2FB295"/>
    <w:rsid w:val="3E937C1C"/>
    <w:rsid w:val="43724689"/>
    <w:rsid w:val="466E61EE"/>
    <w:rsid w:val="47BE73FC"/>
    <w:rsid w:val="4A33100F"/>
    <w:rsid w:val="4A580E50"/>
    <w:rsid w:val="4B5A4E4F"/>
    <w:rsid w:val="4B6776B0"/>
    <w:rsid w:val="4DFD66D6"/>
    <w:rsid w:val="4E2448D3"/>
    <w:rsid w:val="4FDE039B"/>
    <w:rsid w:val="52616B1C"/>
    <w:rsid w:val="52B801D5"/>
    <w:rsid w:val="53EC403B"/>
    <w:rsid w:val="55364189"/>
    <w:rsid w:val="55FF0875"/>
    <w:rsid w:val="592F3974"/>
    <w:rsid w:val="5A3C48A1"/>
    <w:rsid w:val="5B6D1C0D"/>
    <w:rsid w:val="5BE64784"/>
    <w:rsid w:val="5C6F0BC5"/>
    <w:rsid w:val="5E3058A9"/>
    <w:rsid w:val="5EFF703D"/>
    <w:rsid w:val="5FB077A1"/>
    <w:rsid w:val="61E969EE"/>
    <w:rsid w:val="64894D31"/>
    <w:rsid w:val="65E10333"/>
    <w:rsid w:val="668064D2"/>
    <w:rsid w:val="67044C14"/>
    <w:rsid w:val="68320981"/>
    <w:rsid w:val="6E3A103C"/>
    <w:rsid w:val="6E6F0D52"/>
    <w:rsid w:val="6ECD1832"/>
    <w:rsid w:val="6EED5F9B"/>
    <w:rsid w:val="6EFD21FC"/>
    <w:rsid w:val="70BD7845"/>
    <w:rsid w:val="712F4224"/>
    <w:rsid w:val="73F3AB56"/>
    <w:rsid w:val="74125AAA"/>
    <w:rsid w:val="763A3DB1"/>
    <w:rsid w:val="78156BFD"/>
    <w:rsid w:val="78863A78"/>
    <w:rsid w:val="78B62188"/>
    <w:rsid w:val="7B203504"/>
    <w:rsid w:val="7B27F043"/>
    <w:rsid w:val="7C583CE3"/>
    <w:rsid w:val="7DA320A3"/>
    <w:rsid w:val="7F8E49B3"/>
    <w:rsid w:val="7F8E618F"/>
    <w:rsid w:val="9DB84405"/>
    <w:rsid w:val="B0FFD92C"/>
    <w:rsid w:val="BBFFB8B3"/>
    <w:rsid w:val="DEFF4B18"/>
    <w:rsid w:val="EF7F3C2D"/>
    <w:rsid w:val="F5DE7850"/>
    <w:rsid w:val="F7CE9064"/>
    <w:rsid w:val="FECFE4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unhideWhenUsed/>
    <w:qFormat/>
    <w:uiPriority w:val="0"/>
    <w:pPr>
      <w:spacing w:before="100" w:beforeAutospacing="1" w:after="100" w:afterAutospacing="1"/>
      <w:jc w:val="left"/>
      <w:outlineLvl w:val="1"/>
    </w:pPr>
    <w:rPr>
      <w:rFonts w:ascii="宋体" w:hAnsi="宋体" w:eastAsia="宋体" w:cs="宋体"/>
      <w:b/>
      <w:bCs/>
      <w:kern w:val="0"/>
      <w:sz w:val="36"/>
      <w:szCs w:val="36"/>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style>
  <w:style w:type="paragraph" w:styleId="4">
    <w:name w:val="Body Text Indent 2"/>
    <w:basedOn w:val="1"/>
    <w:next w:val="1"/>
    <w:autoRedefine/>
    <w:qFormat/>
    <w:uiPriority w:val="0"/>
    <w:pPr>
      <w:spacing w:line="580" w:lineRule="exact"/>
    </w:pPr>
  </w:style>
  <w:style w:type="paragraph" w:styleId="5">
    <w:name w:val="footer"/>
    <w:basedOn w:val="1"/>
    <w:autoRedefine/>
    <w:qFormat/>
    <w:uiPriority w:val="99"/>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autoRedefine/>
    <w:qFormat/>
    <w:uiPriority w:val="0"/>
    <w:pPr>
      <w:spacing w:line="520" w:lineRule="exact"/>
      <w:ind w:left="798" w:leftChars="380"/>
    </w:pPr>
    <w:rPr>
      <w:rFonts w:hint="eastAsia" w:ascii="仿宋_GB2312" w:hAnsi="Tahoma" w:eastAsia="仿宋_GB2312" w:cs="Times New Roman"/>
      <w:color w:val="000000"/>
      <w:szCs w:val="32"/>
    </w:rPr>
  </w:style>
  <w:style w:type="paragraph" w:styleId="8">
    <w:name w:val="Normal (Web)"/>
    <w:basedOn w:val="1"/>
    <w:autoRedefine/>
    <w:qFormat/>
    <w:uiPriority w:val="0"/>
    <w:rPr>
      <w:sz w:val="24"/>
    </w:rPr>
  </w:style>
  <w:style w:type="paragraph" w:styleId="9">
    <w:name w:val="Title"/>
    <w:basedOn w:val="1"/>
    <w:autoRedefine/>
    <w:qFormat/>
    <w:uiPriority w:val="0"/>
    <w:pPr>
      <w:jc w:val="center"/>
      <w:outlineLvl w:val="0"/>
    </w:pPr>
    <w:rPr>
      <w:rFonts w:ascii="Arial" w:hAnsi="Arial"/>
      <w:b/>
      <w:sz w:val="32"/>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autoRedefine/>
    <w:qFormat/>
    <w:uiPriority w:val="0"/>
  </w:style>
  <w:style w:type="paragraph" w:customStyle="1" w:styleId="14">
    <w:name w:val="p0"/>
    <w:basedOn w:val="1"/>
    <w:autoRedefine/>
    <w:qFormat/>
    <w:uiPriority w:val="0"/>
    <w:pPr>
      <w:widowControl/>
      <w:spacing w:line="365" w:lineRule="atLeast"/>
      <w:ind w:left="1"/>
      <w:textAlignment w:val="bottom"/>
    </w:pPr>
    <w:rPr>
      <w:kern w:val="0"/>
      <w:sz w:val="20"/>
      <w:szCs w:val="20"/>
    </w:rPr>
  </w:style>
  <w:style w:type="table" w:customStyle="1" w:styleId="15">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2763</Words>
  <Characters>354</Characters>
  <Lines>2</Lines>
  <Paragraphs>6</Paragraphs>
  <TotalTime>3</TotalTime>
  <ScaleCrop>false</ScaleCrop>
  <LinksUpToDate>false</LinksUpToDate>
  <CharactersWithSpaces>3111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2024-03-20T00:58:00Z</dcterms:created>
  <dc:creator>普罗米修斯</dc:creator>
  <cp:lastModifiedBy>着眼</cp:lastModifiedBy>
  <cp:lastPrinted>2024-03-20T03:09:00Z</cp:lastPrinted>
  <dcterms:modified xsi:type="dcterms:W3CDTF">2024-04-18T01:56:49Z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BEA5CF77A7814CCC9BEA89F3EF1956D7_13</vt:lpwstr>
  </property>
</Properties>
</file>