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napToGrid w:val="0"/>
        <w:spacing w:line="610" w:lineRule="exact"/>
        <w:jc w:val="center"/>
        <w:rPr>
          <w:rFonts w:hint="default" w:ascii="Times New Roman" w:hAnsi="Times New Roman" w:eastAsia="方正仿宋_GBK" w:cs="Times New Roman"/>
          <w:bCs/>
          <w:color w:val="000000"/>
          <w:sz w:val="44"/>
          <w:szCs w:val="44"/>
          <w:shd w:val="clear" w:color="auto" w:fill="FFFFFF"/>
        </w:rPr>
      </w:pPr>
      <w:r>
        <w:rPr>
          <w:rFonts w:hint="default" w:ascii="Times New Roman" w:hAnsi="Times New Roman" w:eastAsia="方正仿宋_GBK" w:cs="Times New Roman"/>
          <w:bCs/>
          <w:color w:val="000000"/>
          <w:sz w:val="32"/>
          <w:szCs w:val="32"/>
          <w:shd w:val="clear" w:color="auto" w:fill="FFFFFF"/>
          <w:lang w:eastAsia="zh-CN"/>
        </w:rPr>
        <w:t>淮政秘〔2024〕19号</w:t>
      </w:r>
    </w:p>
    <w:p>
      <w:pPr>
        <w:overflowPunct w:val="0"/>
        <w:topLinePunct/>
        <w:adjustRightInd w:val="0"/>
        <w:snapToGrid w:val="0"/>
        <w:spacing w:line="540" w:lineRule="exact"/>
        <w:jc w:val="center"/>
        <w:rPr>
          <w:rFonts w:hint="default" w:ascii="Times New Roman" w:hAnsi="Times New Roman" w:eastAsia="方正仿宋_GBK" w:cs="Times New Roman"/>
          <w:bCs/>
          <w:color w:val="000000"/>
          <w:sz w:val="44"/>
          <w:szCs w:val="44"/>
          <w:shd w:val="clear" w:color="auto" w:fill="FFFFFF"/>
        </w:rPr>
      </w:pPr>
    </w:p>
    <w:p>
      <w:pPr>
        <w:overflowPunct w:val="0"/>
        <w:topLinePunct/>
        <w:adjustRightInd w:val="0"/>
        <w:snapToGrid w:val="0"/>
        <w:spacing w:line="540" w:lineRule="exact"/>
        <w:jc w:val="center"/>
        <w:rPr>
          <w:rFonts w:hint="default" w:ascii="Times New Roman" w:hAnsi="Times New Roman" w:eastAsia="方正仿宋_GBK" w:cs="Times New Roman"/>
          <w:bCs/>
          <w:color w:val="000000"/>
          <w:sz w:val="44"/>
          <w:szCs w:val="44"/>
          <w:shd w:val="clear" w:color="auto" w:fill="FFFFFF"/>
        </w:rPr>
      </w:pPr>
    </w:p>
    <w:p>
      <w:pPr>
        <w:overflowPunct w:val="0"/>
        <w:topLinePunct/>
        <w:adjustRightInd w:val="0"/>
        <w:snapToGrid w:val="0"/>
        <w:spacing w:line="540" w:lineRule="exact"/>
        <w:jc w:val="center"/>
        <w:rPr>
          <w:rFonts w:hint="eastAsia" w:ascii="方正小标宋_GBK" w:hAnsi="方正小标宋_GBK" w:eastAsia="方正小标宋_GBK" w:cs="方正小标宋_GBK"/>
          <w:bCs/>
          <w:color w:val="000000"/>
          <w:sz w:val="44"/>
          <w:szCs w:val="44"/>
          <w:shd w:val="clear" w:color="auto" w:fill="FFFFFF"/>
        </w:rPr>
      </w:pPr>
      <w:r>
        <w:rPr>
          <w:rFonts w:hint="eastAsia" w:ascii="方正小标宋_GBK" w:hAnsi="方正小标宋_GBK" w:eastAsia="方正小标宋_GBK" w:cs="方正小标宋_GBK"/>
          <w:bCs/>
          <w:color w:val="000000"/>
          <w:sz w:val="44"/>
          <w:szCs w:val="44"/>
          <w:shd w:val="clear" w:color="auto" w:fill="FFFFFF"/>
        </w:rPr>
        <w:t>淮北市人民政府</w:t>
      </w:r>
    </w:p>
    <w:p>
      <w:pPr>
        <w:overflowPunct w:val="0"/>
        <w:topLinePunct/>
        <w:adjustRightInd w:val="0"/>
        <w:snapToGrid w:val="0"/>
        <w:spacing w:line="54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bCs/>
          <w:color w:val="000000"/>
          <w:sz w:val="44"/>
          <w:szCs w:val="44"/>
          <w:shd w:val="clear" w:color="auto" w:fill="FFFFFF"/>
        </w:rPr>
        <w:t>关于公布市辖区</w:t>
      </w:r>
      <w:r>
        <w:rPr>
          <w:rFonts w:hint="eastAsia" w:ascii="方正小标宋_GBK" w:hAnsi="方正小标宋_GBK" w:eastAsia="方正小标宋_GBK" w:cs="方正小标宋_GBK"/>
          <w:color w:val="000000"/>
          <w:sz w:val="44"/>
          <w:szCs w:val="44"/>
        </w:rPr>
        <w:t>园地林地草地定级和</w:t>
      </w:r>
    </w:p>
    <w:p>
      <w:pPr>
        <w:overflowPunct w:val="0"/>
        <w:topLinePunct/>
        <w:adjustRightInd w:val="0"/>
        <w:snapToGrid w:val="0"/>
        <w:spacing w:line="540" w:lineRule="exact"/>
        <w:jc w:val="center"/>
        <w:rPr>
          <w:rFonts w:hint="eastAsia"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sz w:val="44"/>
          <w:szCs w:val="44"/>
        </w:rPr>
        <w:t>基准地价成果</w:t>
      </w:r>
      <w:r>
        <w:rPr>
          <w:rFonts w:hint="eastAsia" w:ascii="方正小标宋_GBK" w:hAnsi="方正小标宋_GBK" w:eastAsia="方正小标宋_GBK" w:cs="方正小标宋_GBK"/>
          <w:bCs/>
          <w:color w:val="000000"/>
          <w:sz w:val="44"/>
          <w:szCs w:val="44"/>
          <w:shd w:val="clear" w:color="auto" w:fill="FFFFFF"/>
        </w:rPr>
        <w:t>的通知</w:t>
      </w:r>
    </w:p>
    <w:p>
      <w:pPr>
        <w:overflowPunct w:val="0"/>
        <w:topLinePunct/>
        <w:adjustRightInd w:val="0"/>
        <w:snapToGrid w:val="0"/>
        <w:spacing w:line="540" w:lineRule="exact"/>
        <w:rPr>
          <w:rFonts w:hint="default" w:ascii="Times New Roman" w:hAnsi="Times New Roman" w:eastAsia="方正仿宋_GBK" w:cs="Times New Roman"/>
          <w:color w:val="000000"/>
          <w:sz w:val="32"/>
          <w:szCs w:val="32"/>
        </w:rPr>
      </w:pPr>
    </w:p>
    <w:p>
      <w:pPr>
        <w:overflowPunct w:val="0"/>
        <w:topLinePunct/>
        <w:adjustRightInd w:val="0"/>
        <w:snapToGrid w:val="0"/>
        <w:spacing w:line="54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濉溪县、各区人民政府，市政府各部门、各直属机构：</w:t>
      </w:r>
    </w:p>
    <w:p>
      <w:pPr>
        <w:overflowPunct w:val="0"/>
        <w:topLinePunct/>
        <w:adjustRightInd w:val="0"/>
        <w:snapToGrid w:val="0"/>
        <w:spacing w:line="540" w:lineRule="exact"/>
        <w:ind w:firstLine="707" w:firstLineChars="22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w:t>
      </w:r>
      <w:r>
        <w:rPr>
          <w:rFonts w:hint="default" w:ascii="Times New Roman" w:hAnsi="Times New Roman" w:eastAsia="方正仿宋_GBK" w:cs="Times New Roman"/>
          <w:color w:val="000000"/>
          <w:kern w:val="0"/>
          <w:sz w:val="32"/>
          <w:szCs w:val="32"/>
        </w:rPr>
        <w:t>《自然资源部办公厅关于做好园地林地草地定级和基准地价制定有关工作的通知》（自然资办发〔2023〕399号）、《安徽省自然资源厅关于做好园地林地草地定级和基准地价制定有关工作的通知》（皖自然资用函〔2023〕23号）</w:t>
      </w:r>
      <w:r>
        <w:rPr>
          <w:rFonts w:hint="default" w:ascii="Times New Roman" w:hAnsi="Times New Roman" w:eastAsia="方正仿宋_GBK" w:cs="Times New Roman"/>
          <w:color w:val="000000"/>
          <w:sz w:val="32"/>
          <w:szCs w:val="32"/>
        </w:rPr>
        <w:t>要求，为进一步</w:t>
      </w:r>
      <w:r>
        <w:rPr>
          <w:rFonts w:hint="default" w:ascii="Times New Roman" w:hAnsi="Times New Roman" w:eastAsia="方正仿宋_GBK" w:cs="Times New Roman"/>
          <w:color w:val="000000"/>
          <w:sz w:val="32"/>
          <w:szCs w:val="32"/>
          <w:lang w:eastAsia="zh-CN"/>
        </w:rPr>
        <w:t>加强</w:t>
      </w:r>
      <w:r>
        <w:rPr>
          <w:rFonts w:hint="default" w:ascii="Times New Roman" w:hAnsi="Times New Roman" w:eastAsia="方正仿宋_GBK" w:cs="Times New Roman"/>
          <w:color w:val="000000"/>
          <w:sz w:val="32"/>
          <w:szCs w:val="32"/>
        </w:rPr>
        <w:t>自然资源价格</w:t>
      </w:r>
      <w:r>
        <w:rPr>
          <w:rFonts w:hint="default" w:ascii="Times New Roman" w:hAnsi="Times New Roman" w:eastAsia="方正仿宋_GBK" w:cs="Times New Roman"/>
          <w:color w:val="000000"/>
          <w:sz w:val="32"/>
          <w:szCs w:val="32"/>
          <w:lang w:eastAsia="zh-CN"/>
        </w:rPr>
        <w:t>管理</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规范和引导</w:t>
      </w:r>
      <w:r>
        <w:rPr>
          <w:rFonts w:hint="default" w:ascii="Times New Roman" w:hAnsi="Times New Roman" w:eastAsia="方正仿宋_GBK" w:cs="Times New Roman"/>
          <w:color w:val="000000"/>
          <w:sz w:val="32"/>
          <w:szCs w:val="32"/>
        </w:rPr>
        <w:t>自然资源保护与合理开发利用，</w:t>
      </w:r>
      <w:r>
        <w:rPr>
          <w:rFonts w:hint="default" w:ascii="Times New Roman" w:hAnsi="Times New Roman" w:eastAsia="方正仿宋_GBK" w:cs="Times New Roman"/>
          <w:color w:val="000000"/>
          <w:sz w:val="32"/>
          <w:szCs w:val="32"/>
          <w:lang w:eastAsia="zh-CN"/>
        </w:rPr>
        <w:t>现将</w:t>
      </w:r>
      <w:r>
        <w:rPr>
          <w:rFonts w:hint="default" w:ascii="Times New Roman" w:hAnsi="Times New Roman" w:eastAsia="方正仿宋_GBK" w:cs="Times New Roman"/>
          <w:color w:val="000000"/>
          <w:sz w:val="32"/>
          <w:szCs w:val="32"/>
        </w:rPr>
        <w:t>淮北市市辖区园地林地草地定级和基准地价成果予以公布</w:t>
      </w:r>
      <w:r>
        <w:rPr>
          <w:rFonts w:hint="default" w:ascii="Times New Roman" w:hAnsi="Times New Roman" w:eastAsia="方正仿宋_GBK" w:cs="Times New Roman"/>
          <w:color w:val="000000"/>
          <w:sz w:val="32"/>
          <w:szCs w:val="32"/>
          <w:lang w:eastAsia="zh-CN"/>
        </w:rPr>
        <w:t>，请认真遵照执行</w:t>
      </w:r>
      <w:r>
        <w:rPr>
          <w:rFonts w:hint="default" w:ascii="Times New Roman" w:hAnsi="Times New Roman" w:eastAsia="方正仿宋_GBK" w:cs="Times New Roman"/>
          <w:color w:val="000000"/>
          <w:sz w:val="32"/>
          <w:szCs w:val="32"/>
        </w:rPr>
        <w:t>。</w:t>
      </w:r>
    </w:p>
    <w:p>
      <w:pPr>
        <w:overflowPunct w:val="0"/>
        <w:topLinePunct/>
        <w:adjustRightInd w:val="0"/>
        <w:snapToGrid w:val="0"/>
        <w:spacing w:line="540" w:lineRule="exact"/>
        <w:ind w:firstLine="707" w:firstLineChars="22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本次市辖区园地林地草地定级和基准地价制定成果自公布之日起执行，由市自然资源和规划局负责解释。</w:t>
      </w:r>
    </w:p>
    <w:p>
      <w:pPr>
        <w:overflowPunct w:val="0"/>
        <w:topLinePunct/>
        <w:adjustRightInd w:val="0"/>
        <w:snapToGrid w:val="0"/>
        <w:spacing w:line="560" w:lineRule="exact"/>
        <w:ind w:firstLine="0" w:firstLineChars="0"/>
        <w:rPr>
          <w:rFonts w:hint="default" w:ascii="Times New Roman" w:hAnsi="Times New Roman" w:eastAsia="方正仿宋_GBK" w:cs="Times New Roman"/>
          <w:color w:val="000000"/>
          <w:sz w:val="32"/>
          <w:szCs w:val="32"/>
        </w:rPr>
      </w:pPr>
    </w:p>
    <w:p>
      <w:pPr>
        <w:overflowPunct w:val="0"/>
        <w:topLinePunct/>
        <w:adjustRightInd w:val="0"/>
        <w:snapToGrid w:val="0"/>
        <w:spacing w:line="560" w:lineRule="exact"/>
        <w:ind w:firstLine="707" w:firstLineChars="221"/>
        <w:rPr>
          <w:rFonts w:hint="default" w:ascii="Times New Roman" w:hAnsi="Times New Roman" w:eastAsia="方正仿宋_GBK" w:cs="Times New Roman"/>
          <w:color w:val="000000"/>
          <w:sz w:val="32"/>
          <w:szCs w:val="32"/>
        </w:rPr>
      </w:pPr>
    </w:p>
    <w:p>
      <w:pPr>
        <w:overflowPunct w:val="0"/>
        <w:topLinePunct/>
        <w:adjustRightInd w:val="0"/>
        <w:snapToGrid w:val="0"/>
        <w:spacing w:line="610" w:lineRule="exact"/>
        <w:jc w:val="lef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sz w:val="32"/>
          <w:szCs w:val="32"/>
        </w:rPr>
        <w:t xml:space="preserve"> </w:t>
      </w:r>
    </w:p>
    <w:p>
      <w:pPr>
        <w:overflowPunct w:val="0"/>
        <w:topLinePunct/>
        <w:adjustRightInd w:val="0"/>
        <w:snapToGrid w:val="0"/>
        <w:spacing w:line="58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rPr>
        <w:t xml:space="preserve">                                     </w:t>
      </w:r>
      <w:r>
        <w:rPr>
          <w:rFonts w:hint="default" w:ascii="Times New Roman" w:hAnsi="Times New Roman" w:eastAsia="方正仿宋_GBK" w:cs="Times New Roman"/>
          <w:color w:val="000000"/>
          <w:sz w:val="32"/>
          <w:szCs w:val="32"/>
        </w:rPr>
        <w:t>2024年3月</w:t>
      </w:r>
      <w:r>
        <w:rPr>
          <w:rFonts w:hint="eastAsia" w:ascii="Times New Roman" w:hAnsi="Times New Roman" w:eastAsia="方正仿宋_GBK" w:cs="Times New Roman"/>
          <w:color w:val="000000"/>
          <w:sz w:val="32"/>
          <w:szCs w:val="32"/>
          <w:lang w:val="en-US" w:eastAsia="zh-CN"/>
        </w:rPr>
        <w:t>23</w:t>
      </w:r>
      <w:r>
        <w:rPr>
          <w:rFonts w:hint="default" w:ascii="Times New Roman" w:hAnsi="Times New Roman" w:eastAsia="方正仿宋_GBK" w:cs="Times New Roman"/>
          <w:color w:val="000000"/>
          <w:sz w:val="32"/>
          <w:szCs w:val="32"/>
        </w:rPr>
        <w:t xml:space="preserve">日        </w:t>
      </w:r>
    </w:p>
    <w:p>
      <w:pPr>
        <w:widowControl/>
        <w:spacing w:line="580" w:lineRule="exact"/>
        <w:ind w:firstLine="0" w:firstLineChars="0"/>
        <w:jc w:val="center"/>
        <w:rPr>
          <w:rFonts w:hint="eastAsia" w:ascii="方正小标宋_GBK" w:hAnsi="方正小标宋_GBK" w:eastAsia="方正小标宋_GBK" w:cs="方正小标宋_GBK"/>
          <w:color w:val="000000"/>
          <w:sz w:val="44"/>
          <w:szCs w:val="44"/>
        </w:rPr>
      </w:pPr>
    </w:p>
    <w:p>
      <w:pPr>
        <w:widowControl/>
        <w:spacing w:line="580" w:lineRule="exact"/>
        <w:ind w:firstLine="0" w:firstLineChars="0"/>
        <w:jc w:val="center"/>
        <w:rPr>
          <w:rFonts w:hint="eastAsia" w:ascii="方正小标宋_GBK" w:hAnsi="方正小标宋_GBK" w:eastAsia="方正小标宋_GBK" w:cs="方正小标宋_GBK"/>
          <w:color w:val="000000"/>
          <w:sz w:val="44"/>
          <w:szCs w:val="44"/>
        </w:rPr>
      </w:pPr>
    </w:p>
    <w:p>
      <w:pPr>
        <w:widowControl/>
        <w:spacing w:line="580" w:lineRule="exact"/>
        <w:ind w:firstLine="0" w:firstLineChars="0"/>
        <w:jc w:val="center"/>
        <w:rPr>
          <w:rFonts w:hint="eastAsia" w:ascii="方正小标宋_GBK" w:hAnsi="方正小标宋_GBK" w:eastAsia="方正小标宋_GBK" w:cs="方正小标宋_GBK"/>
          <w:color w:val="000000"/>
          <w:sz w:val="44"/>
          <w:szCs w:val="44"/>
        </w:rPr>
      </w:pPr>
    </w:p>
    <w:p>
      <w:pPr>
        <w:widowControl/>
        <w:spacing w:line="580" w:lineRule="exact"/>
        <w:ind w:firstLine="0" w:firstLineChars="0"/>
        <w:jc w:val="center"/>
        <w:rPr>
          <w:rFonts w:hint="eastAsia" w:ascii="方正小标宋_GBK" w:hAnsi="方正小标宋_GBK" w:eastAsia="方正小标宋_GBK" w:cs="方正小标宋_GBK"/>
          <w:color w:val="000000"/>
          <w:sz w:val="44"/>
          <w:szCs w:val="44"/>
        </w:rPr>
      </w:pPr>
    </w:p>
    <w:p>
      <w:pPr>
        <w:widowControl/>
        <w:spacing w:line="580" w:lineRule="exact"/>
        <w:ind w:firstLine="0" w:firstLineChars="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淮北市市辖区园地林地草地定级</w:t>
      </w:r>
    </w:p>
    <w:p>
      <w:pPr>
        <w:widowControl/>
        <w:spacing w:line="580" w:lineRule="exact"/>
        <w:jc w:val="center"/>
        <w:rPr>
          <w:rFonts w:hint="eastAsia"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sz w:val="44"/>
          <w:szCs w:val="44"/>
        </w:rPr>
        <w:t>和基准地价成果</w:t>
      </w:r>
    </w:p>
    <w:p>
      <w:pPr>
        <w:rPr>
          <w:rFonts w:hint="default" w:ascii="Times New Roman" w:hAnsi="Times New Roman" w:eastAsia="方正仿宋_GBK" w:cs="Times New Roman"/>
        </w:rPr>
      </w:pPr>
    </w:p>
    <w:p>
      <w:pPr>
        <w:spacing w:line="580" w:lineRule="exact"/>
        <w:jc w:val="center"/>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lang w:eastAsia="zh-CN"/>
        </w:rPr>
        <w:t>一、</w:t>
      </w:r>
      <w:r>
        <w:rPr>
          <w:rFonts w:hint="eastAsia" w:ascii="方正黑体_GBK" w:hAnsi="方正黑体_GBK" w:eastAsia="方正黑体_GBK" w:cs="方正黑体_GBK"/>
          <w:color w:val="000000"/>
          <w:kern w:val="0"/>
          <w:sz w:val="32"/>
          <w:szCs w:val="32"/>
        </w:rPr>
        <w:t>淮北市市辖区园地林地草地基准地价表</w:t>
      </w:r>
    </w:p>
    <w:tbl>
      <w:tblPr>
        <w:tblStyle w:val="4"/>
        <w:tblpPr w:leftFromText="180" w:rightFromText="180" w:vertAnchor="text" w:horzAnchor="page" w:tblpXSpec="center" w:tblpY="9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9"/>
        <w:gridCol w:w="1445"/>
        <w:gridCol w:w="1620"/>
        <w:gridCol w:w="1727"/>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283" w:type="dxa"/>
            <w:vMerge w:val="restart"/>
            <w:tcBorders>
              <w:tl2br w:val="single" w:color="auto" w:sz="4" w:space="0"/>
            </w:tcBorders>
            <w:noWrap w:val="0"/>
            <w:vAlign w:val="center"/>
          </w:tcPr>
          <w:p>
            <w:pPr>
              <w:spacing w:line="480" w:lineRule="exact"/>
              <w:jc w:val="righ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级别</w:t>
            </w:r>
          </w:p>
          <w:p>
            <w:pPr>
              <w:spacing w:line="480" w:lineRule="exact"/>
              <w:jc w:val="lef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地类</w:t>
            </w:r>
          </w:p>
        </w:tc>
        <w:tc>
          <w:tcPr>
            <w:tcW w:w="3219" w:type="dxa"/>
            <w:gridSpan w:val="2"/>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一级地</w:t>
            </w:r>
          </w:p>
        </w:tc>
        <w:tc>
          <w:tcPr>
            <w:tcW w:w="3481" w:type="dxa"/>
            <w:gridSpan w:val="2"/>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二级地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283" w:type="dxa"/>
            <w:vMerge w:val="continue"/>
            <w:tcBorders>
              <w:tl2br w:val="single" w:color="auto" w:sz="4" w:space="0"/>
            </w:tcBorders>
            <w:noWrap w:val="0"/>
            <w:vAlign w:val="center"/>
          </w:tcPr>
          <w:p>
            <w:pPr>
              <w:spacing w:line="480" w:lineRule="exact"/>
              <w:jc w:val="center"/>
              <w:rPr>
                <w:rFonts w:hint="default" w:ascii="Times New Roman" w:hAnsi="Times New Roman" w:eastAsia="方正仿宋_GBK" w:cs="Times New Roman"/>
                <w:color w:val="000000"/>
                <w:sz w:val="30"/>
                <w:szCs w:val="30"/>
              </w:rPr>
            </w:pPr>
          </w:p>
        </w:tc>
        <w:tc>
          <w:tcPr>
            <w:tcW w:w="1521"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万元/亩</w:t>
            </w:r>
          </w:p>
        </w:tc>
        <w:tc>
          <w:tcPr>
            <w:tcW w:w="1698"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元/平方米</w:t>
            </w:r>
          </w:p>
        </w:tc>
        <w:tc>
          <w:tcPr>
            <w:tcW w:w="1815"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万元/亩</w:t>
            </w:r>
          </w:p>
        </w:tc>
        <w:tc>
          <w:tcPr>
            <w:tcW w:w="1666"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283"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园地</w:t>
            </w:r>
          </w:p>
        </w:tc>
        <w:tc>
          <w:tcPr>
            <w:tcW w:w="1521"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2.5</w:t>
            </w:r>
          </w:p>
        </w:tc>
        <w:tc>
          <w:tcPr>
            <w:tcW w:w="1698"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37.5</w:t>
            </w:r>
          </w:p>
        </w:tc>
        <w:tc>
          <w:tcPr>
            <w:tcW w:w="1815"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2.2</w:t>
            </w:r>
          </w:p>
        </w:tc>
        <w:tc>
          <w:tcPr>
            <w:tcW w:w="1666"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83"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林地</w:t>
            </w:r>
          </w:p>
        </w:tc>
        <w:tc>
          <w:tcPr>
            <w:tcW w:w="1521"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1.9</w:t>
            </w:r>
          </w:p>
        </w:tc>
        <w:tc>
          <w:tcPr>
            <w:tcW w:w="1698"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28.5</w:t>
            </w:r>
          </w:p>
        </w:tc>
        <w:tc>
          <w:tcPr>
            <w:tcW w:w="1815"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1.72</w:t>
            </w:r>
          </w:p>
        </w:tc>
        <w:tc>
          <w:tcPr>
            <w:tcW w:w="1666"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83"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草地</w:t>
            </w:r>
          </w:p>
        </w:tc>
        <w:tc>
          <w:tcPr>
            <w:tcW w:w="1521"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0.9</w:t>
            </w:r>
          </w:p>
        </w:tc>
        <w:tc>
          <w:tcPr>
            <w:tcW w:w="1698"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13.5</w:t>
            </w:r>
          </w:p>
        </w:tc>
        <w:tc>
          <w:tcPr>
            <w:tcW w:w="1815"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0.7</w:t>
            </w:r>
          </w:p>
        </w:tc>
        <w:tc>
          <w:tcPr>
            <w:tcW w:w="1666" w:type="dxa"/>
            <w:noWrap w:val="0"/>
            <w:vAlign w:val="center"/>
          </w:tcPr>
          <w:p>
            <w:pPr>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10.5</w:t>
            </w:r>
          </w:p>
        </w:tc>
      </w:tr>
    </w:tbl>
    <w:p>
      <w:pPr>
        <w:jc w:val="right"/>
        <w:rPr>
          <w:rFonts w:hint="default" w:ascii="Times New Roman" w:hAnsi="Times New Roman" w:eastAsia="方正仿宋_GBK" w:cs="Times New Roman"/>
          <w:b/>
          <w:color w:val="000000"/>
          <w:szCs w:val="21"/>
        </w:rPr>
      </w:pPr>
    </w:p>
    <w:p>
      <w:pPr>
        <w:rPr>
          <w:rFonts w:hint="default" w:ascii="Times New Roman" w:hAnsi="Times New Roman" w:eastAsia="方正仿宋_GBK" w:cs="Times New Roman"/>
          <w:color w:val="000000"/>
          <w:kern w:val="0"/>
          <w:sz w:val="32"/>
          <w:szCs w:val="32"/>
        </w:rPr>
      </w:pPr>
    </w:p>
    <w:p>
      <w:pPr>
        <w:spacing w:line="580" w:lineRule="exact"/>
        <w:jc w:val="center"/>
        <w:rPr>
          <w:rFonts w:hint="default" w:ascii="方正黑体_GBK" w:hAnsi="方正黑体_GBK" w:eastAsia="方正黑体_GBK" w:cs="方正黑体_GBK"/>
          <w:color w:val="000000"/>
          <w:kern w:val="0"/>
          <w:sz w:val="32"/>
          <w:szCs w:val="32"/>
          <w:lang w:eastAsia="zh-CN"/>
        </w:rPr>
      </w:pPr>
      <w:r>
        <w:rPr>
          <w:rFonts w:hint="default" w:ascii="方正黑体_GBK" w:hAnsi="方正黑体_GBK" w:eastAsia="方正黑体_GBK" w:cs="方正黑体_GBK"/>
          <w:color w:val="000000"/>
          <w:kern w:val="0"/>
          <w:sz w:val="32"/>
          <w:szCs w:val="32"/>
          <w:lang w:eastAsia="zh-CN"/>
        </w:rPr>
        <w:t>二、淮北市市辖区园地林地草地基准地价内涵表</w:t>
      </w:r>
    </w:p>
    <w:tbl>
      <w:tblPr>
        <w:tblStyle w:val="3"/>
        <w:tblW w:w="516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8"/>
        <w:gridCol w:w="1269"/>
        <w:gridCol w:w="6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2467" w:type="dxa"/>
            <w:gridSpan w:val="2"/>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土地类型</w:t>
            </w:r>
          </w:p>
        </w:tc>
        <w:tc>
          <w:tcPr>
            <w:tcW w:w="6672" w:type="dxa"/>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园地、林地、草地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2467" w:type="dxa"/>
            <w:gridSpan w:val="2"/>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土地权利类型</w:t>
            </w:r>
          </w:p>
        </w:tc>
        <w:tc>
          <w:tcPr>
            <w:tcW w:w="6672" w:type="dxa"/>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承包经营权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2467" w:type="dxa"/>
            <w:gridSpan w:val="2"/>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土地权利年期</w:t>
            </w:r>
          </w:p>
        </w:tc>
        <w:tc>
          <w:tcPr>
            <w:tcW w:w="6672" w:type="dxa"/>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园地30年、林地30年、草地30年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2467" w:type="dxa"/>
            <w:gridSpan w:val="2"/>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估价期日</w:t>
            </w:r>
          </w:p>
        </w:tc>
        <w:tc>
          <w:tcPr>
            <w:tcW w:w="6672" w:type="dxa"/>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2023年1月1日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16" w:type="dxa"/>
            <w:vMerge w:val="restart"/>
            <w:tcBorders>
              <w:tl2br w:val="nil"/>
              <w:tr2bl w:val="nil"/>
            </w:tcBorders>
            <w:noWrap w:val="0"/>
            <w:vAlign w:val="center"/>
          </w:tcPr>
          <w:p>
            <w:pPr>
              <w:widowControl/>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基本设施状况</w:t>
            </w:r>
          </w:p>
        </w:tc>
        <w:tc>
          <w:tcPr>
            <w:tcW w:w="1351" w:type="dxa"/>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园地</w:t>
            </w:r>
          </w:p>
        </w:tc>
        <w:tc>
          <w:tcPr>
            <w:tcW w:w="6672" w:type="dxa"/>
            <w:tcBorders>
              <w:tl2br w:val="nil"/>
              <w:tr2bl w:val="nil"/>
            </w:tcBorders>
            <w:noWrap w:val="0"/>
            <w:vAlign w:val="center"/>
          </w:tcPr>
          <w:p>
            <w:pPr>
              <w:pStyle w:val="6"/>
              <w:spacing w:line="480" w:lineRule="exact"/>
              <w:ind w:firstLine="300" w:firstLineChars="100"/>
              <w:jc w:val="lef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宗地外通路、水源供给有保障，宗地内有基本的排水与灌溉设施。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116" w:type="dxa"/>
            <w:vMerge w:val="continue"/>
            <w:tcBorders>
              <w:tl2br w:val="nil"/>
              <w:tr2bl w:val="nil"/>
            </w:tcBorders>
            <w:noWrap w:val="0"/>
            <w:vAlign w:val="center"/>
          </w:tcPr>
          <w:p>
            <w:pPr>
              <w:widowControl/>
              <w:spacing w:line="480" w:lineRule="exact"/>
              <w:jc w:val="center"/>
              <w:rPr>
                <w:rFonts w:hint="default" w:ascii="Times New Roman" w:hAnsi="Times New Roman" w:eastAsia="方正仿宋_GBK" w:cs="Times New Roman"/>
                <w:color w:val="000000"/>
                <w:sz w:val="30"/>
                <w:szCs w:val="30"/>
              </w:rPr>
            </w:pPr>
          </w:p>
        </w:tc>
        <w:tc>
          <w:tcPr>
            <w:tcW w:w="1351" w:type="dxa"/>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林地</w:t>
            </w:r>
          </w:p>
        </w:tc>
        <w:tc>
          <w:tcPr>
            <w:tcW w:w="6672" w:type="dxa"/>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宗地外通路，宗地内有集材道路。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116" w:type="dxa"/>
            <w:vMerge w:val="continue"/>
            <w:tcBorders>
              <w:tl2br w:val="nil"/>
              <w:tr2bl w:val="nil"/>
            </w:tcBorders>
            <w:noWrap w:val="0"/>
            <w:vAlign w:val="center"/>
          </w:tcPr>
          <w:p>
            <w:pPr>
              <w:widowControl/>
              <w:spacing w:line="480" w:lineRule="exact"/>
              <w:jc w:val="center"/>
              <w:rPr>
                <w:rFonts w:hint="default" w:ascii="Times New Roman" w:hAnsi="Times New Roman" w:eastAsia="方正仿宋_GBK" w:cs="Times New Roman"/>
                <w:color w:val="000000"/>
                <w:sz w:val="30"/>
                <w:szCs w:val="30"/>
              </w:rPr>
            </w:pPr>
          </w:p>
        </w:tc>
        <w:tc>
          <w:tcPr>
            <w:tcW w:w="1351" w:type="dxa"/>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草地</w:t>
            </w:r>
          </w:p>
        </w:tc>
        <w:tc>
          <w:tcPr>
            <w:tcW w:w="6672" w:type="dxa"/>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宗地外通路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467" w:type="dxa"/>
            <w:gridSpan w:val="2"/>
            <w:tcBorders>
              <w:tl2br w:val="nil"/>
              <w:tr2bl w:val="nil"/>
            </w:tcBorders>
            <w:noWrap w:val="0"/>
            <w:vAlign w:val="center"/>
          </w:tcPr>
          <w:p>
            <w:pPr>
              <w:pStyle w:val="6"/>
              <w:spacing w:line="480"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其他说明</w:t>
            </w:r>
          </w:p>
        </w:tc>
        <w:tc>
          <w:tcPr>
            <w:tcW w:w="6672" w:type="dxa"/>
            <w:tcBorders>
              <w:tl2br w:val="nil"/>
              <w:tr2bl w:val="nil"/>
            </w:tcBorders>
            <w:noWrap w:val="0"/>
            <w:vAlign w:val="center"/>
          </w:tcPr>
          <w:p>
            <w:pPr>
              <w:pStyle w:val="6"/>
              <w:spacing w:line="480" w:lineRule="exact"/>
              <w:ind w:firstLine="300" w:firstLineChars="100"/>
              <w:jc w:val="lef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基准地价均为土地价值，不含地上附着物和定着物价值。</w:t>
            </w:r>
          </w:p>
        </w:tc>
      </w:tr>
    </w:tbl>
    <w:p>
      <w:pPr>
        <w:rPr>
          <w:rFonts w:hint="default" w:ascii="Times New Roman" w:hAnsi="Times New Roman" w:eastAsia="方正仿宋_GBK" w:cs="Times New Roman"/>
          <w:color w:val="000000"/>
          <w:kern w:val="0"/>
          <w:sz w:val="32"/>
          <w:szCs w:val="32"/>
        </w:rPr>
      </w:pPr>
    </w:p>
    <w:p>
      <w:pPr>
        <w:spacing w:line="580" w:lineRule="exact"/>
        <w:jc w:val="center"/>
        <w:rPr>
          <w:rFonts w:hint="default" w:ascii="方正黑体_GBK" w:hAnsi="方正黑体_GBK" w:eastAsia="方正黑体_GBK" w:cs="方正黑体_GBK"/>
          <w:color w:val="000000"/>
          <w:kern w:val="0"/>
          <w:sz w:val="32"/>
          <w:szCs w:val="32"/>
          <w:lang w:eastAsia="zh-CN"/>
        </w:rPr>
      </w:pPr>
      <w:r>
        <w:rPr>
          <w:rFonts w:hint="default" w:ascii="Times New Roman" w:hAnsi="Times New Roman" w:eastAsia="方正仿宋_GBK" w:cs="Times New Roman"/>
          <w:color w:val="000000"/>
        </w:rPr>
        <w:br w:type="page"/>
      </w:r>
      <w:r>
        <w:rPr>
          <w:rFonts w:hint="default" w:ascii="方正黑体_GBK" w:hAnsi="方正黑体_GBK" w:eastAsia="方正黑体_GBK" w:cs="方正黑体_GBK"/>
          <w:color w:val="000000"/>
          <w:kern w:val="0"/>
          <w:sz w:val="32"/>
          <w:szCs w:val="32"/>
          <w:lang w:eastAsia="zh-CN"/>
        </w:rPr>
        <w:t>三、淮北市市辖区园地林地草地基准地价土地级别分布</w:t>
      </w:r>
    </w:p>
    <w:p>
      <w:pPr>
        <w:spacing w:line="580" w:lineRule="exact"/>
        <w:jc w:val="center"/>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lang w:eastAsia="zh-CN"/>
        </w:rPr>
        <w:t>范围表</w:t>
      </w:r>
    </w:p>
    <w:p>
      <w:pPr>
        <w:jc w:val="right"/>
        <w:rPr>
          <w:rFonts w:hint="default" w:ascii="Times New Roman" w:hAnsi="Times New Roman" w:eastAsia="方正仿宋_GBK" w:cs="Times New Roman"/>
          <w:b/>
          <w:color w:val="000000"/>
          <w:szCs w:val="21"/>
        </w:rPr>
      </w:pPr>
    </w:p>
    <w:p>
      <w:pPr>
        <w:widowControl/>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表1  淮北市市辖区园地基准地价土地级别分布范围表</w:t>
      </w: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7900"/>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94" w:type="dxa"/>
            <w:noWrap w:val="0"/>
            <w:vAlign w:val="center"/>
          </w:tcPr>
          <w:p>
            <w:pPr>
              <w:jc w:val="center"/>
              <w:rPr>
                <w:rFonts w:hint="default" w:ascii="Times New Roman" w:hAnsi="Times New Roman" w:eastAsia="方正仿宋_GBK" w:cs="Times New Roman"/>
                <w:b/>
                <w:bCs/>
                <w:color w:val="000000"/>
                <w:sz w:val="24"/>
                <w:szCs w:val="24"/>
              </w:rPr>
            </w:pPr>
            <w:bookmarkStart w:id="0" w:name="_GoBack"/>
            <w:r>
              <w:rPr>
                <w:rFonts w:hint="default" w:ascii="Times New Roman" w:hAnsi="Times New Roman" w:eastAsia="方正仿宋_GBK" w:cs="Times New Roman"/>
                <w:b/>
                <w:bCs/>
                <w:color w:val="000000"/>
                <w:sz w:val="24"/>
                <w:szCs w:val="24"/>
              </w:rPr>
              <w:t>级别</w:t>
            </w:r>
          </w:p>
        </w:tc>
        <w:tc>
          <w:tcPr>
            <w:tcW w:w="7900" w:type="dxa"/>
            <w:noWrap w:val="0"/>
            <w:vAlign w:val="center"/>
          </w:tcPr>
          <w:p>
            <w:pPr>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分布</w:t>
            </w:r>
          </w:p>
        </w:tc>
        <w:tc>
          <w:tcPr>
            <w:tcW w:w="1088" w:type="dxa"/>
            <w:noWrap w:val="0"/>
            <w:vAlign w:val="center"/>
          </w:tcPr>
          <w:p>
            <w:pPr>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面积（km</w:t>
            </w:r>
            <w:r>
              <w:rPr>
                <w:rFonts w:hint="default" w:ascii="Times New Roman" w:hAnsi="Times New Roman" w:eastAsia="方正仿宋_GBK" w:cs="Times New Roman"/>
                <w:b/>
                <w:bCs/>
                <w:color w:val="000000"/>
                <w:sz w:val="24"/>
                <w:szCs w:val="24"/>
                <w:vertAlign w:val="superscript"/>
              </w:rPr>
              <w:t>2</w:t>
            </w:r>
            <w:r>
              <w:rPr>
                <w:rFonts w:hint="default" w:ascii="Times New Roman" w:hAnsi="Times New Roman" w:eastAsia="方正仿宋_GBK" w:cs="Times New Roman"/>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2" w:hRule="atLeast"/>
          <w:jc w:val="center"/>
        </w:trPr>
        <w:tc>
          <w:tcPr>
            <w:tcW w:w="594" w:type="dxa"/>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一级地</w:t>
            </w:r>
          </w:p>
        </w:tc>
        <w:tc>
          <w:tcPr>
            <w:tcW w:w="7900" w:type="dxa"/>
            <w:noWrap w:val="0"/>
            <w:vAlign w:val="center"/>
          </w:tcPr>
          <w:p>
            <w:pPr>
              <w:overflowPunct w:val="0"/>
              <w:topLinePunct/>
              <w:adjustRightInd w:val="0"/>
              <w:snapToGrid w:val="0"/>
              <w:spacing w:line="300" w:lineRule="exact"/>
              <w:jc w:val="left"/>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杜集区:</w:t>
            </w:r>
          </w:p>
          <w:p>
            <w:pPr>
              <w:overflowPunct w:val="0"/>
              <w:topLinePunct/>
              <w:adjustRightInd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段园镇（大庄村、毛场村、毛庄村、牛眠村、欧集村、祁村、袁庄村），</w:t>
            </w:r>
            <w:r>
              <w:rPr>
                <w:rFonts w:hint="default" w:ascii="Times New Roman" w:hAnsi="Times New Roman" w:eastAsia="方正仿宋_GBK" w:cs="Times New Roman"/>
                <w:color w:val="000000"/>
                <w:sz w:val="24"/>
                <w:szCs w:val="24"/>
              </w:rPr>
              <w:t>高岳街道（高岳街道办事处、高岳社区、韩楼村、李洼村、任庄村、双楼村、孙庄村、徐暨村)，矿山集街道（杜集社区、矿山集街道办事处、六和社区、南山村、柿元社区、徐庄社区、张院村），石台镇(刘庄村、石台村)，朔里镇（矬楼村、段庄村、官庄村、罗里村、坡里村）</w:t>
            </w:r>
          </w:p>
          <w:p>
            <w:pPr>
              <w:overflowPunct w:val="0"/>
              <w:topLinePunct/>
              <w:adjustRightInd w:val="0"/>
              <w:snapToGrid w:val="0"/>
              <w:spacing w:line="300" w:lineRule="exact"/>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烈山区:</w:t>
            </w:r>
          </w:p>
          <w:p>
            <w:pPr>
              <w:overflowPunct w:val="0"/>
              <w:topLinePunct/>
              <w:adjustRightInd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烈山镇（蔡里社区、凤凰社区、华家湖社区、烈山社区、榴园社区、青谷社区、土楼社区、土型社区、吴山口社区、新北社区、新南社区），宋疃镇（费寨村、和村社区、马场社区、马桥村、宋疃社区），杨庄街道(二郎庙社区、杨庄社区)</w:t>
            </w:r>
          </w:p>
          <w:p>
            <w:pPr>
              <w:overflowPunct w:val="0"/>
              <w:topLinePunct/>
              <w:adjustRightInd w:val="0"/>
              <w:snapToGrid w:val="0"/>
              <w:spacing w:line="300" w:lineRule="exact"/>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相山区:</w:t>
            </w:r>
          </w:p>
          <w:p>
            <w:pPr>
              <w:overflowPunct w:val="0"/>
              <w:topLinePunct/>
              <w:adjustRightInd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渠沟镇（安徽曦强乳业集团公司、大梁楼村、凤凰社区、河北社区、桥头村、土楼村、王店社区、相山经济开发区、小集社区、油坊村)，曲阳街道（滨河社区、黄里社区、刘庄社区、前黄社区、渠沟社区、下街社区），任圩街道（光明社区、红星社区、寇湾社区、李桥社区、任圩社区、余庄社区）</w:t>
            </w:r>
          </w:p>
        </w:tc>
        <w:tc>
          <w:tcPr>
            <w:tcW w:w="1088" w:type="dxa"/>
            <w:noWrap w:val="0"/>
            <w:vAlign w:val="center"/>
          </w:tcPr>
          <w:p>
            <w:pPr>
              <w:widowControl/>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6" w:hRule="atLeast"/>
          <w:jc w:val="center"/>
        </w:trPr>
        <w:tc>
          <w:tcPr>
            <w:tcW w:w="594" w:type="dxa"/>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二级地</w:t>
            </w:r>
          </w:p>
        </w:tc>
        <w:tc>
          <w:tcPr>
            <w:tcW w:w="7900" w:type="dxa"/>
            <w:noWrap w:val="0"/>
            <w:vAlign w:val="center"/>
          </w:tcPr>
          <w:p>
            <w:pPr>
              <w:overflowPunct w:val="0"/>
              <w:topLinePunct/>
              <w:adjustRightInd w:val="0"/>
              <w:snapToGrid w:val="0"/>
              <w:spacing w:line="300" w:lineRule="exact"/>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杜集区:</w:t>
            </w:r>
          </w:p>
          <w:p>
            <w:pPr>
              <w:overflowPunct w:val="0"/>
              <w:topLinePunct/>
              <w:adjustRightInd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矿山集街道（北山村），石台镇（白顶山村、窦庄村、童台社区、梧桐村、学田村），朔里镇（葛塘村、沈集村、朔南社区、徐楼村）</w:t>
            </w:r>
          </w:p>
          <w:p>
            <w:pPr>
              <w:overflowPunct w:val="0"/>
              <w:topLinePunct/>
              <w:adjustRightInd w:val="0"/>
              <w:snapToGrid w:val="0"/>
              <w:spacing w:line="300" w:lineRule="exact"/>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烈山区:</w:t>
            </w:r>
          </w:p>
          <w:p>
            <w:pPr>
              <w:overflowPunct w:val="0"/>
              <w:topLinePunct/>
              <w:adjustRightInd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古饶镇（半峭社区、草庙村、大何村、刁山村、谷山村、南园村、平山社区、秦楼村、山北村、山西村、双河村、太山村、土山社区、王店村、新村社区、殷楼社区、张庄村、赵集社区、赵楼社区），烈山镇（洪庄村、淮北矿业集团农林工贸公司蔡里林场、蒋疃社区、蒋疃社区与宿州市夹沟林场争议地、南庄村、宿州市夹沟林场），宋疃镇（东风村、古饶社区、淮北矿业集团农林工贸公司蔡里林场与黄营村争议地、黄营村、军王村、雷山社区、太山社区、新园村），杨庄街道（黄桥社区）</w:t>
            </w:r>
          </w:p>
          <w:p>
            <w:pPr>
              <w:overflowPunct w:val="0"/>
              <w:topLinePunct/>
              <w:adjustRightInd w:val="0"/>
              <w:snapToGrid w:val="0"/>
              <w:spacing w:line="300" w:lineRule="exact"/>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相山区:</w:t>
            </w:r>
          </w:p>
          <w:p>
            <w:pPr>
              <w:overflowPunct w:val="0"/>
              <w:topLinePunct/>
              <w:adjustRightInd w:val="0"/>
              <w:snapToGrid w:val="0"/>
              <w:spacing w:line="3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渠沟镇（郭王村、鲁楼村、瓦房村、徐集村、张集村、张楼村、钟楼村）</w:t>
            </w:r>
          </w:p>
        </w:tc>
        <w:tc>
          <w:tcPr>
            <w:tcW w:w="1088" w:type="dxa"/>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94" w:type="dxa"/>
            <w:gridSpan w:val="2"/>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合计</w:t>
            </w:r>
          </w:p>
        </w:tc>
        <w:tc>
          <w:tcPr>
            <w:tcW w:w="1088" w:type="dxa"/>
            <w:noWrap w:val="0"/>
            <w:vAlign w:val="center"/>
          </w:tcPr>
          <w:p>
            <w:pPr>
              <w:widowControl/>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43.58</w:t>
            </w:r>
          </w:p>
        </w:tc>
      </w:tr>
      <w:bookmarkEnd w:id="0"/>
    </w:tbl>
    <w:p>
      <w:pPr>
        <w:widowControl/>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br w:type="page"/>
      </w:r>
      <w:r>
        <w:rPr>
          <w:rFonts w:hint="default" w:ascii="Times New Roman" w:hAnsi="Times New Roman" w:eastAsia="方正仿宋_GBK" w:cs="Times New Roman"/>
          <w:color w:val="000000"/>
          <w:sz w:val="30"/>
          <w:szCs w:val="30"/>
        </w:rPr>
        <w:t>表2  淮北市市辖区林地基准地价土地级别分布范围表</w:t>
      </w:r>
    </w:p>
    <w:tbl>
      <w:tblPr>
        <w:tblStyle w:val="4"/>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7913"/>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61" w:type="dxa"/>
            <w:noWrap w:val="0"/>
            <w:vAlign w:val="center"/>
          </w:tcPr>
          <w:p>
            <w:pPr>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级别</w:t>
            </w:r>
          </w:p>
        </w:tc>
        <w:tc>
          <w:tcPr>
            <w:tcW w:w="7913" w:type="dxa"/>
            <w:noWrap w:val="0"/>
            <w:vAlign w:val="center"/>
          </w:tcPr>
          <w:p>
            <w:pPr>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分布</w:t>
            </w:r>
          </w:p>
        </w:tc>
        <w:tc>
          <w:tcPr>
            <w:tcW w:w="1015" w:type="dxa"/>
            <w:noWrap w:val="0"/>
            <w:vAlign w:val="center"/>
          </w:tcPr>
          <w:p>
            <w:pPr>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面积（km</w:t>
            </w:r>
            <w:r>
              <w:rPr>
                <w:rFonts w:hint="default" w:ascii="Times New Roman" w:hAnsi="Times New Roman" w:eastAsia="方正仿宋_GBK" w:cs="Times New Roman"/>
                <w:b/>
                <w:bCs/>
                <w:color w:val="000000"/>
                <w:sz w:val="24"/>
                <w:szCs w:val="24"/>
                <w:vertAlign w:val="superscript"/>
              </w:rPr>
              <w:t>2</w:t>
            </w:r>
            <w:r>
              <w:rPr>
                <w:rFonts w:hint="default" w:ascii="Times New Roman" w:hAnsi="Times New Roman" w:eastAsia="方正仿宋_GBK" w:cs="Times New Roman"/>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0" w:hRule="atLeast"/>
          <w:jc w:val="center"/>
        </w:trPr>
        <w:tc>
          <w:tcPr>
            <w:tcW w:w="561" w:type="dxa"/>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一级地</w:t>
            </w:r>
          </w:p>
        </w:tc>
        <w:tc>
          <w:tcPr>
            <w:tcW w:w="7913" w:type="dxa"/>
            <w:noWrap w:val="0"/>
            <w:vAlign w:val="center"/>
          </w:tcPr>
          <w:p>
            <w:pPr>
              <w:widowControl/>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杜集区：</w:t>
            </w:r>
          </w:p>
          <w:p>
            <w:pPr>
              <w:widowControl/>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高岳街道（高岳街道办事处、高岳社区、韩楼村、李洼村、双楼村、徐暨村），矿山集街道（杜集社区、矿山集街道办事处、六和社区、柿元社区），朔里镇（官庄村）</w:t>
            </w:r>
          </w:p>
          <w:p>
            <w:pPr>
              <w:widowControl/>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b/>
                <w:bCs/>
                <w:color w:val="000000"/>
                <w:sz w:val="24"/>
                <w:szCs w:val="24"/>
              </w:rPr>
              <w:t>烈山区</w:t>
            </w:r>
            <w:r>
              <w:rPr>
                <w:rFonts w:hint="default" w:ascii="Times New Roman" w:hAnsi="Times New Roman" w:eastAsia="方正仿宋_GBK" w:cs="Times New Roman"/>
                <w:color w:val="000000"/>
                <w:sz w:val="24"/>
                <w:szCs w:val="24"/>
              </w:rPr>
              <w:t>：</w:t>
            </w:r>
          </w:p>
          <w:p>
            <w:pPr>
              <w:widowControl/>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烈山镇（凤凰社区、洪庄村、烈山社区、土楼社区、吴山口社区、新北社区、新南社区），宋疃镇（东风村、费寨村、古饶社区、和村社区、雷山社区、马场社区、马桥村、宋疃社区），杨庄街道（二郎庙社区、黄桥社区、杨庄社区）</w:t>
            </w:r>
          </w:p>
          <w:p>
            <w:pPr>
              <w:widowControl/>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相山区：</w:t>
            </w:r>
          </w:p>
          <w:p>
            <w:pPr>
              <w:widowControl/>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东街道（机厂社区、民生社区），东山街道（东山社区、祥和社区、周庄社区），南黎街道（丁楼社区、锦华苑社区、李楼社区、学院社区），任圩街道（陈庄社区、代庄社区、光明社区、红星社区、寇湾社区、李桥社区、南湖社区、任圩社区、新星社区、余庄社区），三堤口街道（董庄社区、虎山北路社区、庆相桥社区、朱庄社区），西街道（洪山社区、利民社区、新华社区、鹰山社区）</w:t>
            </w:r>
          </w:p>
        </w:tc>
        <w:tc>
          <w:tcPr>
            <w:tcW w:w="1015" w:type="dxa"/>
            <w:noWrap w:val="0"/>
            <w:vAlign w:val="center"/>
          </w:tcPr>
          <w:p>
            <w:pPr>
              <w:widowControl/>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17.91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二级地</w:t>
            </w:r>
          </w:p>
        </w:tc>
        <w:tc>
          <w:tcPr>
            <w:tcW w:w="7913" w:type="dxa"/>
            <w:noWrap w:val="0"/>
            <w:vAlign w:val="center"/>
          </w:tcPr>
          <w:p>
            <w:pPr>
              <w:widowControl/>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杜集区：</w:t>
            </w:r>
          </w:p>
          <w:p>
            <w:pPr>
              <w:widowControl/>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段园镇（大庄村、毛场村、毛庄村、牛眠村、欧集村、祁村、袁庄村），高岳街道（任庄村、孙庄村），矿山集街道（北山村、南山村、徐庄社区、张院村），石台镇（白顶山村、窦庄村、刘庄村、石台村、童台社区、梧桐村、学田村），朔里镇（矬楼村、段庄村、葛塘村、罗里村、坡里村、沈集村、朔北社区、朔南社区、徐楼村）</w:t>
            </w:r>
          </w:p>
          <w:p>
            <w:pPr>
              <w:widowControl/>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烈山区：</w:t>
            </w:r>
          </w:p>
          <w:p>
            <w:pPr>
              <w:widowControl/>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古饶镇（半峭社区、草庙村、大何村、刁山村、谷山村、况楼社区、南园村、平山社区、秦楼村、山北村、山南村、山西村、双河村、太山村、土山社区、王店村、新村社区、殷楼社区、张庄村、赵集社区、赵楼社区），烈山镇（蔡里社区、华家湖社区、淮北矿业集团农林工贸公司蔡里林场、蒋疃社区、蒋疃社区与宿州市夹沟林场争议地、榴园社区、南庄村、青谷社区、土型社区、宿州市夹沟林场），宋疃镇（淮北矿业集团农林工贸公司蔡里林场与黄营村争议地、黄营村、军王村、太山社区、新园村）</w:t>
            </w:r>
          </w:p>
          <w:p>
            <w:pPr>
              <w:widowControl/>
              <w:jc w:val="lef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相山区：</w:t>
            </w:r>
          </w:p>
          <w:p>
            <w:pPr>
              <w:widowControl/>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渠沟镇（安徽曦强乳业集团公司、大梁楼村、凤凰社区、郭王村、河北社区、淮北市良种场、刘楼村、鲁楼村、孟庄村、桥头村、土楼村、瓦房村、王店社区、相山经济开发区、小集社区、徐集村、油坊村、张集村、张楼村、钟楼村），曲阳街道（滨河社区、黄里社区、惠民社区、前黄社区、渠沟社区、任井社区、下街社区），相山公园</w:t>
            </w:r>
          </w:p>
        </w:tc>
        <w:tc>
          <w:tcPr>
            <w:tcW w:w="1015" w:type="dxa"/>
            <w:noWrap w:val="0"/>
            <w:vAlign w:val="center"/>
          </w:tcPr>
          <w:p>
            <w:pPr>
              <w:widowControl/>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75.22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474" w:type="dxa"/>
            <w:gridSpan w:val="2"/>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合计</w:t>
            </w:r>
          </w:p>
        </w:tc>
        <w:tc>
          <w:tcPr>
            <w:tcW w:w="1015" w:type="dxa"/>
            <w:noWrap w:val="0"/>
            <w:vAlign w:val="center"/>
          </w:tcPr>
          <w:p>
            <w:pPr>
              <w:widowControl/>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93.13 </w:t>
            </w:r>
          </w:p>
        </w:tc>
      </w:tr>
    </w:tbl>
    <w:p>
      <w:pPr>
        <w:widowControl/>
        <w:spacing w:line="480" w:lineRule="exact"/>
        <w:jc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br w:type="page"/>
      </w:r>
      <w:r>
        <w:rPr>
          <w:rFonts w:hint="default" w:ascii="Times New Roman" w:hAnsi="Times New Roman" w:eastAsia="方正仿宋_GBK" w:cs="Times New Roman"/>
          <w:color w:val="000000"/>
          <w:sz w:val="30"/>
          <w:szCs w:val="30"/>
        </w:rPr>
        <w:t>表3  淮北市市辖区草地基准地价土地级别分布范围表</w:t>
      </w:r>
    </w:p>
    <w:tbl>
      <w:tblPr>
        <w:tblStyle w:val="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783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56" w:type="dxa"/>
            <w:noWrap w:val="0"/>
            <w:vAlign w:val="center"/>
          </w:tcPr>
          <w:p>
            <w:pPr>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级别</w:t>
            </w:r>
          </w:p>
        </w:tc>
        <w:tc>
          <w:tcPr>
            <w:tcW w:w="7839" w:type="dxa"/>
            <w:noWrap w:val="0"/>
            <w:vAlign w:val="center"/>
          </w:tcPr>
          <w:p>
            <w:pPr>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分布</w:t>
            </w:r>
          </w:p>
        </w:tc>
        <w:tc>
          <w:tcPr>
            <w:tcW w:w="1069" w:type="dxa"/>
            <w:noWrap w:val="0"/>
            <w:vAlign w:val="center"/>
          </w:tcPr>
          <w:p>
            <w:pPr>
              <w:jc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sz w:val="24"/>
                <w:szCs w:val="24"/>
              </w:rPr>
              <w:t>面积（km</w:t>
            </w:r>
            <w:r>
              <w:rPr>
                <w:rFonts w:hint="default" w:ascii="Times New Roman" w:hAnsi="Times New Roman" w:eastAsia="方正仿宋_GBK" w:cs="Times New Roman"/>
                <w:b/>
                <w:bCs/>
                <w:color w:val="000000"/>
                <w:sz w:val="24"/>
                <w:szCs w:val="24"/>
                <w:vertAlign w:val="superscript"/>
              </w:rPr>
              <w:t>2</w:t>
            </w:r>
            <w:r>
              <w:rPr>
                <w:rFonts w:hint="default" w:ascii="Times New Roman" w:hAnsi="Times New Roman" w:eastAsia="方正仿宋_GBK" w:cs="Times New Roman"/>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jc w:val="center"/>
        </w:trPr>
        <w:tc>
          <w:tcPr>
            <w:tcW w:w="556" w:type="dxa"/>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一级地</w:t>
            </w:r>
          </w:p>
        </w:tc>
        <w:tc>
          <w:tcPr>
            <w:tcW w:w="7839" w:type="dxa"/>
            <w:noWrap w:val="0"/>
            <w:vAlign w:val="center"/>
          </w:tcPr>
          <w:p>
            <w:pPr>
              <w:widowControl/>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杜集区：</w:t>
            </w:r>
          </w:p>
          <w:p>
            <w:pPr>
              <w:widowControl/>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高岳街道（高岳街道办事处、韩楼村），矿山集街道（杜集社区、矿山集街道办事处、六和社区、柿元社区）</w:t>
            </w:r>
          </w:p>
          <w:p>
            <w:pPr>
              <w:widowControl/>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烈山区：</w:t>
            </w:r>
          </w:p>
          <w:p>
            <w:pPr>
              <w:widowControl/>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烈山镇（洪庄村、烈山社区、土楼社区），杨庄街道（二郎庙社区、杨庄社区）</w:t>
            </w:r>
          </w:p>
          <w:p>
            <w:pPr>
              <w:widowControl/>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相山区：</w:t>
            </w:r>
          </w:p>
          <w:p>
            <w:pPr>
              <w:widowControl/>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东山街道（方顶社区、马庄社区、周庄社区、祥和社区），南黎街道（丁楼社区、锦华苑社区、学院社区），渠沟镇（安徽曦强乳业集团公司），曲阳街道（黄里社区、刘庄社区、前黄社区、渠沟社区、下街社区），任圩街道（杈园社区、陈庄社区、代庄社区、红星社区、寇湾社区、李桥社区、南湖社区、任圩社区、新星社区、余庄社区、园林社区），三堤口街道（纺织社区、虎山北路社区、朱庄社区），西街道（洪山社区、利民社区、鹰山社区），相山公园</w:t>
            </w:r>
          </w:p>
        </w:tc>
        <w:tc>
          <w:tcPr>
            <w:tcW w:w="1069" w:type="dxa"/>
            <w:noWrap w:val="0"/>
            <w:vAlign w:val="center"/>
          </w:tcPr>
          <w:p>
            <w:pPr>
              <w:widowControl/>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2" w:hRule="atLeast"/>
          <w:jc w:val="center"/>
        </w:trPr>
        <w:tc>
          <w:tcPr>
            <w:tcW w:w="556" w:type="dxa"/>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二级地</w:t>
            </w:r>
          </w:p>
        </w:tc>
        <w:tc>
          <w:tcPr>
            <w:tcW w:w="7839" w:type="dxa"/>
            <w:noWrap w:val="0"/>
            <w:vAlign w:val="center"/>
          </w:tcPr>
          <w:p>
            <w:pPr>
              <w:widowControl/>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b/>
                <w:color w:val="000000"/>
                <w:sz w:val="24"/>
                <w:szCs w:val="24"/>
              </w:rPr>
              <w:t>杜集区：</w:t>
            </w:r>
          </w:p>
          <w:p>
            <w:pPr>
              <w:widowControl/>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段园镇（大庄村、毛场村、毛庄村、牛眠村、祁村、袁庄村），高岳街道（李洼村、任庄村、双楼村、孙庄村、徐暨村），矿山集街道（北山村、南山村、张院村），石台镇（白顶山村、窦庄村、刘庄村、石台村、童台社区、梧桐村），朔里镇（矬楼村、段庄村、葛塘村、官庄村、罗里村、坡里村、沈集村、朔北社区、朔南社区、徐楼村）</w:t>
            </w:r>
          </w:p>
          <w:p>
            <w:pPr>
              <w:widowControl/>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b/>
                <w:color w:val="000000"/>
                <w:sz w:val="24"/>
                <w:szCs w:val="24"/>
              </w:rPr>
              <w:t>烈山区：</w:t>
            </w:r>
          </w:p>
          <w:p>
            <w:pPr>
              <w:widowControl/>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古饶镇（半峭社区、大何村、刁山村、况楼社区、南园村、平山社区、秦楼村、山北村、山西村、太山村、土山社区、王店村、新村社区、张庄村、赵集社区、赵楼社区），烈山镇（蔡里社区、凤凰社区、华家湖社区、淮北矿业集团农林工贸公司蔡里林场、蒋疃社区、蒋疃社区与宿州市夹沟林场争议地、榴园社区、南庄村、青谷社区、土型社区、吴山口社区、新北社区、新南社区），宋疃镇（东风村、费寨村、古饶社区、和村社区、淮北矿业集团农林工贸公司蔡里林场与黄营村争议地、黄营村、军王村、雷山社区、马场社区、马桥村、宋疃社区、太山社区、新园村），杨庄街道（黄桥社区）</w:t>
            </w:r>
          </w:p>
          <w:p>
            <w:pPr>
              <w:widowControl/>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相山区：</w:t>
            </w:r>
          </w:p>
          <w:p>
            <w:pPr>
              <w:widowControl/>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渠沟镇（大梁楼村、凤凰社区、郭王村、河北社区、淮北市良种场、刘楼村、鲁楼村、孟庄村、桥头村、土楼村、瓦房村、王店社区、相山经济开发区、小集社区、油坊村、张集村、张楼村、钟楼村）</w:t>
            </w:r>
          </w:p>
        </w:tc>
        <w:tc>
          <w:tcPr>
            <w:tcW w:w="1069" w:type="dxa"/>
            <w:noWrap w:val="0"/>
            <w:vAlign w:val="center"/>
          </w:tcPr>
          <w:p>
            <w:pPr>
              <w:widowControl/>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395" w:type="dxa"/>
            <w:gridSpan w:val="2"/>
            <w:noWrap w:val="0"/>
            <w:vAlign w:val="center"/>
          </w:tcPr>
          <w:p>
            <w:pPr>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合计</w:t>
            </w:r>
          </w:p>
        </w:tc>
        <w:tc>
          <w:tcPr>
            <w:tcW w:w="1069" w:type="dxa"/>
            <w:noWrap w:val="0"/>
            <w:vAlign w:val="center"/>
          </w:tcPr>
          <w:p>
            <w:pPr>
              <w:widowControl/>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13.13 </w:t>
            </w:r>
          </w:p>
        </w:tc>
      </w:tr>
    </w:tbl>
    <w:p>
      <w:pPr>
        <w:rPr>
          <w:rFonts w:hint="default" w:ascii="Times New Roman" w:hAnsi="Times New Roman" w:eastAsia="方正仿宋_GBK"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269E6B2E"/>
    <w:rsid w:val="269E6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Table Paragraph"/>
    <w:basedOn w:val="1"/>
    <w:qFormat/>
    <w:uiPriority w:val="0"/>
    <w:pPr>
      <w:autoSpaceDE w:val="0"/>
      <w:autoSpaceDN w:val="0"/>
      <w:jc w:val="center"/>
    </w:pPr>
    <w:rPr>
      <w:rFonts w:ascii="仿宋" w:hAnsi="仿宋" w:eastAsia="仿宋" w:cs="宋体"/>
      <w:kern w:val="0"/>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2</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2024-04-02T09:24:00Z</dcterms:created>
  <dc:creator>风之诺言</dc:creator>
  <cp:lastModifiedBy>风之诺言</cp:lastModifiedBy>
  <dcterms:modified xsi:type="dcterms:W3CDTF">2024-04-02T09:28:04Z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E0804A20B9E74DCC9D0AB9233317D77B_11</vt:lpwstr>
  </property>
</Properties>
</file>