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60" w:lineRule="exact"/>
        <w:textAlignment w:val="auto"/>
        <w:rPr>
          <w:rFonts w:ascii="TimesNewRoman" w:hAnsi="TimesNewRoman" w:eastAsia="黑体" w:cs="TimesNewRoman"/>
          <w:szCs w:val="32"/>
          <w:highlight w:val="none"/>
        </w:rPr>
      </w:pPr>
      <w:r>
        <w:rPr>
          <w:rFonts w:hint="eastAsia" w:ascii="TimesNewRoman" w:hAnsi="TimesNewRoman" w:eastAsia="黑体" w:cs="TimesNewRoman"/>
          <w:szCs w:val="32"/>
          <w:highlight w:val="none"/>
        </w:rPr>
        <w:t>附件1-1</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ascii="TimesNewRoman" w:hAnsi="TimesNewRoman" w:eastAsia="华文中宋" w:cs="TimesNewRoman"/>
          <w:b/>
          <w:sz w:val="44"/>
          <w:szCs w:val="44"/>
          <w:highlight w:val="none"/>
        </w:rPr>
      </w:pPr>
      <w:r>
        <w:rPr>
          <w:rFonts w:hint="eastAsia" w:ascii="TimesNewRoman" w:hAnsi="TimesNewRoman" w:eastAsia="华文中宋" w:cs="TimesNewRoman"/>
          <w:b/>
          <w:sz w:val="44"/>
          <w:szCs w:val="44"/>
          <w:highlight w:val="none"/>
        </w:rPr>
        <w:t>淮北市机关事务管理中心2024年</w:t>
      </w:r>
    </w:p>
    <w:p>
      <w:pPr>
        <w:keepNext w:val="0"/>
        <w:keepLines w:val="0"/>
        <w:pageBreakBefore w:val="0"/>
        <w:kinsoku/>
        <w:wordWrap/>
        <w:overflowPunct/>
        <w:topLinePunct w:val="0"/>
        <w:autoSpaceDE/>
        <w:autoSpaceDN/>
        <w:bidi w:val="0"/>
        <w:spacing w:beforeAutospacing="0" w:afterAutospacing="0" w:line="560" w:lineRule="exact"/>
        <w:jc w:val="center"/>
        <w:textAlignment w:val="auto"/>
        <w:rPr>
          <w:rFonts w:ascii="TimesNewRoman" w:hAnsi="TimesNewRoman" w:eastAsia="华文中宋" w:cs="TimesNewRoman"/>
          <w:b/>
          <w:sz w:val="44"/>
          <w:szCs w:val="44"/>
          <w:highlight w:val="none"/>
        </w:rPr>
      </w:pPr>
      <w:r>
        <w:rPr>
          <w:rFonts w:hint="eastAsia" w:ascii="TimesNewRoman" w:hAnsi="TimesNewRoman" w:eastAsia="华文中宋" w:cs="TimesNewRoman"/>
          <w:b/>
          <w:sz w:val="44"/>
          <w:szCs w:val="44"/>
          <w:highlight w:val="none"/>
        </w:rPr>
        <w:t>部门预算</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44"/>
          <w:szCs w:val="44"/>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44"/>
          <w:szCs w:val="44"/>
          <w:highlight w:val="none"/>
        </w:rPr>
      </w:pPr>
      <w:r>
        <w:rPr>
          <w:rFonts w:hint="eastAsia" w:ascii="TimesNewRoman" w:hAnsi="TimesNewRoman" w:eastAsia="黑体" w:cs="TimesNewRoman"/>
          <w:bCs/>
          <w:sz w:val="44"/>
          <w:szCs w:val="44"/>
          <w:highlight w:val="none"/>
        </w:rPr>
        <w:t>2024年</w:t>
      </w:r>
      <w:r>
        <w:rPr>
          <w:rFonts w:hint="eastAsia" w:ascii="TimesNewRoman" w:hAnsi="TimesNewRoman" w:eastAsia="黑体" w:cs="TimesNewRoman"/>
          <w:bCs/>
          <w:sz w:val="44"/>
          <w:szCs w:val="44"/>
          <w:highlight w:val="none"/>
          <w:lang w:val="en-US" w:eastAsia="zh-CN"/>
        </w:rPr>
        <w:t>2</w:t>
      </w:r>
      <w:r>
        <w:rPr>
          <w:rFonts w:hint="eastAsia" w:ascii="TimesNewRoman" w:hAnsi="TimesNewRoman" w:eastAsia="黑体" w:cs="TimesNewRoman"/>
          <w:bCs/>
          <w:sz w:val="44"/>
          <w:szCs w:val="44"/>
          <w:highlight w:val="none"/>
        </w:rPr>
        <w:t>月</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44"/>
          <w:szCs w:val="44"/>
          <w:highlight w:val="none"/>
        </w:rPr>
      </w:pPr>
      <w:r>
        <w:rPr>
          <w:rFonts w:hint="eastAsia" w:ascii="TimesNewRoman" w:hAnsi="TimesNewRoman" w:eastAsia="黑体" w:cs="TimesNewRoman"/>
          <w:bCs/>
          <w:sz w:val="44"/>
          <w:szCs w:val="44"/>
          <w:highlight w:val="none"/>
        </w:rPr>
        <w:t>目  录</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 xml:space="preserve">第一部分 </w:t>
      </w:r>
      <w:r>
        <w:rPr>
          <w:rFonts w:hint="eastAsia" w:ascii="TimesNewRoman" w:hAnsi="TimesNewRoman" w:eastAsia="仿宋_GB2312" w:cs="TimesNewRoman"/>
          <w:b/>
          <w:sz w:val="32"/>
          <w:szCs w:val="32"/>
          <w:highlight w:val="none"/>
          <w:lang w:eastAsia="zh-CN"/>
        </w:rPr>
        <w:t>部门</w:t>
      </w:r>
      <w:r>
        <w:rPr>
          <w:rFonts w:hint="eastAsia" w:ascii="TimesNewRoman" w:hAnsi="TimesNewRoman" w:eastAsia="仿宋_GB2312" w:cs="TimesNewRoman"/>
          <w:b/>
          <w:sz w:val="32"/>
          <w:szCs w:val="32"/>
          <w:highlight w:val="none"/>
        </w:rPr>
        <w:t>概况</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1、主要职责</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2、</w:t>
      </w:r>
      <w:r>
        <w:rPr>
          <w:rFonts w:hint="eastAsia" w:ascii="TimesNewRoman" w:hAnsi="TimesNewRoman" w:eastAsia="仿宋_GB2312" w:cs="TimesNewRoman"/>
          <w:bCs/>
          <w:sz w:val="32"/>
          <w:szCs w:val="32"/>
          <w:highlight w:val="none"/>
          <w:lang w:eastAsia="zh-CN"/>
        </w:rPr>
        <w:t>部门</w:t>
      </w:r>
      <w:r>
        <w:rPr>
          <w:rFonts w:hint="eastAsia" w:ascii="TimesNewRoman" w:hAnsi="TimesNewRoman" w:eastAsia="仿宋_GB2312" w:cs="TimesNewRoman"/>
          <w:bCs/>
          <w:sz w:val="32"/>
          <w:szCs w:val="32"/>
          <w:highlight w:val="none"/>
        </w:rPr>
        <w:t>预算构成</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3 、2024年度主要工作任务</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第二部分 2024年</w:t>
      </w:r>
      <w:r>
        <w:rPr>
          <w:rFonts w:hint="eastAsia" w:ascii="TimesNewRoman" w:hAnsi="TimesNewRoman" w:eastAsia="仿宋_GB2312" w:cs="TimesNewRoman"/>
          <w:b/>
          <w:sz w:val="32"/>
          <w:szCs w:val="32"/>
          <w:highlight w:val="none"/>
          <w:lang w:eastAsia="zh-CN"/>
        </w:rPr>
        <w:t>部门</w:t>
      </w:r>
      <w:r>
        <w:rPr>
          <w:rFonts w:hint="eastAsia" w:ascii="TimesNewRoman" w:hAnsi="TimesNewRoman" w:eastAsia="仿宋_GB2312" w:cs="TimesNewRoman"/>
          <w:b/>
          <w:sz w:val="32"/>
          <w:szCs w:val="32"/>
          <w:highlight w:val="none"/>
        </w:rPr>
        <w:t>预算表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w:t>
      </w:r>
      <w:r>
        <w:rPr>
          <w:rFonts w:hint="eastAsia" w:ascii="TimesNewRoman" w:hAnsi="TimesNewRoman" w:eastAsia="仿宋_GB2312" w:cs="TimesNewRoman"/>
          <w:bCs/>
          <w:color w:val="auto"/>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2024年收支总表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2、</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2024年收入总表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3、</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2024年支出总表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4、</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2024年财政拨款收支总表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5、</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2024年一般公共预算支出表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6、</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2024年一般公共预算基本支出表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7、</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2024年政府性基金预算支出表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8、</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2024年国有资本经营预算支出表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9、</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2024年项目支出表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10、</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2024年政府采购支出表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hint="eastAsia"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11、</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2024年政府购买服务支出表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12、</w:t>
      </w:r>
      <w:r>
        <w:rPr>
          <w:rFonts w:hint="eastAsia" w:ascii="TimesNewRoman" w:hAnsi="TimesNewRoman" w:eastAsia="仿宋_GB2312" w:cs="TimesNewRoman"/>
          <w:bCs/>
          <w:sz w:val="32"/>
          <w:szCs w:val="32"/>
          <w:highlight w:val="none"/>
          <w:lang w:eastAsia="zh-CN"/>
        </w:rPr>
        <w:t>淮北市机关事务管理中心</w:t>
      </w:r>
      <w:r>
        <w:rPr>
          <w:rFonts w:ascii="TimesNewRoman" w:hAnsi="TimesNewRoman" w:eastAsia="仿宋_GB2312" w:cs="TimesNewRoman"/>
          <w:bCs/>
          <w:sz w:val="32"/>
          <w:szCs w:val="32"/>
          <w:highlight w:val="none"/>
        </w:rPr>
        <w:t>2024年通用资产配置支出表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第三部分 2024年</w:t>
      </w:r>
      <w:r>
        <w:rPr>
          <w:rFonts w:hint="eastAsia" w:ascii="TimesNewRoman" w:hAnsi="TimesNewRoman" w:eastAsia="仿宋_GB2312" w:cs="TimesNewRoman"/>
          <w:b/>
          <w:sz w:val="32"/>
          <w:szCs w:val="32"/>
          <w:highlight w:val="none"/>
          <w:lang w:eastAsia="zh-CN"/>
        </w:rPr>
        <w:t>部门</w:t>
      </w:r>
      <w:r>
        <w:rPr>
          <w:rFonts w:hint="eastAsia" w:ascii="TimesNewRoman" w:hAnsi="TimesNewRoman" w:eastAsia="仿宋_GB2312" w:cs="TimesNewRoman"/>
          <w:b/>
          <w:sz w:val="32"/>
          <w:szCs w:val="32"/>
          <w:highlight w:val="none"/>
        </w:rPr>
        <w:t>预算情况说明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1、关于2024年收支总表的说明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2、关于2024年收入总表的说明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3、关于2024年支出总表的说明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4、关于2024年财政拨款收支总表的说明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5、关于2024年一般公共预算支出表的说明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6、关于2024年一般公共预算基本支出表的说明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7、关于2024年政府性基金预算支出表的说明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8、关于2024年国有资本经营预算支出表的说明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9、关于2024年项目支出表的说明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10、关于2024年政府采购支出表的说明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11、关于2024年政府购买服务支出表的说明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12、其他重要事项情况说明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第四部分 名词解释</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第五部分 其它公开事项</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1、</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2024年部门预算纳入绩效考评项目表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2、</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bCs/>
          <w:sz w:val="32"/>
          <w:szCs w:val="32"/>
          <w:highlight w:val="none"/>
        </w:rPr>
        <w:t>2024年部门预算专项资金管理清单（专栏公开）</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800" w:firstLineChars="250"/>
        <w:textAlignment w:val="auto"/>
        <w:rPr>
          <w:rFonts w:ascii="TimesNewRoman" w:hAnsi="TimesNewRoman" w:eastAsia="仿宋_GB2312" w:cs="TimesNewRoman"/>
          <w:bCs/>
          <w:sz w:val="32"/>
          <w:szCs w:val="32"/>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36"/>
          <w:szCs w:val="36"/>
          <w:highlight w:val="none"/>
        </w:rPr>
      </w:pPr>
      <w:r>
        <w:rPr>
          <w:rFonts w:hint="eastAsia" w:ascii="TimesNewRoman" w:hAnsi="TimesNewRoman" w:eastAsia="黑体" w:cs="TimesNewRoman"/>
          <w:bCs/>
          <w:sz w:val="36"/>
          <w:szCs w:val="36"/>
          <w:highlight w:val="none"/>
        </w:rPr>
        <w:t xml:space="preserve">第一部分 </w:t>
      </w:r>
      <w:r>
        <w:rPr>
          <w:rFonts w:hint="eastAsia" w:ascii="TimesNewRoman" w:hAnsi="TimesNewRoman" w:eastAsia="黑体" w:cs="TimesNewRoman"/>
          <w:bCs/>
          <w:sz w:val="36"/>
          <w:szCs w:val="36"/>
          <w:highlight w:val="none"/>
          <w:lang w:eastAsia="zh-CN"/>
        </w:rPr>
        <w:t>部门</w:t>
      </w:r>
      <w:r>
        <w:rPr>
          <w:rFonts w:hint="eastAsia" w:ascii="TimesNewRoman" w:hAnsi="TimesNewRoman" w:eastAsia="黑体" w:cs="TimesNewRoman"/>
          <w:bCs/>
          <w:sz w:val="36"/>
          <w:szCs w:val="36"/>
          <w:highlight w:val="none"/>
        </w:rPr>
        <w:t>概况</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一、主要职责</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（1）负责市机关事务的管理、保障、服务工作；拟订市机关事务工作的相关政策、规划和规章制度并组织实施。</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（2）组织拟订全市机关事务相关规定并监督实施；指导、督促市直机关、县区机关事务工作。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（3）负责市党政机关国内公务接待管理工作，指导、监督、考核市直和县区公务接待工作。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（4）负责市直机关公务用车管理、服务、保障工作。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（5）负责市直机关办公用房管理工作；负责市直机关办公用房的调配使用和修缮管理工作。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（6）负责市行政中心、原市委大院和招商大厦等的后勤服务保障以及安全保卫和综合治理工作。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（7）负责市委、市政府和市直单位有关全市性会议的服务保障工作。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（8）负责市机关食堂的建设和管理工作。</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二、</w:t>
      </w:r>
      <w:r>
        <w:rPr>
          <w:rFonts w:hint="eastAsia" w:ascii="TimesNewRoman" w:hAnsi="TimesNewRoman" w:eastAsia="黑体" w:cs="TimesNewRoman"/>
          <w:bCs/>
          <w:sz w:val="32"/>
          <w:szCs w:val="32"/>
          <w:highlight w:val="none"/>
          <w:lang w:eastAsia="zh-CN"/>
        </w:rPr>
        <w:t>部门</w:t>
      </w:r>
      <w:r>
        <w:rPr>
          <w:rFonts w:hint="eastAsia" w:ascii="TimesNewRoman" w:hAnsi="TimesNewRoman" w:eastAsia="黑体" w:cs="TimesNewRoman"/>
          <w:bCs/>
          <w:sz w:val="32"/>
          <w:szCs w:val="32"/>
          <w:highlight w:val="none"/>
        </w:rPr>
        <w:t>预算构成</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sz w:val="32"/>
          <w:szCs w:val="32"/>
          <w:highlight w:val="none"/>
        </w:rPr>
        <w:t>从预算单位构成看，</w:t>
      </w:r>
      <w:r>
        <w:rPr>
          <w:rFonts w:hint="eastAsia" w:ascii="TimesNewRoman" w:hAnsi="TimesNewRoman" w:eastAsia="仿宋_GB2312" w:cs="TimesNewRoman"/>
          <w:bCs/>
          <w:sz w:val="32"/>
          <w:szCs w:val="32"/>
          <w:highlight w:val="none"/>
          <w:lang w:eastAsia="zh-CN"/>
        </w:rPr>
        <w:t>淮北市机关事务管理中心</w:t>
      </w:r>
      <w:r>
        <w:rPr>
          <w:rFonts w:hint="eastAsia" w:ascii="TimesNewRoman" w:hAnsi="TimesNewRoman" w:eastAsia="仿宋_GB2312" w:cs="TimesNewRoman"/>
          <w:sz w:val="32"/>
          <w:szCs w:val="32"/>
          <w:highlight w:val="none"/>
        </w:rPr>
        <w:t>2024年度部门预算仅包括</w:t>
      </w:r>
      <w:r>
        <w:rPr>
          <w:rFonts w:hint="eastAsia" w:ascii="TimesNewRoman" w:hAnsi="TimesNewRoman" w:eastAsia="仿宋_GB2312" w:cs="TimesNewRoman"/>
          <w:color w:val="auto"/>
          <w:sz w:val="32"/>
          <w:szCs w:val="32"/>
          <w:highlight w:val="none"/>
        </w:rPr>
        <w:t>淮北市机关事务管理中心本级预算</w:t>
      </w:r>
      <w:r>
        <w:rPr>
          <w:rFonts w:hint="eastAsia" w:ascii="TimesNewRoman" w:hAnsi="TimesNewRoman" w:eastAsia="仿宋_GB2312" w:cs="TimesNewRoman"/>
          <w:sz w:val="32"/>
          <w:szCs w:val="32"/>
          <w:highlight w:val="none"/>
        </w:rPr>
        <w:t>，无其他下属单位预算。</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NewRoman" w:hAnsi="TimesNewRoman" w:eastAsia="黑体" w:cs="TimesNewRoman"/>
          <w:bCs/>
          <w:color w:val="auto"/>
          <w:sz w:val="36"/>
          <w:szCs w:val="36"/>
          <w:highlight w:val="none"/>
        </w:rPr>
      </w:pPr>
      <w:r>
        <w:rPr>
          <w:rFonts w:hint="eastAsia" w:ascii="TimesNewRoman" w:hAnsi="TimesNewRoman" w:eastAsia="黑体" w:cs="TimesNewRoman"/>
          <w:bCs/>
          <w:sz w:val="32"/>
          <w:szCs w:val="32"/>
          <w:highlight w:val="none"/>
        </w:rPr>
        <w:t>三、2024年度主要工作任务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640" w:firstLineChars="200"/>
        <w:textAlignment w:val="auto"/>
        <w:rPr>
          <w:rStyle w:val="8"/>
          <w:rFonts w:hint="eastAsia" w:ascii="CESI仿宋-GB2312" w:hAnsi="CESI仿宋-GB2312" w:eastAsia="CESI仿宋-GB2312" w:cs="CESI仿宋-GB2312"/>
          <w:b w:val="0"/>
          <w:bCs w:val="0"/>
          <w:i w:val="0"/>
          <w:caps w:val="0"/>
          <w:color w:val="auto"/>
          <w:spacing w:val="0"/>
          <w:sz w:val="32"/>
          <w:szCs w:val="32"/>
          <w:highlight w:val="none"/>
          <w:shd w:val="clear" w:color="auto" w:fill="FFFFFF"/>
          <w:lang w:eastAsia="zh-CN"/>
        </w:rPr>
      </w:pPr>
      <w:r>
        <w:rPr>
          <w:rStyle w:val="8"/>
          <w:rFonts w:hint="eastAsia" w:ascii="CESI仿宋-GB2312" w:hAnsi="CESI仿宋-GB2312" w:eastAsia="CESI仿宋-GB2312" w:cs="CESI仿宋-GB2312"/>
          <w:b w:val="0"/>
          <w:bCs w:val="0"/>
          <w:i w:val="0"/>
          <w:caps w:val="0"/>
          <w:color w:val="auto"/>
          <w:spacing w:val="0"/>
          <w:sz w:val="32"/>
          <w:szCs w:val="32"/>
          <w:highlight w:val="none"/>
          <w:shd w:val="clear" w:color="auto" w:fill="FFFFFF"/>
        </w:rPr>
        <w:t>坚持政治引领，扎实推动</w:t>
      </w:r>
      <w:r>
        <w:rPr>
          <w:rStyle w:val="8"/>
          <w:rFonts w:hint="eastAsia" w:ascii="CESI仿宋-GB2312" w:hAnsi="CESI仿宋-GB2312" w:eastAsia="CESI仿宋-GB2312" w:cs="CESI仿宋-GB2312"/>
          <w:b w:val="0"/>
          <w:bCs w:val="0"/>
          <w:i w:val="0"/>
          <w:caps w:val="0"/>
          <w:color w:val="auto"/>
          <w:spacing w:val="0"/>
          <w:sz w:val="32"/>
          <w:szCs w:val="32"/>
          <w:highlight w:val="none"/>
          <w:shd w:val="clear" w:color="auto" w:fill="FFFFFF"/>
          <w:lang w:eastAsia="zh-CN"/>
        </w:rPr>
        <w:t>市委市政府</w:t>
      </w:r>
      <w:r>
        <w:rPr>
          <w:rStyle w:val="8"/>
          <w:rFonts w:hint="eastAsia" w:ascii="CESI仿宋-GB2312" w:hAnsi="CESI仿宋-GB2312" w:eastAsia="CESI仿宋-GB2312" w:cs="CESI仿宋-GB2312"/>
          <w:b w:val="0"/>
          <w:bCs w:val="0"/>
          <w:i w:val="0"/>
          <w:caps w:val="0"/>
          <w:color w:val="auto"/>
          <w:spacing w:val="0"/>
          <w:sz w:val="32"/>
          <w:szCs w:val="32"/>
          <w:highlight w:val="none"/>
          <w:shd w:val="clear" w:color="auto" w:fill="FFFFFF"/>
        </w:rPr>
        <w:t>决策部署落地落实</w:t>
      </w:r>
      <w:r>
        <w:rPr>
          <w:rStyle w:val="8"/>
          <w:rFonts w:hint="eastAsia" w:ascii="CESI仿宋-GB2312" w:hAnsi="CESI仿宋-GB2312" w:eastAsia="CESI仿宋-GB2312" w:cs="CESI仿宋-GB2312"/>
          <w:b w:val="0"/>
          <w:bCs w:val="0"/>
          <w:i w:val="0"/>
          <w:caps w:val="0"/>
          <w:color w:val="auto"/>
          <w:spacing w:val="0"/>
          <w:sz w:val="32"/>
          <w:szCs w:val="32"/>
          <w:highlight w:val="none"/>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CESI仿宋-GB2312" w:hAnsi="CESI仿宋-GB2312" w:eastAsia="CESI仿宋-GB2312" w:cs="CESI仿宋-GB2312"/>
          <w:b w:val="0"/>
          <w:bCs w:val="0"/>
          <w:color w:val="auto"/>
          <w:sz w:val="32"/>
          <w:szCs w:val="32"/>
          <w:highlight w:val="none"/>
          <w:lang w:val="en-US" w:eastAsia="zh-CN"/>
        </w:rPr>
      </w:pPr>
      <w:r>
        <w:rPr>
          <w:rFonts w:hint="eastAsia" w:ascii="CESI仿宋-GB2312" w:hAnsi="CESI仿宋-GB2312" w:eastAsia="CESI仿宋-GB2312" w:cs="CESI仿宋-GB2312"/>
          <w:b w:val="0"/>
          <w:bCs w:val="0"/>
          <w:color w:val="auto"/>
          <w:sz w:val="32"/>
          <w:szCs w:val="32"/>
          <w:highlight w:val="none"/>
          <w:lang w:val="en-US" w:eastAsia="zh-CN"/>
        </w:rPr>
        <w:t>2、坚持精益求精，着力提升服务保障质效。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CESI仿宋-GB2312" w:hAnsi="CESI仿宋-GB2312" w:eastAsia="CESI仿宋-GB2312" w:cs="CESI仿宋-GB2312"/>
          <w:b w:val="0"/>
          <w:bCs w:val="0"/>
          <w:highlight w:val="none"/>
          <w:lang w:val="en-US" w:eastAsia="zh-CN"/>
        </w:rPr>
      </w:pPr>
      <w:r>
        <w:rPr>
          <w:rFonts w:hint="eastAsia" w:ascii="CESI仿宋-GB2312" w:hAnsi="CESI仿宋-GB2312" w:eastAsia="CESI仿宋-GB2312" w:cs="CESI仿宋-GB2312"/>
          <w:b w:val="0"/>
          <w:bCs w:val="0"/>
          <w:color w:val="auto"/>
          <w:sz w:val="32"/>
          <w:szCs w:val="32"/>
          <w:highlight w:val="none"/>
          <w:lang w:val="en-US" w:eastAsia="zh-CN"/>
        </w:rPr>
        <w:t>3、坚持科学规范，不断提高机关事务管理效能。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sz w:val="32"/>
          <w:szCs w:val="32"/>
          <w:highlight w:val="none"/>
          <w:lang w:val="en-US" w:eastAsia="zh-CN"/>
        </w:rPr>
      </w:pPr>
      <w:r>
        <w:rPr>
          <w:rFonts w:hint="eastAsia" w:ascii="CESI仿宋-GB2312" w:hAnsi="CESI仿宋-GB2312" w:eastAsia="CESI仿宋-GB2312" w:cs="CESI仿宋-GB2312"/>
          <w:b w:val="0"/>
          <w:bCs w:val="0"/>
          <w:color w:val="auto"/>
          <w:sz w:val="32"/>
          <w:szCs w:val="32"/>
          <w:highlight w:val="none"/>
          <w:lang w:val="en-US" w:eastAsia="zh-CN"/>
        </w:rPr>
        <w:t>4、坚持自身建设，积蓄机关事务高质量发展力量</w:t>
      </w:r>
      <w:r>
        <w:rPr>
          <w:rFonts w:hint="eastAsia" w:ascii="楷体_GB2312" w:hAnsi="楷体_GB2312" w:eastAsia="楷体_GB2312" w:cs="楷体_GB2312"/>
          <w:b/>
          <w:bCs/>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textAlignment w:val="auto"/>
        <w:rPr>
          <w:rFonts w:hint="eastAsia" w:ascii="TimesNewRoman" w:hAnsi="TimesNewRoman" w:eastAsia="黑体" w:cs="TimesNewRoman"/>
          <w:bCs/>
          <w:color w:val="auto"/>
          <w:sz w:val="36"/>
          <w:szCs w:val="36"/>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36"/>
          <w:szCs w:val="36"/>
          <w:highlight w:val="none"/>
        </w:rPr>
      </w:pPr>
      <w:r>
        <w:rPr>
          <w:rFonts w:hint="eastAsia" w:ascii="TimesNewRoman" w:hAnsi="TimesNewRoman" w:eastAsia="黑体" w:cs="TimesNewRoman"/>
          <w:bCs/>
          <w:sz w:val="36"/>
          <w:szCs w:val="36"/>
          <w:highlight w:val="none"/>
        </w:rPr>
        <w:t>第二部分 2024年</w:t>
      </w:r>
      <w:r>
        <w:rPr>
          <w:rFonts w:hint="eastAsia" w:ascii="TimesNewRoman" w:hAnsi="TimesNewRoman" w:eastAsia="黑体" w:cs="TimesNewRoman"/>
          <w:bCs/>
          <w:sz w:val="36"/>
          <w:szCs w:val="36"/>
          <w:highlight w:val="none"/>
          <w:lang w:eastAsia="zh-CN"/>
        </w:rPr>
        <w:t>部门</w:t>
      </w:r>
      <w:r>
        <w:rPr>
          <w:rFonts w:hint="eastAsia" w:ascii="TimesNewRoman" w:hAnsi="TimesNewRoman" w:eastAsia="黑体" w:cs="TimesNewRoman"/>
          <w:bCs/>
          <w:sz w:val="36"/>
          <w:szCs w:val="36"/>
          <w:highlight w:val="none"/>
        </w:rPr>
        <w:t>预算表</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jc w:val="center"/>
        <w:textAlignment w:val="auto"/>
        <w:rPr>
          <w:rFonts w:ascii="TimesNewRoman" w:hAnsi="TimesNewRoman" w:eastAsia="仿宋_GB2312" w:cs="TimesNewRoman"/>
          <w:bCs/>
          <w:sz w:val="32"/>
          <w:szCs w:val="32"/>
          <w:highlight w:val="none"/>
        </w:rPr>
      </w:pPr>
      <w:r>
        <w:rPr>
          <w:rFonts w:hint="eastAsia" w:ascii="TimesNewRoman" w:hAnsi="TimesNewRoman" w:eastAsia="仿宋_GB2312" w:cs="TimesNewRoman"/>
          <w:bCs/>
          <w:sz w:val="32"/>
          <w:szCs w:val="32"/>
          <w:highlight w:val="none"/>
        </w:rPr>
        <w:t>见附件1-2</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r>
        <w:rPr>
          <w:highlight w:val="none"/>
        </w:rPr>
        <w:t xml:space="preserve">                                        </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36"/>
          <w:szCs w:val="36"/>
          <w:highlight w:val="none"/>
        </w:rPr>
      </w:pPr>
      <w:r>
        <w:rPr>
          <w:rFonts w:hint="eastAsia" w:ascii="TimesNewRoman" w:hAnsi="TimesNewRoman" w:eastAsia="黑体" w:cs="TimesNewRoman"/>
          <w:bCs/>
          <w:sz w:val="36"/>
          <w:szCs w:val="36"/>
          <w:highlight w:val="none"/>
        </w:rPr>
        <w:t>第三部分 2024年</w:t>
      </w:r>
      <w:r>
        <w:rPr>
          <w:rFonts w:hint="eastAsia" w:ascii="TimesNewRoman" w:hAnsi="TimesNewRoman" w:eastAsia="黑体" w:cs="TimesNewRoman"/>
          <w:bCs/>
          <w:sz w:val="36"/>
          <w:szCs w:val="36"/>
          <w:highlight w:val="none"/>
          <w:lang w:eastAsia="zh-CN"/>
        </w:rPr>
        <w:t>部门</w:t>
      </w:r>
      <w:r>
        <w:rPr>
          <w:rFonts w:hint="eastAsia" w:ascii="TimesNewRoman" w:hAnsi="TimesNewRoman" w:eastAsia="黑体" w:cs="TimesNewRoman"/>
          <w:bCs/>
          <w:sz w:val="36"/>
          <w:szCs w:val="36"/>
          <w:highlight w:val="none"/>
        </w:rPr>
        <w:t>预算情况说明</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一、关于2024年收支总表的说明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NewRoman" w:hAnsi="TimesNewRoman" w:eastAsia="仿宋_GB2312" w:cs="TimesNewRoman"/>
          <w:color w:val="auto"/>
          <w:sz w:val="32"/>
          <w:szCs w:val="32"/>
          <w:highlight w:val="none"/>
        </w:rPr>
      </w:pPr>
      <w:r>
        <w:rPr>
          <w:rFonts w:hint="eastAsia" w:ascii="TimesNewRoman" w:hAnsi="TimesNewRoman" w:eastAsia="仿宋_GB2312" w:cs="TimesNewRoman"/>
          <w:sz w:val="32"/>
          <w:szCs w:val="32"/>
          <w:highlight w:val="none"/>
        </w:rPr>
        <w:t>按照综合预算的原则，</w:t>
      </w:r>
      <w:r>
        <w:rPr>
          <w:rFonts w:hint="eastAsia" w:ascii="TimesNewRoman" w:hAnsi="TimesNewRoman" w:eastAsia="仿宋_GB2312" w:cs="TimesNewRoman"/>
          <w:sz w:val="32"/>
          <w:szCs w:val="32"/>
          <w:highlight w:val="none"/>
          <w:lang w:eastAsia="zh-CN"/>
        </w:rPr>
        <w:t>淮北市机关事务管理中心</w:t>
      </w:r>
      <w:r>
        <w:rPr>
          <w:rFonts w:hint="eastAsia" w:ascii="TimesNewRoman" w:hAnsi="TimesNewRoman" w:eastAsia="仿宋_GB2312" w:cs="TimesNewRoman"/>
          <w:sz w:val="32"/>
          <w:szCs w:val="32"/>
          <w:highlight w:val="none"/>
        </w:rPr>
        <w:t>所有收入和支出均纳入</w:t>
      </w:r>
      <w:r>
        <w:rPr>
          <w:rFonts w:hint="eastAsia" w:ascii="TimesNewRoman" w:hAnsi="TimesNewRoman" w:eastAsia="仿宋_GB2312" w:cs="TimesNewRoman"/>
          <w:sz w:val="32"/>
          <w:szCs w:val="32"/>
          <w:highlight w:val="none"/>
          <w:lang w:eastAsia="zh-CN"/>
        </w:rPr>
        <w:t>部门</w:t>
      </w:r>
      <w:r>
        <w:rPr>
          <w:rFonts w:hint="eastAsia" w:ascii="TimesNewRoman" w:hAnsi="TimesNewRoman" w:eastAsia="仿宋_GB2312" w:cs="TimesNewRoman"/>
          <w:sz w:val="32"/>
          <w:szCs w:val="32"/>
          <w:highlight w:val="none"/>
        </w:rPr>
        <w:t>预算管理。</w:t>
      </w:r>
      <w:r>
        <w:rPr>
          <w:rFonts w:hint="eastAsia" w:ascii="TimesNewRoman" w:hAnsi="TimesNewRoman" w:eastAsia="仿宋_GB2312" w:cs="TimesNewRoman"/>
          <w:sz w:val="32"/>
          <w:szCs w:val="32"/>
          <w:highlight w:val="none"/>
          <w:lang w:eastAsia="zh-CN"/>
        </w:rPr>
        <w:t>淮北市机关事务管理中心</w:t>
      </w:r>
      <w:r>
        <w:rPr>
          <w:rFonts w:hint="eastAsia" w:ascii="TimesNewRoman" w:hAnsi="TimesNewRoman" w:eastAsia="仿宋_GB2312" w:cs="TimesNewRoman"/>
          <w:sz w:val="32"/>
          <w:szCs w:val="32"/>
          <w:highlight w:val="none"/>
        </w:rPr>
        <w:t>2024年收支总预算3,551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sz w:val="32"/>
          <w:szCs w:val="32"/>
          <w:highlight w:val="none"/>
        </w:rPr>
        <w:t>万元，收入包括一般公共预算拨款收入3,551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sz w:val="32"/>
          <w:szCs w:val="32"/>
          <w:highlight w:val="none"/>
        </w:rPr>
        <w:t>万元，支出包括：一般公共服务支出3,177.3</w:t>
      </w:r>
      <w:r>
        <w:rPr>
          <w:rFonts w:hint="eastAsia" w:ascii="TimesNewRoman" w:hAnsi="TimesNewRoman" w:eastAsia="仿宋_GB2312" w:cs="TimesNewRoman"/>
          <w:sz w:val="32"/>
          <w:szCs w:val="32"/>
          <w:highlight w:val="none"/>
          <w:lang w:val="en-US" w:eastAsia="zh-CN"/>
        </w:rPr>
        <w:t>7</w:t>
      </w:r>
      <w:r>
        <w:rPr>
          <w:rFonts w:hint="eastAsia" w:ascii="TimesNewRoman" w:hAnsi="TimesNewRoman" w:eastAsia="仿宋_GB2312" w:cs="TimesNewRoman"/>
          <w:sz w:val="32"/>
          <w:szCs w:val="32"/>
          <w:highlight w:val="none"/>
        </w:rPr>
        <w:t>万元、社会保障和就业支出</w:t>
      </w:r>
      <w:r>
        <w:rPr>
          <w:rFonts w:hint="eastAsia" w:ascii="TimesNewRoman" w:hAnsi="TimesNewRoman" w:eastAsia="仿宋_GB2312" w:cs="TimesNewRoman"/>
          <w:sz w:val="32"/>
          <w:szCs w:val="32"/>
          <w:highlight w:val="none"/>
          <w:lang w:val="en-US" w:eastAsia="zh-CN"/>
        </w:rPr>
        <w:t>70.99</w:t>
      </w:r>
      <w:r>
        <w:rPr>
          <w:rFonts w:hint="eastAsia" w:ascii="TimesNewRoman" w:hAnsi="TimesNewRoman" w:eastAsia="仿宋_GB2312" w:cs="TimesNewRoman"/>
          <w:sz w:val="32"/>
          <w:szCs w:val="32"/>
          <w:highlight w:val="none"/>
        </w:rPr>
        <w:t>万元、卫生健康支出</w:t>
      </w:r>
      <w:r>
        <w:rPr>
          <w:rFonts w:hint="eastAsia" w:ascii="TimesNewRoman" w:hAnsi="TimesNewRoman" w:eastAsia="仿宋_GB2312" w:cs="TimesNewRoman"/>
          <w:sz w:val="32"/>
          <w:szCs w:val="32"/>
          <w:highlight w:val="none"/>
          <w:lang w:val="en-US" w:eastAsia="zh-CN"/>
        </w:rPr>
        <w:t>24.01</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color w:val="auto"/>
          <w:sz w:val="32"/>
          <w:szCs w:val="32"/>
          <w:highlight w:val="none"/>
        </w:rPr>
        <w:t>城乡社区支出</w:t>
      </w:r>
      <w:r>
        <w:rPr>
          <w:rFonts w:hint="eastAsia" w:ascii="TimesNewRoman" w:hAnsi="TimesNewRoman" w:eastAsia="仿宋_GB2312" w:cs="TimesNewRoman"/>
          <w:color w:val="auto"/>
          <w:sz w:val="32"/>
          <w:szCs w:val="32"/>
          <w:highlight w:val="none"/>
          <w:lang w:val="en-US" w:eastAsia="zh-CN"/>
        </w:rPr>
        <w:t>200.00万元、</w:t>
      </w:r>
      <w:r>
        <w:rPr>
          <w:rFonts w:hint="eastAsia" w:ascii="TimesNewRoman" w:hAnsi="TimesNewRoman" w:eastAsia="仿宋_GB2312" w:cs="TimesNewRoman"/>
          <w:color w:val="auto"/>
          <w:sz w:val="32"/>
          <w:szCs w:val="32"/>
          <w:highlight w:val="none"/>
        </w:rPr>
        <w:t>住房保障支出</w:t>
      </w:r>
      <w:r>
        <w:rPr>
          <w:rFonts w:hint="eastAsia" w:ascii="TimesNewRoman" w:hAnsi="TimesNewRoman" w:eastAsia="仿宋_GB2312" w:cs="TimesNewRoman"/>
          <w:color w:val="auto"/>
          <w:sz w:val="32"/>
          <w:szCs w:val="32"/>
          <w:highlight w:val="none"/>
          <w:lang w:val="en-US" w:eastAsia="zh-CN"/>
        </w:rPr>
        <w:t>78.80</w:t>
      </w:r>
      <w:r>
        <w:rPr>
          <w:rFonts w:hint="eastAsia" w:ascii="TimesNewRoman" w:hAnsi="TimesNewRoman" w:eastAsia="仿宋_GB2312" w:cs="TimesNewRoman"/>
          <w:color w:val="auto"/>
          <w:sz w:val="32"/>
          <w:szCs w:val="32"/>
          <w:highlight w:val="none"/>
        </w:rPr>
        <w:t>万元。</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二、关于2024年收入总表的说明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2024年收入预算</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万元，其中，本年收入</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w:t>
      </w:r>
    </w:p>
    <w:p>
      <w:pPr>
        <w:keepNext w:val="0"/>
        <w:keepLines w:val="0"/>
        <w:pageBreakBefore w:val="0"/>
        <w:kinsoku/>
        <w:wordWrap/>
        <w:overflowPunct/>
        <w:topLinePunct w:val="0"/>
        <w:autoSpaceDE/>
        <w:autoSpaceDN/>
        <w:bidi w:val="0"/>
        <w:spacing w:beforeAutospacing="0" w:afterAutospacing="0" w:line="560" w:lineRule="exact"/>
        <w:ind w:firstLine="642"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b/>
          <w:kern w:val="0"/>
          <w:sz w:val="32"/>
          <w:szCs w:val="32"/>
          <w:highlight w:val="none"/>
        </w:rPr>
        <w:t>（一）本年收入</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b/>
          <w:kern w:val="0"/>
          <w:sz w:val="32"/>
          <w:szCs w:val="32"/>
          <w:highlight w:val="none"/>
        </w:rPr>
        <w:t>万元，</w:t>
      </w:r>
      <w:r>
        <w:rPr>
          <w:rFonts w:hint="eastAsia" w:ascii="TimesNewRoman" w:hAnsi="TimesNewRoman" w:eastAsia="仿宋_GB2312" w:cs="TimesNewRoman"/>
          <w:kern w:val="0"/>
          <w:sz w:val="32"/>
          <w:szCs w:val="32"/>
          <w:highlight w:val="none"/>
        </w:rPr>
        <w:t>主要包括：一般公共预算拨款收入</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w:t>
      </w:r>
      <w:r>
        <w:rPr>
          <w:rFonts w:hint="eastAsia" w:ascii="TimesNewRoman" w:hAnsi="TimesNewRoman" w:eastAsia="仿宋_GB2312" w:cs="TimesNewRoman"/>
          <w:color w:val="auto"/>
          <w:kern w:val="0"/>
          <w:sz w:val="32"/>
          <w:szCs w:val="32"/>
          <w:highlight w:val="none"/>
        </w:rPr>
        <w:t>占</w:t>
      </w:r>
      <w:r>
        <w:rPr>
          <w:rFonts w:hint="eastAsia" w:ascii="TimesNewRoman" w:hAnsi="TimesNewRoman" w:eastAsia="仿宋_GB2312" w:cs="TimesNewRoman"/>
          <w:color w:val="auto"/>
          <w:kern w:val="0"/>
          <w:sz w:val="32"/>
          <w:szCs w:val="32"/>
          <w:highlight w:val="none"/>
          <w:lang w:val="en-US" w:eastAsia="zh-CN"/>
        </w:rPr>
        <w:t>100</w:t>
      </w:r>
      <w:r>
        <w:rPr>
          <w:rFonts w:hint="eastAsia" w:ascii="TimesNewRoman" w:hAnsi="TimesNewRoman" w:eastAsia="仿宋_GB2312" w:cs="TimesNewRoman"/>
          <w:color w:val="auto"/>
          <w:kern w:val="0"/>
          <w:sz w:val="32"/>
          <w:szCs w:val="32"/>
          <w:highlight w:val="none"/>
        </w:rPr>
        <w:t>%</w:t>
      </w:r>
      <w:r>
        <w:rPr>
          <w:rFonts w:hint="eastAsia" w:ascii="TimesNewRoman" w:hAnsi="TimesNewRoman" w:eastAsia="仿宋_GB2312" w:cs="TimesNewRoman"/>
          <w:kern w:val="0"/>
          <w:sz w:val="32"/>
          <w:szCs w:val="32"/>
          <w:highlight w:val="none"/>
        </w:rPr>
        <w:t>，比2023年预算增加</w:t>
      </w:r>
      <w:r>
        <w:rPr>
          <w:rFonts w:hint="eastAsia" w:ascii="TimesNewRoman" w:hAnsi="TimesNewRoman" w:eastAsia="仿宋_GB2312" w:cs="TimesNewRoman"/>
          <w:kern w:val="0"/>
          <w:sz w:val="32"/>
          <w:szCs w:val="32"/>
          <w:highlight w:val="none"/>
          <w:lang w:val="en-US" w:eastAsia="zh-CN"/>
        </w:rPr>
        <w:t>120.38</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3.51</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房租收入增加</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kern w:val="0"/>
          <w:sz w:val="32"/>
          <w:szCs w:val="32"/>
          <w:highlight w:val="none"/>
        </w:rPr>
        <w:t>政府性基金预算拨款收入</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万元，占</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年预算增加</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万元，增长</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color w:val="auto"/>
          <w:kern w:val="0"/>
          <w:sz w:val="32"/>
          <w:szCs w:val="32"/>
          <w:highlight w:val="none"/>
          <w:lang w:val="en-US" w:eastAsia="zh-CN"/>
        </w:rPr>
        <w:t>本单位</w:t>
      </w:r>
      <w:r>
        <w:rPr>
          <w:rFonts w:hint="eastAsia" w:ascii="TimesNewRoman" w:hAnsi="TimesNewRoman" w:eastAsia="仿宋_GB2312" w:cs="TimesNewRoman"/>
          <w:color w:val="auto"/>
          <w:kern w:val="0"/>
          <w:sz w:val="32"/>
          <w:szCs w:val="32"/>
          <w:highlight w:val="none"/>
        </w:rPr>
        <w:t>没有政府性基金预算拨款收入；财政专户管理资金收入</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万元，占</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年预算增加</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万元，增长</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color w:val="auto"/>
          <w:kern w:val="0"/>
          <w:sz w:val="32"/>
          <w:szCs w:val="32"/>
          <w:highlight w:val="none"/>
          <w:lang w:val="en-US" w:eastAsia="zh-CN"/>
        </w:rPr>
        <w:t>本单位</w:t>
      </w:r>
      <w:r>
        <w:rPr>
          <w:rFonts w:hint="eastAsia" w:ascii="TimesNewRoman" w:hAnsi="TimesNewRoman" w:eastAsia="仿宋_GB2312" w:cs="TimesNewRoman"/>
          <w:color w:val="auto"/>
          <w:kern w:val="0"/>
          <w:sz w:val="32"/>
          <w:szCs w:val="32"/>
          <w:highlight w:val="none"/>
        </w:rPr>
        <w:t>没有财政专户管理资金收入。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三、关于2024年支出总表的说明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2024年支出预算</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万元，比2023年预算增加</w:t>
      </w:r>
      <w:r>
        <w:rPr>
          <w:rFonts w:hint="eastAsia" w:ascii="TimesNewRoman" w:hAnsi="TimesNewRoman" w:eastAsia="仿宋_GB2312" w:cs="TimesNewRoman"/>
          <w:kern w:val="0"/>
          <w:sz w:val="32"/>
          <w:szCs w:val="32"/>
          <w:highlight w:val="none"/>
          <w:lang w:val="en-US" w:eastAsia="zh-CN"/>
        </w:rPr>
        <w:t>120.38</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3.51</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房租收入增加</w:t>
      </w:r>
      <w:r>
        <w:rPr>
          <w:rFonts w:hint="eastAsia" w:ascii="TimesNewRoman" w:hAnsi="TimesNewRoman" w:eastAsia="仿宋_GB2312" w:cs="TimesNewRoman"/>
          <w:kern w:val="0"/>
          <w:sz w:val="32"/>
          <w:szCs w:val="32"/>
          <w:highlight w:val="none"/>
        </w:rPr>
        <w:t>。其中，基本支出</w:t>
      </w:r>
      <w:r>
        <w:rPr>
          <w:rFonts w:hint="eastAsia" w:ascii="TimesNewRoman" w:hAnsi="TimesNewRoman" w:eastAsia="仿宋_GB2312" w:cs="TimesNewRoman"/>
          <w:kern w:val="0"/>
          <w:sz w:val="32"/>
          <w:szCs w:val="32"/>
          <w:highlight w:val="none"/>
          <w:lang w:val="en-US" w:eastAsia="zh-CN"/>
        </w:rPr>
        <w:t>563.20</w:t>
      </w:r>
      <w:r>
        <w:rPr>
          <w:rFonts w:hint="eastAsia" w:ascii="TimesNewRoman" w:hAnsi="TimesNewRoman" w:eastAsia="仿宋_GB2312" w:cs="TimesNewRoman"/>
          <w:kern w:val="0"/>
          <w:sz w:val="32"/>
          <w:szCs w:val="32"/>
          <w:highlight w:val="none"/>
        </w:rPr>
        <w:t>万元，占</w:t>
      </w:r>
      <w:r>
        <w:rPr>
          <w:rFonts w:hint="eastAsia" w:ascii="TimesNewRoman" w:hAnsi="TimesNewRoman" w:eastAsia="仿宋_GB2312" w:cs="TimesNewRoman"/>
          <w:kern w:val="0"/>
          <w:sz w:val="32"/>
          <w:szCs w:val="32"/>
          <w:highlight w:val="none"/>
          <w:lang w:val="en-US" w:eastAsia="zh-CN"/>
        </w:rPr>
        <w:t>16.00</w:t>
      </w:r>
      <w:r>
        <w:rPr>
          <w:rFonts w:hint="eastAsia" w:ascii="TimesNewRoman" w:hAnsi="TimesNewRoman" w:eastAsia="仿宋_GB2312" w:cs="TimesNewRoman"/>
          <w:kern w:val="0"/>
          <w:sz w:val="32"/>
          <w:szCs w:val="32"/>
          <w:highlight w:val="none"/>
        </w:rPr>
        <w:t>%，主要用于保障机构日常运转、完成日常工作任务；项目支出2</w:t>
      </w:r>
      <w:r>
        <w:rPr>
          <w:rFonts w:hint="eastAsia" w:ascii="TimesNewRoman" w:hAnsi="TimesNewRoman" w:eastAsia="仿宋_GB2312" w:cs="TimesNewRoman"/>
          <w:sz w:val="32"/>
          <w:szCs w:val="32"/>
          <w:highlight w:val="none"/>
        </w:rPr>
        <w:t>,</w:t>
      </w:r>
      <w:r>
        <w:rPr>
          <w:rFonts w:hint="eastAsia" w:ascii="TimesNewRoman" w:hAnsi="TimesNewRoman" w:eastAsia="仿宋_GB2312" w:cs="TimesNewRoman"/>
          <w:kern w:val="0"/>
          <w:sz w:val="32"/>
          <w:szCs w:val="32"/>
          <w:highlight w:val="none"/>
        </w:rPr>
        <w:t>987.98万元，占</w:t>
      </w:r>
      <w:r>
        <w:rPr>
          <w:rFonts w:hint="eastAsia" w:ascii="TimesNewRoman" w:hAnsi="TimesNewRoman" w:eastAsia="仿宋_GB2312" w:cs="TimesNewRoman"/>
          <w:kern w:val="0"/>
          <w:sz w:val="32"/>
          <w:szCs w:val="32"/>
          <w:highlight w:val="none"/>
          <w:lang w:val="en-US" w:eastAsia="zh-CN"/>
        </w:rPr>
        <w:t>84.00</w:t>
      </w:r>
      <w:r>
        <w:rPr>
          <w:rFonts w:hint="eastAsia" w:ascii="TimesNewRoman" w:hAnsi="TimesNewRoman" w:eastAsia="仿宋_GB2312" w:cs="TimesNewRoman"/>
          <w:kern w:val="0"/>
          <w:sz w:val="32"/>
          <w:szCs w:val="32"/>
          <w:highlight w:val="none"/>
        </w:rPr>
        <w:t>%，主要用于</w:t>
      </w:r>
      <w:r>
        <w:rPr>
          <w:rFonts w:hint="eastAsia" w:ascii="仿宋_GB2312" w:hAnsi="仿宋" w:eastAsia="仿宋_GB2312"/>
          <w:color w:val="auto"/>
          <w:sz w:val="32"/>
          <w:szCs w:val="32"/>
          <w:highlight w:val="none"/>
        </w:rPr>
        <w:t>特定工作任务</w:t>
      </w:r>
      <w:r>
        <w:rPr>
          <w:rFonts w:hint="eastAsia" w:ascii="TimesNewRoman" w:hAnsi="TimesNewRoman" w:eastAsia="仿宋_GB2312" w:cs="TimesNewRoman"/>
          <w:kern w:val="0"/>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四、关于2024年财政拨款收支总表的说明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NewRoman" w:hAnsi="TimesNewRoman" w:eastAsia="仿宋_GB2312" w:cs="TimesNewRoman"/>
          <w:color w:val="auto"/>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2024年财政拨款收支预算</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万元。收入按资金来源分为：一般公共预算拨款</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万元、政府性基金预算拨款</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万元；按资金年度分为：本年财政拨款收入</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万元。支出按功能分类分为：</w:t>
      </w:r>
      <w:r>
        <w:rPr>
          <w:rFonts w:hint="eastAsia" w:ascii="TimesNewRoman" w:hAnsi="TimesNewRoman" w:eastAsia="仿宋_GB2312" w:cs="TimesNewRoman"/>
          <w:sz w:val="32"/>
          <w:szCs w:val="32"/>
          <w:highlight w:val="none"/>
        </w:rPr>
        <w:t>一般公共服务支出3,177.3</w:t>
      </w:r>
      <w:r>
        <w:rPr>
          <w:rFonts w:hint="eastAsia" w:ascii="TimesNewRoman" w:hAnsi="TimesNewRoman" w:eastAsia="仿宋_GB2312" w:cs="TimesNewRoman"/>
          <w:sz w:val="32"/>
          <w:szCs w:val="32"/>
          <w:highlight w:val="none"/>
          <w:lang w:val="en-US" w:eastAsia="zh-CN"/>
        </w:rPr>
        <w:t>7</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89.47</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sz w:val="32"/>
          <w:szCs w:val="32"/>
          <w:highlight w:val="none"/>
        </w:rPr>
        <w:t>社会保障和就业支出</w:t>
      </w:r>
      <w:r>
        <w:rPr>
          <w:rFonts w:hint="eastAsia" w:ascii="TimesNewRoman" w:hAnsi="TimesNewRoman" w:eastAsia="仿宋_GB2312" w:cs="TimesNewRoman"/>
          <w:sz w:val="32"/>
          <w:szCs w:val="32"/>
          <w:highlight w:val="none"/>
          <w:lang w:val="en-US" w:eastAsia="zh-CN"/>
        </w:rPr>
        <w:t>70.99</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2.00</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sz w:val="32"/>
          <w:szCs w:val="32"/>
          <w:highlight w:val="none"/>
        </w:rPr>
        <w:t>卫生健康支出</w:t>
      </w:r>
      <w:r>
        <w:rPr>
          <w:rFonts w:hint="eastAsia" w:ascii="TimesNewRoman" w:hAnsi="TimesNewRoman" w:eastAsia="仿宋_GB2312" w:cs="TimesNewRoman"/>
          <w:sz w:val="32"/>
          <w:szCs w:val="32"/>
          <w:highlight w:val="none"/>
          <w:lang w:val="en-US" w:eastAsia="zh-CN"/>
        </w:rPr>
        <w:t>24.01</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0.68</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sz w:val="32"/>
          <w:szCs w:val="32"/>
          <w:highlight w:val="none"/>
        </w:rPr>
        <w:t>城乡社区支出</w:t>
      </w:r>
      <w:r>
        <w:rPr>
          <w:rFonts w:hint="eastAsia" w:ascii="TimesNewRoman" w:hAnsi="TimesNewRoman" w:eastAsia="仿宋_GB2312" w:cs="TimesNewRoman"/>
          <w:color w:val="auto"/>
          <w:sz w:val="32"/>
          <w:szCs w:val="32"/>
          <w:highlight w:val="none"/>
          <w:lang w:val="en-US" w:eastAsia="zh-CN"/>
        </w:rPr>
        <w:t>200.00万元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5.63</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sz w:val="32"/>
          <w:szCs w:val="32"/>
          <w:highlight w:val="none"/>
        </w:rPr>
        <w:t>住房保障支出</w:t>
      </w:r>
      <w:r>
        <w:rPr>
          <w:rFonts w:hint="eastAsia" w:ascii="TimesNewRoman" w:hAnsi="TimesNewRoman" w:eastAsia="仿宋_GB2312" w:cs="TimesNewRoman"/>
          <w:color w:val="auto"/>
          <w:sz w:val="32"/>
          <w:szCs w:val="32"/>
          <w:highlight w:val="none"/>
          <w:lang w:val="en-US" w:eastAsia="zh-CN"/>
        </w:rPr>
        <w:t>78.80</w:t>
      </w:r>
      <w:r>
        <w:rPr>
          <w:rFonts w:hint="eastAsia" w:ascii="TimesNewRoman" w:hAnsi="TimesNewRoman" w:eastAsia="仿宋_GB2312" w:cs="TimesNewRoman"/>
          <w:color w:val="auto"/>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2.22</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五、关于2024年一般公共预算支出表的说明</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楷体_GB2312" w:cs="TimesNewRoman"/>
          <w:b/>
          <w:sz w:val="32"/>
          <w:szCs w:val="32"/>
          <w:highlight w:val="none"/>
        </w:rPr>
      </w:pPr>
      <w:r>
        <w:rPr>
          <w:rFonts w:hint="eastAsia" w:ascii="TimesNewRoman" w:hAnsi="TimesNewRoman" w:eastAsia="楷体_GB2312" w:cs="TimesNewRoman"/>
          <w:b/>
          <w:sz w:val="32"/>
          <w:szCs w:val="32"/>
          <w:highlight w:val="none"/>
        </w:rPr>
        <w:t>（一）一般公共预算支出规模变化情况。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2024年一般公共预算支出</w:t>
      </w:r>
      <w:r>
        <w:rPr>
          <w:rFonts w:hint="eastAsia" w:ascii="TimesNewRoman" w:hAnsi="TimesNewRoman" w:eastAsia="仿宋_GB2312" w:cs="TimesNewRoman"/>
          <w:sz w:val="32"/>
          <w:szCs w:val="32"/>
          <w:highlight w:val="none"/>
        </w:rPr>
        <w:t>3,551</w:t>
      </w:r>
      <w:r>
        <w:rPr>
          <w:rFonts w:hint="eastAsia" w:ascii="TimesNewRoman" w:hAnsi="TimesNewRoman" w:eastAsia="仿宋_GB2312" w:cs="TimesNewRoman"/>
          <w:sz w:val="32"/>
          <w:szCs w:val="32"/>
          <w:highlight w:val="none"/>
          <w:lang w:val="en-US" w:eastAsia="zh-CN"/>
        </w:rPr>
        <w:t>.</w:t>
      </w:r>
      <w:r>
        <w:rPr>
          <w:rFonts w:hint="eastAsia" w:ascii="TimesNewRoman" w:hAnsi="TimesNewRoman" w:eastAsia="仿宋_GB2312" w:cs="TimesNewRoman"/>
          <w:sz w:val="32"/>
          <w:szCs w:val="32"/>
          <w:highlight w:val="none"/>
        </w:rPr>
        <w:t>1</w:t>
      </w:r>
      <w:r>
        <w:rPr>
          <w:rFonts w:hint="eastAsia" w:ascii="TimesNewRoman" w:hAnsi="TimesNewRoman" w:eastAsia="仿宋_GB2312" w:cs="TimesNewRoman"/>
          <w:sz w:val="32"/>
          <w:szCs w:val="32"/>
          <w:highlight w:val="none"/>
          <w:lang w:val="en-US" w:eastAsia="zh-CN"/>
        </w:rPr>
        <w:t>8</w:t>
      </w:r>
      <w:r>
        <w:rPr>
          <w:rFonts w:hint="eastAsia" w:ascii="TimesNewRoman" w:hAnsi="TimesNewRoman" w:eastAsia="仿宋_GB2312" w:cs="TimesNewRoman"/>
          <w:kern w:val="0"/>
          <w:sz w:val="32"/>
          <w:szCs w:val="32"/>
          <w:highlight w:val="none"/>
        </w:rPr>
        <w:t>万元，比2023年预算增加</w:t>
      </w:r>
      <w:r>
        <w:rPr>
          <w:rFonts w:hint="eastAsia" w:ascii="TimesNewRoman" w:hAnsi="TimesNewRoman" w:eastAsia="仿宋_GB2312" w:cs="TimesNewRoman"/>
          <w:kern w:val="0"/>
          <w:sz w:val="32"/>
          <w:szCs w:val="32"/>
          <w:highlight w:val="none"/>
          <w:lang w:val="en-US" w:eastAsia="zh-CN"/>
        </w:rPr>
        <w:t>120.38</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3.51</w:t>
      </w:r>
      <w:r>
        <w:rPr>
          <w:rFonts w:hint="eastAsia" w:ascii="TimesNewRoman" w:hAnsi="TimesNewRoman" w:eastAsia="仿宋_GB2312" w:cs="TimesNewRoman"/>
          <w:kern w:val="0"/>
          <w:sz w:val="32"/>
          <w:szCs w:val="32"/>
          <w:highlight w:val="none"/>
        </w:rPr>
        <w:t>%，主要原因：</w:t>
      </w:r>
      <w:r>
        <w:rPr>
          <w:rFonts w:hint="eastAsia" w:ascii="TimesNewRoman" w:hAnsi="TimesNewRoman" w:eastAsia="仿宋_GB2312" w:cs="TimesNewRoman"/>
          <w:kern w:val="0"/>
          <w:sz w:val="32"/>
          <w:szCs w:val="32"/>
          <w:highlight w:val="none"/>
          <w:lang w:eastAsia="zh-CN"/>
        </w:rPr>
        <w:t>房租收入增加</w:t>
      </w:r>
      <w:r>
        <w:rPr>
          <w:rFonts w:hint="eastAsia" w:ascii="TimesNewRoman" w:hAnsi="TimesNewRoman" w:eastAsia="仿宋_GB2312" w:cs="TimesNewRoman"/>
          <w:kern w:val="0"/>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楷体_GB2312" w:cs="TimesNewRoman"/>
          <w:b/>
          <w:sz w:val="32"/>
          <w:szCs w:val="32"/>
          <w:highlight w:val="none"/>
        </w:rPr>
      </w:pPr>
      <w:r>
        <w:rPr>
          <w:rFonts w:hint="eastAsia" w:ascii="TimesNewRoman" w:hAnsi="TimesNewRoman" w:eastAsia="楷体_GB2312" w:cs="TimesNewRoman"/>
          <w:b/>
          <w:sz w:val="32"/>
          <w:szCs w:val="32"/>
          <w:highlight w:val="none"/>
        </w:rPr>
        <w:t>（二）一般公共预算支出结构情况。</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hint="eastAsia" w:ascii="TimesNewRoman" w:hAnsi="TimesNewRoman" w:eastAsia="仿宋_GB2312" w:cs="TimesNewRoman"/>
          <w:color w:val="auto"/>
          <w:sz w:val="32"/>
          <w:szCs w:val="32"/>
          <w:highlight w:val="none"/>
        </w:rPr>
      </w:pPr>
      <w:r>
        <w:rPr>
          <w:rFonts w:hint="eastAsia" w:ascii="TimesNewRoman" w:hAnsi="TimesNewRoman" w:eastAsia="仿宋_GB2312" w:cs="TimesNewRoman"/>
          <w:sz w:val="32"/>
          <w:szCs w:val="32"/>
          <w:highlight w:val="none"/>
        </w:rPr>
        <w:t>一般公共服务支出3,177.3</w:t>
      </w:r>
      <w:r>
        <w:rPr>
          <w:rFonts w:hint="eastAsia" w:ascii="TimesNewRoman" w:hAnsi="TimesNewRoman" w:eastAsia="仿宋_GB2312" w:cs="TimesNewRoman"/>
          <w:sz w:val="32"/>
          <w:szCs w:val="32"/>
          <w:highlight w:val="none"/>
          <w:lang w:val="en-US" w:eastAsia="zh-CN"/>
        </w:rPr>
        <w:t>7</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89.47</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sz w:val="32"/>
          <w:szCs w:val="32"/>
          <w:highlight w:val="none"/>
        </w:rPr>
        <w:t>社会保障和就业支出</w:t>
      </w:r>
      <w:r>
        <w:rPr>
          <w:rFonts w:hint="eastAsia" w:ascii="TimesNewRoman" w:hAnsi="TimesNewRoman" w:eastAsia="仿宋_GB2312" w:cs="TimesNewRoman"/>
          <w:sz w:val="32"/>
          <w:szCs w:val="32"/>
          <w:highlight w:val="none"/>
          <w:lang w:val="en-US" w:eastAsia="zh-CN"/>
        </w:rPr>
        <w:t>70.99</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2.00</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sz w:val="32"/>
          <w:szCs w:val="32"/>
          <w:highlight w:val="none"/>
        </w:rPr>
        <w:t>卫生健康支出</w:t>
      </w:r>
      <w:r>
        <w:rPr>
          <w:rFonts w:hint="eastAsia" w:ascii="TimesNewRoman" w:hAnsi="TimesNewRoman" w:eastAsia="仿宋_GB2312" w:cs="TimesNewRoman"/>
          <w:sz w:val="32"/>
          <w:szCs w:val="32"/>
          <w:highlight w:val="none"/>
          <w:lang w:val="en-US" w:eastAsia="zh-CN"/>
        </w:rPr>
        <w:t>24.01</w:t>
      </w:r>
      <w:r>
        <w:rPr>
          <w:rFonts w:hint="eastAsia" w:ascii="TimesNewRoman" w:hAnsi="TimesNewRoman" w:eastAsia="仿宋_GB2312" w:cs="TimesNewRoman"/>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0.68</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sz w:val="32"/>
          <w:szCs w:val="32"/>
          <w:highlight w:val="none"/>
        </w:rPr>
        <w:t>城乡社区支出</w:t>
      </w:r>
      <w:r>
        <w:rPr>
          <w:rFonts w:hint="eastAsia" w:ascii="TimesNewRoman" w:hAnsi="TimesNewRoman" w:eastAsia="仿宋_GB2312" w:cs="TimesNewRoman"/>
          <w:color w:val="auto"/>
          <w:sz w:val="32"/>
          <w:szCs w:val="32"/>
          <w:highlight w:val="none"/>
          <w:lang w:val="en-US" w:eastAsia="zh-CN"/>
        </w:rPr>
        <w:t>200.00万元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5.63</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sz w:val="32"/>
          <w:szCs w:val="32"/>
          <w:highlight w:val="none"/>
        </w:rPr>
        <w:t>住房保障支出</w:t>
      </w:r>
      <w:r>
        <w:rPr>
          <w:rFonts w:hint="eastAsia" w:ascii="TimesNewRoman" w:hAnsi="TimesNewRoman" w:eastAsia="仿宋_GB2312" w:cs="TimesNewRoman"/>
          <w:color w:val="auto"/>
          <w:sz w:val="32"/>
          <w:szCs w:val="32"/>
          <w:highlight w:val="none"/>
          <w:lang w:val="en-US" w:eastAsia="zh-CN"/>
        </w:rPr>
        <w:t>78.80</w:t>
      </w:r>
      <w:r>
        <w:rPr>
          <w:rFonts w:hint="eastAsia" w:ascii="TimesNewRoman" w:hAnsi="TimesNewRoman" w:eastAsia="仿宋_GB2312" w:cs="TimesNewRoman"/>
          <w:color w:val="auto"/>
          <w:sz w:val="32"/>
          <w:szCs w:val="32"/>
          <w:highlight w:val="none"/>
        </w:rPr>
        <w:t>万元</w:t>
      </w:r>
      <w:r>
        <w:rPr>
          <w:rFonts w:hint="eastAsia" w:ascii="TimesNewRoman" w:hAnsi="TimesNewRoman" w:eastAsia="仿宋_GB2312" w:cs="TimesNewRoman"/>
          <w:kern w:val="0"/>
          <w:sz w:val="32"/>
          <w:szCs w:val="32"/>
          <w:highlight w:val="none"/>
        </w:rPr>
        <w:t>，占</w:t>
      </w:r>
      <w:r>
        <w:rPr>
          <w:rFonts w:hint="eastAsia" w:ascii="TimesNewRoman" w:hAnsi="TimesNewRoman" w:eastAsia="仿宋_GB2312" w:cs="TimesNewRoman"/>
          <w:kern w:val="0"/>
          <w:sz w:val="32"/>
          <w:szCs w:val="32"/>
          <w:highlight w:val="none"/>
          <w:lang w:val="en-US" w:eastAsia="zh-CN"/>
        </w:rPr>
        <w:t>2.22</w:t>
      </w:r>
      <w:r>
        <w:rPr>
          <w:rFonts w:hint="eastAsia" w:ascii="TimesNewRoman" w:hAnsi="TimesNewRoman" w:eastAsia="仿宋_GB2312" w:cs="TimesNewRoman"/>
          <w:kern w:val="0"/>
          <w:sz w:val="32"/>
          <w:szCs w:val="32"/>
          <w:highlight w:val="none"/>
        </w:rPr>
        <w:t>%</w:t>
      </w:r>
      <w:r>
        <w:rPr>
          <w:rFonts w:hint="eastAsia" w:ascii="TimesNewRoman" w:hAnsi="TimesNewRoman" w:eastAsia="仿宋_GB2312" w:cs="TimesNewRoman"/>
          <w:color w:val="auto"/>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楷体_GB2312" w:cs="TimesNewRoman"/>
          <w:b/>
          <w:sz w:val="32"/>
          <w:szCs w:val="32"/>
          <w:highlight w:val="none"/>
        </w:rPr>
      </w:pPr>
      <w:r>
        <w:rPr>
          <w:rFonts w:hint="eastAsia" w:ascii="TimesNewRoman" w:hAnsi="TimesNewRoman" w:eastAsia="楷体_GB2312" w:cs="TimesNewRoman"/>
          <w:b/>
          <w:sz w:val="32"/>
          <w:szCs w:val="32"/>
          <w:highlight w:val="none"/>
        </w:rPr>
        <w:t>（三）一般公共预算支出具体使用情况。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1、一般公共服务支出（类）</w:t>
      </w:r>
      <w:r>
        <w:rPr>
          <w:rFonts w:hint="eastAsia" w:ascii="TimesNewRoman" w:hAnsi="TimesNewRoman" w:eastAsia="仿宋_GB2312" w:cs="TimesNewRoman"/>
          <w:color w:val="auto"/>
          <w:kern w:val="0"/>
          <w:sz w:val="32"/>
          <w:szCs w:val="32"/>
          <w:highlight w:val="none"/>
        </w:rPr>
        <w:t>政府办公厅（室）及相关机构事务（款）</w:t>
      </w:r>
      <w:r>
        <w:rPr>
          <w:rFonts w:hint="eastAsia" w:ascii="TimesNewRoman" w:hAnsi="TimesNewRoman" w:eastAsia="仿宋_GB2312" w:cs="TimesNewRoman"/>
          <w:kern w:val="0"/>
          <w:sz w:val="32"/>
          <w:szCs w:val="32"/>
          <w:highlight w:val="none"/>
        </w:rPr>
        <w:t>行政运行（项）2024年预算388.1</w:t>
      </w:r>
      <w:r>
        <w:rPr>
          <w:rFonts w:hint="eastAsia" w:ascii="TimesNewRoman" w:hAnsi="TimesNewRoman" w:eastAsia="仿宋_GB2312" w:cs="TimesNewRoman"/>
          <w:kern w:val="0"/>
          <w:sz w:val="32"/>
          <w:szCs w:val="32"/>
          <w:highlight w:val="none"/>
          <w:lang w:val="en-US" w:eastAsia="zh-CN"/>
        </w:rPr>
        <w:t>9</w:t>
      </w:r>
      <w:r>
        <w:rPr>
          <w:rFonts w:hint="eastAsia" w:ascii="TimesNewRoman" w:hAnsi="TimesNewRoman" w:eastAsia="仿宋_GB2312" w:cs="TimesNewRoman"/>
          <w:kern w:val="0"/>
          <w:sz w:val="32"/>
          <w:szCs w:val="32"/>
          <w:highlight w:val="none"/>
        </w:rPr>
        <w:t>万元，比2023年预算减少</w:t>
      </w:r>
      <w:r>
        <w:rPr>
          <w:rFonts w:hint="eastAsia" w:ascii="TimesNewRoman" w:hAnsi="TimesNewRoman" w:eastAsia="仿宋_GB2312" w:cs="TimesNewRoman"/>
          <w:kern w:val="0"/>
          <w:sz w:val="32"/>
          <w:szCs w:val="32"/>
          <w:highlight w:val="none"/>
          <w:lang w:val="en-US" w:eastAsia="zh-CN"/>
        </w:rPr>
        <w:t>31.43</w:t>
      </w:r>
      <w:r>
        <w:rPr>
          <w:rFonts w:hint="eastAsia" w:ascii="TimesNewRoman" w:hAnsi="TimesNewRoman" w:eastAsia="仿宋_GB2312" w:cs="TimesNewRoman"/>
          <w:kern w:val="0"/>
          <w:sz w:val="32"/>
          <w:szCs w:val="32"/>
          <w:highlight w:val="none"/>
        </w:rPr>
        <w:t>万元，下降</w:t>
      </w:r>
      <w:r>
        <w:rPr>
          <w:rFonts w:hint="eastAsia" w:ascii="TimesNewRoman" w:hAnsi="TimesNewRoman" w:eastAsia="仿宋_GB2312" w:cs="TimesNewRoman"/>
          <w:kern w:val="0"/>
          <w:sz w:val="32"/>
          <w:szCs w:val="32"/>
          <w:highlight w:val="none"/>
          <w:lang w:val="en-US" w:eastAsia="zh-CN"/>
        </w:rPr>
        <w:t>7.49</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人员调离</w:t>
      </w:r>
      <w:r>
        <w:rPr>
          <w:rFonts w:hint="eastAsia" w:ascii="TimesNewRoman" w:hAnsi="TimesNewRoman" w:eastAsia="仿宋_GB2312" w:cs="TimesNewRoman"/>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2、一般公共服务支出（类）</w:t>
      </w:r>
      <w:r>
        <w:rPr>
          <w:rFonts w:hint="eastAsia" w:ascii="TimesNewRoman" w:hAnsi="TimesNewRoman" w:eastAsia="仿宋_GB2312" w:cs="TimesNewRoman"/>
          <w:color w:val="auto"/>
          <w:kern w:val="0"/>
          <w:sz w:val="32"/>
          <w:szCs w:val="32"/>
          <w:highlight w:val="none"/>
        </w:rPr>
        <w:t>政府办公厅（室）及相关机构事务（款）</w:t>
      </w:r>
      <w:r>
        <w:rPr>
          <w:rFonts w:hint="eastAsia" w:ascii="TimesNewRoman" w:hAnsi="TimesNewRoman" w:eastAsia="仿宋_GB2312" w:cs="TimesNewRoman"/>
          <w:kern w:val="0"/>
          <w:sz w:val="32"/>
          <w:szCs w:val="32"/>
          <w:highlight w:val="none"/>
        </w:rPr>
        <w:t>一般行政管理事务（项）2024年预算2</w:t>
      </w:r>
      <w:r>
        <w:rPr>
          <w:rFonts w:hint="eastAsia" w:ascii="TimesNewRoman" w:hAnsi="TimesNewRoman" w:eastAsia="仿宋_GB2312" w:cs="TimesNewRoman"/>
          <w:sz w:val="32"/>
          <w:szCs w:val="32"/>
          <w:highlight w:val="none"/>
        </w:rPr>
        <w:t>,</w:t>
      </w:r>
      <w:r>
        <w:rPr>
          <w:rFonts w:hint="eastAsia" w:ascii="TimesNewRoman" w:hAnsi="TimesNewRoman" w:eastAsia="仿宋_GB2312" w:cs="TimesNewRoman"/>
          <w:kern w:val="0"/>
          <w:sz w:val="32"/>
          <w:szCs w:val="32"/>
          <w:highlight w:val="none"/>
        </w:rPr>
        <w:t>787.98万元，比2023年预算增加</w:t>
      </w:r>
      <w:r>
        <w:rPr>
          <w:rFonts w:hint="eastAsia" w:ascii="TimesNewRoman" w:hAnsi="TimesNewRoman" w:eastAsia="仿宋_GB2312" w:cs="TimesNewRoman"/>
          <w:kern w:val="0"/>
          <w:sz w:val="32"/>
          <w:szCs w:val="32"/>
          <w:highlight w:val="none"/>
          <w:lang w:val="en-US" w:eastAsia="zh-CN"/>
        </w:rPr>
        <w:t>138.99</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5.25</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房租收入增加</w:t>
      </w:r>
      <w:r>
        <w:rPr>
          <w:rFonts w:hint="eastAsia" w:ascii="TimesNewRoman" w:hAnsi="TimesNewRoman" w:eastAsia="仿宋_GB2312" w:cs="TimesNewRoman"/>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、一般公共服务支出（类）政府办公厅（室）及相关机构事务（款）事业运行（项）202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1.20</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与</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一致</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、社会保障和就业支出（类）行政事业单位养老支出（款）行政单位离退休（项）202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2.00</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kern w:val="0"/>
          <w:sz w:val="32"/>
          <w:szCs w:val="32"/>
          <w:highlight w:val="none"/>
        </w:rPr>
        <w:t>增加</w:t>
      </w:r>
      <w:r>
        <w:rPr>
          <w:rFonts w:hint="eastAsia" w:ascii="TimesNewRoman" w:hAnsi="TimesNewRoman" w:eastAsia="仿宋_GB2312" w:cs="TimesNewRoman"/>
          <w:kern w:val="0"/>
          <w:sz w:val="32"/>
          <w:szCs w:val="32"/>
          <w:highlight w:val="none"/>
          <w:lang w:val="en-US" w:eastAsia="zh-CN"/>
        </w:rPr>
        <w:t>0.81</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kern w:val="0"/>
          <w:sz w:val="32"/>
          <w:szCs w:val="32"/>
          <w:highlight w:val="none"/>
        </w:rPr>
        <w:t>增长</w:t>
      </w:r>
      <w:r>
        <w:rPr>
          <w:rFonts w:hint="eastAsia" w:ascii="TimesNewRoman" w:hAnsi="TimesNewRoman" w:eastAsia="仿宋_GB2312" w:cs="TimesNewRoman"/>
          <w:kern w:val="0"/>
          <w:sz w:val="32"/>
          <w:szCs w:val="32"/>
          <w:highlight w:val="none"/>
          <w:lang w:val="en-US" w:eastAsia="zh-CN"/>
        </w:rPr>
        <w:t>67.59</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color w:val="auto"/>
          <w:kern w:val="0"/>
          <w:sz w:val="32"/>
          <w:szCs w:val="32"/>
          <w:highlight w:val="none"/>
          <w:lang w:eastAsia="zh-CN"/>
        </w:rPr>
        <w:t>提租补贴增加</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5</w:t>
      </w:r>
      <w:r>
        <w:rPr>
          <w:rFonts w:hint="eastAsia" w:ascii="TimesNewRoman" w:hAnsi="TimesNewRoman" w:eastAsia="仿宋_GB2312" w:cs="TimesNewRoman"/>
          <w:color w:val="auto"/>
          <w:kern w:val="0"/>
          <w:sz w:val="32"/>
          <w:szCs w:val="32"/>
          <w:highlight w:val="none"/>
        </w:rPr>
        <w:t>、社会保障和就业支出（类）行政事业单位养老支出（款）机关事业单位基本养老保险缴费支出（项）202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45.70</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kern w:val="0"/>
          <w:sz w:val="32"/>
          <w:szCs w:val="32"/>
          <w:highlight w:val="none"/>
        </w:rPr>
        <w:t>减少</w:t>
      </w:r>
      <w:r>
        <w:rPr>
          <w:rFonts w:hint="eastAsia" w:ascii="TimesNewRoman" w:hAnsi="TimesNewRoman" w:eastAsia="仿宋_GB2312" w:cs="TimesNewRoman"/>
          <w:kern w:val="0"/>
          <w:sz w:val="32"/>
          <w:szCs w:val="32"/>
          <w:highlight w:val="none"/>
          <w:lang w:val="en-US" w:eastAsia="zh-CN"/>
        </w:rPr>
        <w:t>2.20</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下降4.59</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kern w:val="0"/>
          <w:sz w:val="32"/>
          <w:szCs w:val="32"/>
          <w:highlight w:val="none"/>
          <w:lang w:eastAsia="zh-CN"/>
        </w:rPr>
        <w:t>人员调离</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6</w:t>
      </w:r>
      <w:r>
        <w:rPr>
          <w:rFonts w:hint="eastAsia" w:ascii="TimesNewRoman" w:hAnsi="TimesNewRoman" w:eastAsia="仿宋_GB2312" w:cs="TimesNewRoman"/>
          <w:color w:val="auto"/>
          <w:kern w:val="0"/>
          <w:sz w:val="32"/>
          <w:szCs w:val="32"/>
          <w:highlight w:val="none"/>
        </w:rPr>
        <w:t>、社会保障和就业支出（类）行政事业单位养老支出（款）机关事业单位职业年金缴费支出（项）202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22.85</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kern w:val="0"/>
          <w:sz w:val="32"/>
          <w:szCs w:val="32"/>
          <w:highlight w:val="none"/>
        </w:rPr>
        <w:t>减少</w:t>
      </w:r>
      <w:r>
        <w:rPr>
          <w:rFonts w:hint="eastAsia" w:ascii="TimesNewRoman" w:hAnsi="TimesNewRoman" w:eastAsia="仿宋_GB2312" w:cs="TimesNewRoman"/>
          <w:kern w:val="0"/>
          <w:sz w:val="32"/>
          <w:szCs w:val="32"/>
          <w:highlight w:val="none"/>
          <w:lang w:val="en-US" w:eastAsia="zh-CN"/>
        </w:rPr>
        <w:t>1.10</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下降4.60</w:t>
      </w:r>
      <w:r>
        <w:rPr>
          <w:rFonts w:hint="eastAsia" w:ascii="TimesNewRoman" w:hAnsi="TimesNewRoman" w:eastAsia="仿宋_GB2312" w:cs="TimesNewRoman"/>
          <w:color w:val="auto"/>
          <w:kern w:val="0"/>
          <w:sz w:val="32"/>
          <w:szCs w:val="32"/>
          <w:highlight w:val="none"/>
        </w:rPr>
        <w:t>%</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kern w:val="0"/>
          <w:sz w:val="32"/>
          <w:szCs w:val="32"/>
          <w:highlight w:val="none"/>
          <w:lang w:eastAsia="zh-CN"/>
        </w:rPr>
        <w:t>人员调离</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7</w:t>
      </w:r>
      <w:r>
        <w:rPr>
          <w:rFonts w:hint="eastAsia" w:ascii="TimesNewRoman" w:hAnsi="TimesNewRoman" w:eastAsia="仿宋_GB2312" w:cs="TimesNewRoman"/>
          <w:color w:val="auto"/>
          <w:kern w:val="0"/>
          <w:sz w:val="32"/>
          <w:szCs w:val="32"/>
          <w:highlight w:val="none"/>
        </w:rPr>
        <w:t>、社会保障和就业支出（类）其他社会保障和就业支出（款）其他社会保障和就业支出（项）202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0.45</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kern w:val="0"/>
          <w:sz w:val="32"/>
          <w:szCs w:val="32"/>
          <w:highlight w:val="none"/>
        </w:rPr>
        <w:t>减少</w:t>
      </w:r>
      <w:r>
        <w:rPr>
          <w:rFonts w:hint="eastAsia" w:ascii="TimesNewRoman" w:hAnsi="TimesNewRoman" w:eastAsia="仿宋_GB2312" w:cs="TimesNewRoman"/>
          <w:kern w:val="0"/>
          <w:sz w:val="32"/>
          <w:szCs w:val="32"/>
          <w:highlight w:val="none"/>
          <w:lang w:val="en-US" w:eastAsia="zh-CN"/>
        </w:rPr>
        <w:t>0.02</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下降4.35</w:t>
      </w:r>
      <w:r>
        <w:rPr>
          <w:rFonts w:hint="eastAsia" w:ascii="TimesNewRoman" w:hAnsi="TimesNewRoman" w:eastAsia="仿宋_GB2312" w:cs="TimesNewRoman"/>
          <w:color w:val="auto"/>
          <w:kern w:val="0"/>
          <w:sz w:val="32"/>
          <w:szCs w:val="32"/>
          <w:highlight w:val="none"/>
        </w:rPr>
        <w:t>%</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kern w:val="0"/>
          <w:sz w:val="32"/>
          <w:szCs w:val="32"/>
          <w:highlight w:val="none"/>
          <w:lang w:eastAsia="zh-CN"/>
        </w:rPr>
        <w:t>人员调离</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8</w:t>
      </w:r>
      <w:r>
        <w:rPr>
          <w:rFonts w:hint="eastAsia" w:ascii="TimesNewRoman" w:hAnsi="TimesNewRoman" w:eastAsia="仿宋_GB2312" w:cs="TimesNewRoman"/>
          <w:color w:val="auto"/>
          <w:kern w:val="0"/>
          <w:sz w:val="32"/>
          <w:szCs w:val="32"/>
          <w:highlight w:val="none"/>
        </w:rPr>
        <w:t>、卫生健康支出（类）行政事业单位医疗（款）行政单位医疗（项）202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17.27</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kern w:val="0"/>
          <w:sz w:val="32"/>
          <w:szCs w:val="32"/>
          <w:highlight w:val="none"/>
        </w:rPr>
        <w:t>减少</w:t>
      </w:r>
      <w:r>
        <w:rPr>
          <w:rFonts w:hint="eastAsia" w:ascii="TimesNewRoman" w:hAnsi="TimesNewRoman" w:eastAsia="仿宋_GB2312" w:cs="TimesNewRoman"/>
          <w:kern w:val="0"/>
          <w:sz w:val="32"/>
          <w:szCs w:val="32"/>
          <w:highlight w:val="none"/>
          <w:lang w:val="en-US" w:eastAsia="zh-CN"/>
        </w:rPr>
        <w:t>0.88</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下降4.84</w:t>
      </w:r>
      <w:r>
        <w:rPr>
          <w:rFonts w:hint="eastAsia" w:ascii="TimesNewRoman" w:hAnsi="TimesNewRoman" w:eastAsia="仿宋_GB2312" w:cs="TimesNewRoman"/>
          <w:color w:val="auto"/>
          <w:kern w:val="0"/>
          <w:sz w:val="32"/>
          <w:szCs w:val="32"/>
          <w:highlight w:val="none"/>
        </w:rPr>
        <w:t>%</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kern w:val="0"/>
          <w:sz w:val="32"/>
          <w:szCs w:val="32"/>
          <w:highlight w:val="none"/>
          <w:lang w:eastAsia="zh-CN"/>
        </w:rPr>
        <w:t>人员调离</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9</w:t>
      </w:r>
      <w:r>
        <w:rPr>
          <w:rFonts w:hint="eastAsia" w:ascii="TimesNewRoman" w:hAnsi="TimesNewRoman" w:eastAsia="仿宋_GB2312" w:cs="TimesNewRoman"/>
          <w:color w:val="auto"/>
          <w:kern w:val="0"/>
          <w:sz w:val="32"/>
          <w:szCs w:val="32"/>
          <w:highlight w:val="none"/>
        </w:rPr>
        <w:t>、卫生健康支出（类）行政事业单位医疗（款）公务员医疗补助（项）202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6.74</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kern w:val="0"/>
          <w:sz w:val="32"/>
          <w:szCs w:val="32"/>
          <w:highlight w:val="none"/>
        </w:rPr>
        <w:t>减少</w:t>
      </w:r>
      <w:r>
        <w:rPr>
          <w:rFonts w:hint="eastAsia" w:ascii="TimesNewRoman" w:hAnsi="TimesNewRoman" w:eastAsia="仿宋_GB2312" w:cs="TimesNewRoman"/>
          <w:kern w:val="0"/>
          <w:sz w:val="32"/>
          <w:szCs w:val="32"/>
          <w:highlight w:val="none"/>
          <w:lang w:val="en-US" w:eastAsia="zh-CN"/>
        </w:rPr>
        <w:t>0.30</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下降4.22</w:t>
      </w:r>
      <w:r>
        <w:rPr>
          <w:rFonts w:hint="eastAsia" w:ascii="TimesNewRoman" w:hAnsi="TimesNewRoman" w:eastAsia="仿宋_GB2312" w:cs="TimesNewRoman"/>
          <w:color w:val="auto"/>
          <w:kern w:val="0"/>
          <w:sz w:val="32"/>
          <w:szCs w:val="32"/>
          <w:highlight w:val="none"/>
        </w:rPr>
        <w:t>%</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kern w:val="0"/>
          <w:sz w:val="32"/>
          <w:szCs w:val="32"/>
          <w:highlight w:val="none"/>
          <w:lang w:eastAsia="zh-CN"/>
        </w:rPr>
        <w:t>人员调离</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10</w:t>
      </w:r>
      <w:r>
        <w:rPr>
          <w:rFonts w:hint="eastAsia" w:ascii="TimesNewRoman" w:hAnsi="TimesNewRoman" w:eastAsia="仿宋_GB2312" w:cs="TimesNewRoman"/>
          <w:color w:val="auto"/>
          <w:kern w:val="0"/>
          <w:sz w:val="32"/>
          <w:szCs w:val="32"/>
          <w:highlight w:val="none"/>
        </w:rPr>
        <w:t>、城乡社区支出（类）其他城乡社区支出（款）其他城乡社区支出（项）202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200.00</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与</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一致</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11</w:t>
      </w:r>
      <w:r>
        <w:rPr>
          <w:rFonts w:hint="eastAsia" w:ascii="TimesNewRoman" w:hAnsi="TimesNewRoman" w:eastAsia="仿宋_GB2312" w:cs="TimesNewRoman"/>
          <w:color w:val="auto"/>
          <w:kern w:val="0"/>
          <w:sz w:val="32"/>
          <w:szCs w:val="32"/>
          <w:highlight w:val="none"/>
        </w:rPr>
        <w:t>、住房保障支出（类）住房改革支出（款）住房公积金（项）202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47.28</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年预算增加</w:t>
      </w:r>
      <w:r>
        <w:rPr>
          <w:rFonts w:hint="eastAsia" w:ascii="TimesNewRoman" w:hAnsi="TimesNewRoman" w:eastAsia="仿宋_GB2312" w:cs="TimesNewRoman"/>
          <w:color w:val="auto"/>
          <w:kern w:val="0"/>
          <w:sz w:val="32"/>
          <w:szCs w:val="32"/>
          <w:highlight w:val="none"/>
          <w:lang w:val="en-US" w:eastAsia="zh-CN"/>
        </w:rPr>
        <w:t>3.32</w:t>
      </w:r>
      <w:r>
        <w:rPr>
          <w:rFonts w:hint="eastAsia" w:ascii="TimesNewRoman" w:hAnsi="TimesNewRoman" w:eastAsia="仿宋_GB2312" w:cs="TimesNewRoman"/>
          <w:color w:val="auto"/>
          <w:kern w:val="0"/>
          <w:sz w:val="32"/>
          <w:szCs w:val="32"/>
          <w:highlight w:val="none"/>
        </w:rPr>
        <w:t>万元，增长</w:t>
      </w:r>
      <w:r>
        <w:rPr>
          <w:rFonts w:hint="eastAsia" w:ascii="TimesNewRoman" w:hAnsi="TimesNewRoman" w:eastAsia="仿宋_GB2312" w:cs="TimesNewRoman"/>
          <w:color w:val="auto"/>
          <w:kern w:val="0"/>
          <w:sz w:val="32"/>
          <w:szCs w:val="32"/>
          <w:highlight w:val="none"/>
          <w:lang w:val="en-US" w:eastAsia="zh-CN"/>
        </w:rPr>
        <w:t>7.54</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color w:val="auto"/>
          <w:kern w:val="0"/>
          <w:sz w:val="32"/>
          <w:szCs w:val="32"/>
          <w:highlight w:val="none"/>
          <w:lang w:eastAsia="zh-CN"/>
        </w:rPr>
        <w:t>基数调整</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12</w:t>
      </w:r>
      <w:r>
        <w:rPr>
          <w:rFonts w:hint="eastAsia" w:ascii="TimesNewRoman" w:hAnsi="TimesNewRoman" w:eastAsia="仿宋_GB2312" w:cs="TimesNewRoman"/>
          <w:color w:val="auto"/>
          <w:kern w:val="0"/>
          <w:sz w:val="32"/>
          <w:szCs w:val="32"/>
          <w:highlight w:val="none"/>
        </w:rPr>
        <w:t>、住房保障支出（类）住房改革支出（款）</w:t>
      </w:r>
      <w:r>
        <w:rPr>
          <w:rFonts w:hint="eastAsia" w:ascii="TimesNewRoman" w:hAnsi="TimesNewRoman" w:eastAsia="仿宋_GB2312" w:cs="TimesNewRoman"/>
          <w:color w:val="auto"/>
          <w:kern w:val="0"/>
          <w:sz w:val="32"/>
          <w:szCs w:val="32"/>
          <w:highlight w:val="none"/>
          <w:lang w:val="en-US" w:eastAsia="zh-CN"/>
        </w:rPr>
        <w:t>提租</w:t>
      </w:r>
      <w:r>
        <w:rPr>
          <w:rFonts w:hint="eastAsia" w:ascii="TimesNewRoman" w:hAnsi="TimesNewRoman" w:eastAsia="仿宋_GB2312" w:cs="TimesNewRoman"/>
          <w:color w:val="auto"/>
          <w:kern w:val="0"/>
          <w:sz w:val="32"/>
          <w:szCs w:val="32"/>
          <w:highlight w:val="none"/>
        </w:rPr>
        <w:t>补贴（项）202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11.82</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年预算增加</w:t>
      </w:r>
      <w:r>
        <w:rPr>
          <w:rFonts w:hint="eastAsia" w:ascii="TimesNewRoman" w:hAnsi="TimesNewRoman" w:eastAsia="仿宋_GB2312" w:cs="TimesNewRoman"/>
          <w:color w:val="auto"/>
          <w:kern w:val="0"/>
          <w:sz w:val="32"/>
          <w:szCs w:val="32"/>
          <w:highlight w:val="none"/>
          <w:lang w:val="en-US" w:eastAsia="zh-CN"/>
        </w:rPr>
        <w:t>11.82</w:t>
      </w:r>
      <w:r>
        <w:rPr>
          <w:rFonts w:hint="eastAsia" w:ascii="TimesNewRoman" w:hAnsi="TimesNewRoman" w:eastAsia="仿宋_GB2312" w:cs="TimesNewRoman"/>
          <w:color w:val="auto"/>
          <w:kern w:val="0"/>
          <w:sz w:val="32"/>
          <w:szCs w:val="32"/>
          <w:highlight w:val="none"/>
        </w:rPr>
        <w:t>万元，原因主要是</w:t>
      </w:r>
      <w:r>
        <w:rPr>
          <w:rFonts w:hint="eastAsia" w:ascii="TimesNewRoman" w:hAnsi="TimesNewRoman" w:eastAsia="仿宋_GB2312" w:cs="TimesNewRoman"/>
          <w:color w:val="auto"/>
          <w:kern w:val="0"/>
          <w:sz w:val="32"/>
          <w:szCs w:val="32"/>
          <w:highlight w:val="none"/>
          <w:lang w:eastAsia="zh-CN"/>
        </w:rPr>
        <w:t>政策调整</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val="en-US" w:eastAsia="zh-CN"/>
        </w:rPr>
        <w:t>13</w:t>
      </w:r>
      <w:r>
        <w:rPr>
          <w:rFonts w:hint="eastAsia" w:ascii="TimesNewRoman" w:hAnsi="TimesNewRoman" w:eastAsia="仿宋_GB2312" w:cs="TimesNewRoman"/>
          <w:color w:val="auto"/>
          <w:kern w:val="0"/>
          <w:sz w:val="32"/>
          <w:szCs w:val="32"/>
          <w:highlight w:val="none"/>
        </w:rPr>
        <w:t>、住房保障支出（类）住房改革支出（款）</w:t>
      </w:r>
      <w:r>
        <w:rPr>
          <w:rFonts w:hint="eastAsia" w:ascii="TimesNewRoman" w:hAnsi="TimesNewRoman" w:eastAsia="仿宋_GB2312" w:cs="TimesNewRoman"/>
          <w:color w:val="auto"/>
          <w:kern w:val="0"/>
          <w:sz w:val="32"/>
          <w:szCs w:val="32"/>
          <w:highlight w:val="none"/>
          <w:lang w:val="en-US" w:eastAsia="zh-CN"/>
        </w:rPr>
        <w:t>购房</w:t>
      </w:r>
      <w:r>
        <w:rPr>
          <w:rFonts w:hint="eastAsia" w:ascii="TimesNewRoman" w:hAnsi="TimesNewRoman" w:eastAsia="仿宋_GB2312" w:cs="TimesNewRoman"/>
          <w:color w:val="auto"/>
          <w:kern w:val="0"/>
          <w:sz w:val="32"/>
          <w:szCs w:val="32"/>
          <w:highlight w:val="none"/>
        </w:rPr>
        <w:t>补贴（项）202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19.70</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年预算增加</w:t>
      </w:r>
      <w:r>
        <w:rPr>
          <w:rFonts w:hint="eastAsia" w:ascii="TimesNewRoman" w:hAnsi="TimesNewRoman" w:eastAsia="仿宋_GB2312" w:cs="TimesNewRoman"/>
          <w:color w:val="auto"/>
          <w:kern w:val="0"/>
          <w:sz w:val="32"/>
          <w:szCs w:val="32"/>
          <w:highlight w:val="none"/>
          <w:lang w:val="en-US" w:eastAsia="zh-CN"/>
        </w:rPr>
        <w:t>1.38</w:t>
      </w:r>
      <w:r>
        <w:rPr>
          <w:rFonts w:hint="eastAsia" w:ascii="TimesNewRoman" w:hAnsi="TimesNewRoman" w:eastAsia="仿宋_GB2312" w:cs="TimesNewRoman"/>
          <w:color w:val="auto"/>
          <w:kern w:val="0"/>
          <w:sz w:val="32"/>
          <w:szCs w:val="32"/>
          <w:highlight w:val="none"/>
        </w:rPr>
        <w:t>万元，增长</w:t>
      </w:r>
      <w:r>
        <w:rPr>
          <w:rFonts w:hint="eastAsia" w:ascii="TimesNewRoman" w:hAnsi="TimesNewRoman" w:eastAsia="仿宋_GB2312" w:cs="TimesNewRoman"/>
          <w:color w:val="auto"/>
          <w:kern w:val="0"/>
          <w:sz w:val="32"/>
          <w:szCs w:val="32"/>
          <w:highlight w:val="none"/>
          <w:lang w:val="en-US" w:eastAsia="zh-CN"/>
        </w:rPr>
        <w:t>7.54</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color w:val="auto"/>
          <w:kern w:val="0"/>
          <w:sz w:val="32"/>
          <w:szCs w:val="32"/>
          <w:highlight w:val="none"/>
          <w:lang w:eastAsia="zh-CN"/>
        </w:rPr>
        <w:t>基数调整</w:t>
      </w:r>
      <w:r>
        <w:rPr>
          <w:rFonts w:hint="eastAsia" w:ascii="TimesNewRoman" w:hAnsi="TimesNewRoman" w:eastAsia="仿宋_GB2312" w:cs="TimesNewRoman"/>
          <w:color w:val="auto"/>
          <w:kern w:val="0"/>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六、关于2024年一般公共预算基本支出表的说明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2024年一般公共预算基本支出</w:t>
      </w:r>
      <w:r>
        <w:rPr>
          <w:rFonts w:hint="eastAsia" w:ascii="TimesNewRoman" w:hAnsi="TimesNewRoman" w:eastAsia="仿宋_GB2312" w:cs="TimesNewRoman"/>
          <w:kern w:val="0"/>
          <w:sz w:val="32"/>
          <w:szCs w:val="32"/>
          <w:highlight w:val="none"/>
          <w:lang w:val="en-US" w:eastAsia="zh-CN"/>
        </w:rPr>
        <w:t>563.20</w:t>
      </w:r>
      <w:r>
        <w:rPr>
          <w:rFonts w:hint="eastAsia" w:ascii="TimesNewRoman" w:hAnsi="TimesNewRoman" w:eastAsia="仿宋_GB2312" w:cs="TimesNewRoman"/>
          <w:kern w:val="0"/>
          <w:sz w:val="32"/>
          <w:szCs w:val="32"/>
          <w:highlight w:val="none"/>
        </w:rPr>
        <w:t>万元，其中，人员经费</w:t>
      </w:r>
      <w:r>
        <w:rPr>
          <w:rFonts w:hint="eastAsia" w:ascii="TimesNewRoman" w:hAnsi="TimesNewRoman" w:eastAsia="仿宋_GB2312" w:cs="TimesNewRoman"/>
          <w:kern w:val="0"/>
          <w:sz w:val="32"/>
          <w:szCs w:val="32"/>
          <w:highlight w:val="none"/>
          <w:lang w:val="en-US" w:eastAsia="zh-CN"/>
        </w:rPr>
        <w:t>505.92</w:t>
      </w:r>
      <w:r>
        <w:rPr>
          <w:rFonts w:hint="eastAsia" w:ascii="TimesNewRoman" w:hAnsi="TimesNewRoman" w:eastAsia="仿宋_GB2312" w:cs="TimesNewRoman"/>
          <w:kern w:val="0"/>
          <w:sz w:val="32"/>
          <w:szCs w:val="32"/>
          <w:highlight w:val="none"/>
        </w:rPr>
        <w:t>万元，公用经费</w:t>
      </w:r>
      <w:r>
        <w:rPr>
          <w:rFonts w:hint="eastAsia" w:ascii="TimesNewRoman" w:hAnsi="TimesNewRoman" w:eastAsia="仿宋_GB2312" w:cs="TimesNewRoman"/>
          <w:kern w:val="0"/>
          <w:sz w:val="32"/>
          <w:szCs w:val="32"/>
          <w:highlight w:val="none"/>
          <w:lang w:val="en-US" w:eastAsia="zh-CN"/>
        </w:rPr>
        <w:t>57.28</w:t>
      </w:r>
      <w:r>
        <w:rPr>
          <w:rFonts w:hint="eastAsia" w:ascii="TimesNewRoman" w:hAnsi="TimesNewRoman" w:eastAsia="仿宋_GB2312" w:cs="TimesNewRoman"/>
          <w:kern w:val="0"/>
          <w:sz w:val="32"/>
          <w:szCs w:val="32"/>
          <w:highlight w:val="none"/>
        </w:rPr>
        <w:t>万元。</w:t>
      </w:r>
    </w:p>
    <w:p>
      <w:pPr>
        <w:keepNext w:val="0"/>
        <w:keepLines w:val="0"/>
        <w:pageBreakBefore w:val="0"/>
        <w:kinsoku/>
        <w:wordWrap/>
        <w:overflowPunct/>
        <w:topLinePunct w:val="0"/>
        <w:autoSpaceDE/>
        <w:autoSpaceDN/>
        <w:bidi w:val="0"/>
        <w:spacing w:beforeAutospacing="0" w:afterAutospacing="0" w:line="560" w:lineRule="exact"/>
        <w:ind w:firstLine="642"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b/>
          <w:kern w:val="0"/>
          <w:sz w:val="32"/>
          <w:szCs w:val="32"/>
          <w:highlight w:val="none"/>
        </w:rPr>
        <w:t>（一）人员经费</w:t>
      </w:r>
      <w:r>
        <w:rPr>
          <w:rFonts w:hint="eastAsia" w:ascii="TimesNewRoman" w:hAnsi="TimesNewRoman" w:eastAsia="仿宋_GB2312" w:cs="TimesNewRoman"/>
          <w:kern w:val="0"/>
          <w:sz w:val="32"/>
          <w:szCs w:val="32"/>
          <w:highlight w:val="none"/>
          <w:lang w:val="en-US" w:eastAsia="zh-CN"/>
        </w:rPr>
        <w:t>505.92</w:t>
      </w:r>
      <w:r>
        <w:rPr>
          <w:rFonts w:hint="eastAsia" w:ascii="TimesNewRoman" w:hAnsi="TimesNewRoman" w:eastAsia="仿宋_GB2312" w:cs="TimesNewRoman"/>
          <w:b/>
          <w:kern w:val="0"/>
          <w:sz w:val="32"/>
          <w:szCs w:val="32"/>
          <w:highlight w:val="none"/>
        </w:rPr>
        <w:t>万元，</w:t>
      </w:r>
      <w:r>
        <w:rPr>
          <w:rFonts w:hint="eastAsia" w:ascii="TimesNewRoman" w:hAnsi="TimesNewRoman" w:eastAsia="仿宋_GB2312" w:cs="TimesNewRoman"/>
          <w:kern w:val="0"/>
          <w:sz w:val="32"/>
          <w:szCs w:val="32"/>
          <w:highlight w:val="none"/>
        </w:rPr>
        <w:t>主要包括:</w:t>
      </w:r>
      <w:r>
        <w:rPr>
          <w:rFonts w:hint="eastAsia" w:ascii="TimesNewRoman" w:hAnsi="TimesNewRoman" w:eastAsia="仿宋_GB2312" w:cs="TimesNewRoman"/>
          <w:color w:val="auto"/>
          <w:kern w:val="0"/>
          <w:sz w:val="32"/>
          <w:szCs w:val="32"/>
          <w:highlight w:val="none"/>
        </w:rPr>
        <w:t>基本工资、津贴补贴、奖金、伙食补助费、绩效工资、机关事业单位基本养老保险费、职业年金缴费、职工基本医疗保险缴费、公务员医疗补助缴费、其他社会保障缴费、办公费</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工会经费、福利费、其他商品服务支出</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住房公积金、医疗费、其他工资福利支出、退休费、医疗费补助、对其他个人和家庭的补助支出。</w:t>
      </w:r>
    </w:p>
    <w:p>
      <w:pPr>
        <w:keepNext w:val="0"/>
        <w:keepLines w:val="0"/>
        <w:pageBreakBefore w:val="0"/>
        <w:kinsoku/>
        <w:wordWrap/>
        <w:overflowPunct/>
        <w:topLinePunct w:val="0"/>
        <w:autoSpaceDE/>
        <w:autoSpaceDN/>
        <w:bidi w:val="0"/>
        <w:spacing w:beforeAutospacing="0" w:afterAutospacing="0" w:line="560" w:lineRule="exact"/>
        <w:ind w:firstLine="642"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b/>
          <w:kern w:val="0"/>
          <w:sz w:val="32"/>
          <w:szCs w:val="32"/>
          <w:highlight w:val="none"/>
        </w:rPr>
        <w:t>（二）公用经费</w:t>
      </w:r>
      <w:r>
        <w:rPr>
          <w:rFonts w:hint="eastAsia" w:ascii="TimesNewRoman" w:hAnsi="TimesNewRoman" w:eastAsia="仿宋_GB2312" w:cs="TimesNewRoman"/>
          <w:kern w:val="0"/>
          <w:sz w:val="32"/>
          <w:szCs w:val="32"/>
          <w:highlight w:val="none"/>
          <w:lang w:val="en-US" w:eastAsia="zh-CN"/>
        </w:rPr>
        <w:t>57.28</w:t>
      </w:r>
      <w:r>
        <w:rPr>
          <w:rFonts w:hint="eastAsia" w:ascii="TimesNewRoman" w:hAnsi="TimesNewRoman" w:eastAsia="仿宋_GB2312" w:cs="TimesNewRoman"/>
          <w:b/>
          <w:kern w:val="0"/>
          <w:sz w:val="32"/>
          <w:szCs w:val="32"/>
          <w:highlight w:val="none"/>
        </w:rPr>
        <w:t>万元，</w:t>
      </w:r>
      <w:r>
        <w:rPr>
          <w:rFonts w:hint="eastAsia" w:ascii="TimesNewRoman" w:hAnsi="TimesNewRoman" w:eastAsia="仿宋_GB2312" w:cs="TimesNewRoman"/>
          <w:kern w:val="0"/>
          <w:sz w:val="32"/>
          <w:szCs w:val="32"/>
          <w:highlight w:val="none"/>
        </w:rPr>
        <w:t>主要包括：</w:t>
      </w:r>
      <w:r>
        <w:rPr>
          <w:rFonts w:hint="eastAsia" w:ascii="TimesNewRoman" w:hAnsi="TimesNewRoman" w:eastAsia="仿宋_GB2312" w:cs="TimesNewRoman"/>
          <w:color w:val="auto"/>
          <w:kern w:val="0"/>
          <w:sz w:val="32"/>
          <w:szCs w:val="32"/>
          <w:highlight w:val="none"/>
        </w:rPr>
        <w:t>办公费、</w:t>
      </w:r>
      <w:r>
        <w:rPr>
          <w:rFonts w:hint="eastAsia" w:ascii="TimesNewRoman" w:hAnsi="TimesNewRoman" w:eastAsia="仿宋_GB2312" w:cs="TimesNewRoman"/>
          <w:color w:val="auto"/>
          <w:kern w:val="0"/>
          <w:sz w:val="32"/>
          <w:szCs w:val="32"/>
          <w:highlight w:val="none"/>
          <w:lang w:val="en-US" w:eastAsia="zh-CN"/>
        </w:rPr>
        <w:t>劳务</w:t>
      </w:r>
      <w:r>
        <w:rPr>
          <w:rFonts w:hint="eastAsia" w:ascii="TimesNewRoman" w:hAnsi="TimesNewRoman" w:eastAsia="仿宋_GB2312" w:cs="TimesNewRoman"/>
          <w:color w:val="auto"/>
          <w:kern w:val="0"/>
          <w:sz w:val="32"/>
          <w:szCs w:val="32"/>
          <w:highlight w:val="none"/>
        </w:rPr>
        <w:t>费、其他交通费用</w:t>
      </w:r>
      <w:r>
        <w:rPr>
          <w:rFonts w:hint="eastAsia" w:ascii="TimesNewRoman" w:hAnsi="TimesNewRoman" w:eastAsia="仿宋_GB2312" w:cs="TimesNewRoman"/>
          <w:color w:val="auto"/>
          <w:kern w:val="0"/>
          <w:sz w:val="32"/>
          <w:szCs w:val="32"/>
          <w:highlight w:val="none"/>
          <w:lang w:eastAsia="zh-CN"/>
        </w:rPr>
        <w:t>、</w:t>
      </w:r>
      <w:r>
        <w:rPr>
          <w:rFonts w:hint="eastAsia" w:ascii="TimesNewRoman" w:hAnsi="TimesNewRoman" w:eastAsia="仿宋_GB2312" w:cs="TimesNewRoman"/>
          <w:color w:val="auto"/>
          <w:kern w:val="0"/>
          <w:sz w:val="32"/>
          <w:szCs w:val="32"/>
          <w:highlight w:val="none"/>
        </w:rPr>
        <w:t>其他商品服务支出。</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七、关于2024年政府性基金预算支出表的说明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2024年没有政府性基金预算拨款收入，也没有使用政府性基金预算拨款安排的支出。</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八、关于2024年国有资本经营预算支出表的说明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2024年没有国有资本经营预算拨款收入，也没有使用国有资本经营预算拨款安排的支出。</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九、关于2024年项目支出表的说明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2024年预算共安排项目支出</w:t>
      </w:r>
      <w:r>
        <w:rPr>
          <w:rFonts w:hint="eastAsia" w:ascii="TimesNewRoman" w:hAnsi="TimesNewRoman" w:eastAsia="仿宋_GB2312" w:cs="TimesNewRoman"/>
          <w:kern w:val="0"/>
          <w:sz w:val="32"/>
          <w:szCs w:val="32"/>
          <w:highlight w:val="none"/>
          <w:lang w:val="en-US" w:eastAsia="zh-CN"/>
        </w:rPr>
        <w:t>2，987.98</w:t>
      </w:r>
      <w:r>
        <w:rPr>
          <w:rFonts w:hint="eastAsia" w:ascii="TimesNewRoman" w:hAnsi="TimesNewRoman" w:eastAsia="仿宋_GB2312" w:cs="TimesNewRoman"/>
          <w:kern w:val="0"/>
          <w:sz w:val="32"/>
          <w:szCs w:val="32"/>
          <w:highlight w:val="none"/>
        </w:rPr>
        <w:t>万元，比2023年预算增加</w:t>
      </w:r>
      <w:r>
        <w:rPr>
          <w:rFonts w:hint="eastAsia" w:ascii="TimesNewRoman" w:hAnsi="TimesNewRoman" w:eastAsia="仿宋_GB2312" w:cs="TimesNewRoman"/>
          <w:kern w:val="0"/>
          <w:sz w:val="32"/>
          <w:szCs w:val="32"/>
          <w:highlight w:val="none"/>
          <w:lang w:val="en-US" w:eastAsia="zh-CN"/>
        </w:rPr>
        <w:t>138.99</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4.88</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房租收入增加</w:t>
      </w:r>
      <w:r>
        <w:rPr>
          <w:rFonts w:hint="eastAsia" w:ascii="TimesNewRoman" w:hAnsi="TimesNewRoman" w:eastAsia="仿宋_GB2312" w:cs="TimesNewRoman"/>
          <w:kern w:val="0"/>
          <w:sz w:val="32"/>
          <w:szCs w:val="32"/>
          <w:highlight w:val="none"/>
        </w:rPr>
        <w:t>。主要包括：本年财政拨款安排</w:t>
      </w:r>
      <w:r>
        <w:rPr>
          <w:rFonts w:hint="eastAsia" w:ascii="TimesNewRoman" w:hAnsi="TimesNewRoman" w:eastAsia="仿宋_GB2312" w:cs="TimesNewRoman"/>
          <w:kern w:val="0"/>
          <w:sz w:val="32"/>
          <w:szCs w:val="32"/>
          <w:highlight w:val="none"/>
          <w:lang w:val="en-US" w:eastAsia="zh-CN"/>
        </w:rPr>
        <w:t>2，987.98</w:t>
      </w:r>
      <w:r>
        <w:rPr>
          <w:rFonts w:hint="eastAsia" w:ascii="TimesNewRoman" w:hAnsi="TimesNewRoman" w:eastAsia="仿宋_GB2312" w:cs="TimesNewRoman"/>
          <w:kern w:val="0"/>
          <w:sz w:val="32"/>
          <w:szCs w:val="32"/>
          <w:highlight w:val="none"/>
        </w:rPr>
        <w:t>万元（其中，一般公共预算拨款安排</w:t>
      </w:r>
      <w:r>
        <w:rPr>
          <w:rFonts w:hint="eastAsia" w:ascii="TimesNewRoman" w:hAnsi="TimesNewRoman" w:eastAsia="仿宋_GB2312" w:cs="TimesNewRoman"/>
          <w:kern w:val="0"/>
          <w:sz w:val="32"/>
          <w:szCs w:val="32"/>
          <w:highlight w:val="none"/>
          <w:lang w:val="en-US" w:eastAsia="zh-CN"/>
        </w:rPr>
        <w:t>2，987.98</w:t>
      </w:r>
      <w:r>
        <w:rPr>
          <w:rFonts w:hint="eastAsia" w:ascii="TimesNewRoman" w:hAnsi="TimesNewRoman" w:eastAsia="仿宋_GB2312" w:cs="TimesNewRoman"/>
          <w:kern w:val="0"/>
          <w:sz w:val="32"/>
          <w:szCs w:val="32"/>
          <w:highlight w:val="none"/>
        </w:rPr>
        <w:t>万元，政府性基金预算拨款安排</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万元），财政专户管理资金安排</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十、关于2024年政府采购支出表的说明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2024年预算安排政府采购支出</w:t>
      </w:r>
      <w:r>
        <w:rPr>
          <w:rFonts w:hint="eastAsia" w:ascii="TimesNewRoman" w:hAnsi="TimesNewRoman" w:eastAsia="仿宋_GB2312" w:cs="TimesNewRoman"/>
          <w:kern w:val="0"/>
          <w:sz w:val="32"/>
          <w:szCs w:val="32"/>
          <w:highlight w:val="none"/>
          <w:lang w:val="en-US" w:eastAsia="zh-CN"/>
        </w:rPr>
        <w:t>208.50</w:t>
      </w:r>
      <w:r>
        <w:rPr>
          <w:rFonts w:hint="eastAsia" w:ascii="TimesNewRoman" w:hAnsi="TimesNewRoman" w:eastAsia="仿宋_GB2312" w:cs="TimesNewRoman"/>
          <w:kern w:val="0"/>
          <w:sz w:val="32"/>
          <w:szCs w:val="32"/>
          <w:highlight w:val="none"/>
        </w:rPr>
        <w:t>万元，比2023年预算增加</w:t>
      </w:r>
      <w:r>
        <w:rPr>
          <w:rFonts w:hint="eastAsia" w:ascii="TimesNewRoman" w:hAnsi="TimesNewRoman" w:eastAsia="仿宋_GB2312" w:cs="TimesNewRoman"/>
          <w:kern w:val="0"/>
          <w:sz w:val="32"/>
          <w:szCs w:val="32"/>
          <w:highlight w:val="none"/>
          <w:lang w:val="en-US" w:eastAsia="zh-CN"/>
        </w:rPr>
        <w:t>101.85</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95.50</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“周转楼运行保障经费”</w:t>
      </w:r>
      <w:r>
        <w:rPr>
          <w:rFonts w:hint="eastAsia" w:ascii="TimesNewRoman" w:hAnsi="TimesNewRoman" w:eastAsia="仿宋_GB2312" w:cs="TimesNewRoman"/>
          <w:kern w:val="0"/>
          <w:sz w:val="32"/>
          <w:szCs w:val="32"/>
          <w:highlight w:val="none"/>
          <w:lang w:val="en-US" w:eastAsia="zh-CN"/>
        </w:rPr>
        <w:t>2023年未纳入政府采购</w:t>
      </w:r>
      <w:r>
        <w:rPr>
          <w:rFonts w:hint="eastAsia" w:ascii="TimesNewRoman" w:hAnsi="TimesNewRoman" w:eastAsia="仿宋_GB2312" w:cs="TimesNewRoman"/>
          <w:kern w:val="0"/>
          <w:sz w:val="32"/>
          <w:szCs w:val="32"/>
          <w:highlight w:val="none"/>
        </w:rPr>
        <w:t>。其中，一般公共预算安排</w:t>
      </w:r>
      <w:r>
        <w:rPr>
          <w:rFonts w:hint="eastAsia" w:ascii="TimesNewRoman" w:hAnsi="TimesNewRoman" w:eastAsia="仿宋_GB2312" w:cs="TimesNewRoman"/>
          <w:kern w:val="0"/>
          <w:sz w:val="32"/>
          <w:szCs w:val="32"/>
          <w:highlight w:val="none"/>
          <w:lang w:val="en-US" w:eastAsia="zh-CN"/>
        </w:rPr>
        <w:t>208.50</w:t>
      </w:r>
      <w:r>
        <w:rPr>
          <w:rFonts w:hint="eastAsia" w:ascii="TimesNewRoman" w:hAnsi="TimesNewRoman" w:eastAsia="仿宋_GB2312" w:cs="TimesNewRoman"/>
          <w:kern w:val="0"/>
          <w:sz w:val="32"/>
          <w:szCs w:val="32"/>
          <w:highlight w:val="none"/>
        </w:rPr>
        <w:t>万元，</w:t>
      </w:r>
      <w:r>
        <w:rPr>
          <w:rFonts w:hint="eastAsia" w:ascii="TimesNewRoman" w:hAnsi="TimesNewRoman" w:eastAsia="仿宋_GB2312" w:cs="TimesNewRoman"/>
          <w:color w:val="auto"/>
          <w:kern w:val="0"/>
          <w:sz w:val="32"/>
          <w:szCs w:val="32"/>
          <w:highlight w:val="none"/>
        </w:rPr>
        <w:t>占</w:t>
      </w:r>
      <w:r>
        <w:rPr>
          <w:rFonts w:hint="eastAsia" w:ascii="TimesNewRoman" w:hAnsi="TimesNewRoman" w:eastAsia="仿宋_GB2312" w:cs="TimesNewRoman"/>
          <w:color w:val="auto"/>
          <w:kern w:val="0"/>
          <w:sz w:val="32"/>
          <w:szCs w:val="32"/>
          <w:highlight w:val="none"/>
          <w:lang w:val="en-US" w:eastAsia="zh-CN"/>
        </w:rPr>
        <w:t>100.00</w:t>
      </w:r>
      <w:r>
        <w:rPr>
          <w:rFonts w:hint="eastAsia" w:ascii="TimesNewRoman" w:hAnsi="TimesNewRoman" w:eastAsia="仿宋_GB2312" w:cs="TimesNewRoman"/>
          <w:color w:val="auto"/>
          <w:kern w:val="0"/>
          <w:sz w:val="32"/>
          <w:szCs w:val="32"/>
          <w:highlight w:val="none"/>
        </w:rPr>
        <w:t>%；政府性基金预算安排</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万元，占</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%；财政专户管理资金安排</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万元，占</w:t>
      </w:r>
      <w:r>
        <w:rPr>
          <w:rFonts w:hint="eastAsia" w:ascii="TimesNewRoman" w:hAnsi="TimesNewRoman" w:eastAsia="仿宋_GB2312" w:cs="TimesNewRoman"/>
          <w:color w:val="auto"/>
          <w:kern w:val="0"/>
          <w:sz w:val="32"/>
          <w:szCs w:val="32"/>
          <w:highlight w:val="none"/>
          <w:lang w:val="en-US" w:eastAsia="zh-CN"/>
        </w:rPr>
        <w:t>0.00</w:t>
      </w:r>
      <w:r>
        <w:rPr>
          <w:rFonts w:hint="eastAsia" w:ascii="TimesNewRoman" w:hAnsi="TimesNewRoman" w:eastAsia="仿宋_GB2312" w:cs="TimesNewRoman"/>
          <w:color w:val="auto"/>
          <w:kern w:val="0"/>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十一、关于2024年政府购买服务支出表的说明</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2024年预算安排政府购买服务支出</w:t>
      </w:r>
      <w:r>
        <w:rPr>
          <w:rFonts w:hint="eastAsia" w:ascii="TimesNewRoman" w:hAnsi="TimesNewRoman" w:eastAsia="仿宋_GB2312" w:cs="TimesNewRoman"/>
          <w:kern w:val="0"/>
          <w:sz w:val="32"/>
          <w:szCs w:val="32"/>
          <w:highlight w:val="none"/>
          <w:lang w:val="en-US" w:eastAsia="zh-CN"/>
        </w:rPr>
        <w:t>104.50</w:t>
      </w:r>
      <w:r>
        <w:rPr>
          <w:rFonts w:hint="eastAsia" w:ascii="TimesNewRoman" w:hAnsi="TimesNewRoman" w:eastAsia="仿宋_GB2312" w:cs="TimesNewRoman"/>
          <w:kern w:val="0"/>
          <w:sz w:val="32"/>
          <w:szCs w:val="32"/>
          <w:highlight w:val="none"/>
        </w:rPr>
        <w:t>万元，比2023年预算增加</w:t>
      </w:r>
      <w:r>
        <w:rPr>
          <w:rFonts w:hint="eastAsia" w:ascii="TimesNewRoman" w:hAnsi="TimesNewRoman" w:eastAsia="仿宋_GB2312" w:cs="TimesNewRoman"/>
          <w:kern w:val="0"/>
          <w:sz w:val="32"/>
          <w:szCs w:val="32"/>
          <w:highlight w:val="none"/>
          <w:lang w:val="en-US" w:eastAsia="zh-CN"/>
        </w:rPr>
        <w:t>24.5</w:t>
      </w:r>
      <w:r>
        <w:rPr>
          <w:rFonts w:hint="eastAsia" w:ascii="TimesNewRoman" w:hAnsi="TimesNewRoman" w:eastAsia="仿宋_GB2312" w:cs="TimesNewRoman"/>
          <w:kern w:val="0"/>
          <w:sz w:val="32"/>
          <w:szCs w:val="32"/>
          <w:highlight w:val="none"/>
        </w:rPr>
        <w:t>万元，增长</w:t>
      </w:r>
      <w:r>
        <w:rPr>
          <w:rFonts w:hint="eastAsia" w:ascii="TimesNewRoman" w:hAnsi="TimesNewRoman" w:eastAsia="仿宋_GB2312" w:cs="TimesNewRoman"/>
          <w:kern w:val="0"/>
          <w:sz w:val="32"/>
          <w:szCs w:val="32"/>
          <w:highlight w:val="none"/>
          <w:lang w:val="en-US" w:eastAsia="zh-CN"/>
        </w:rPr>
        <w:t>30.63</w:t>
      </w:r>
      <w:r>
        <w:rPr>
          <w:rFonts w:hint="eastAsia" w:ascii="TimesNewRoman" w:hAnsi="TimesNewRoman" w:eastAsia="仿宋_GB2312" w:cs="TimesNewRoman"/>
          <w:kern w:val="0"/>
          <w:sz w:val="32"/>
          <w:szCs w:val="32"/>
          <w:highlight w:val="none"/>
        </w:rPr>
        <w:t>%，原因主要是</w:t>
      </w:r>
      <w:r>
        <w:rPr>
          <w:rFonts w:hint="eastAsia" w:ascii="TimesNewRoman" w:hAnsi="TimesNewRoman" w:eastAsia="仿宋_GB2312" w:cs="TimesNewRoman"/>
          <w:kern w:val="0"/>
          <w:sz w:val="32"/>
          <w:szCs w:val="32"/>
          <w:highlight w:val="none"/>
          <w:lang w:eastAsia="zh-CN"/>
        </w:rPr>
        <w:t>“周转楼运行保障经费”增加</w:t>
      </w:r>
      <w:r>
        <w:rPr>
          <w:rFonts w:hint="eastAsia" w:ascii="TimesNewRoman" w:hAnsi="TimesNewRoman" w:eastAsia="仿宋_GB2312" w:cs="TimesNewRoman"/>
          <w:kern w:val="0"/>
          <w:sz w:val="32"/>
          <w:szCs w:val="32"/>
          <w:highlight w:val="none"/>
        </w:rPr>
        <w:t>。</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7" w:firstLineChars="196"/>
        <w:textAlignment w:val="auto"/>
        <w:rPr>
          <w:rFonts w:ascii="TimesNewRoman" w:hAnsi="TimesNewRoman" w:eastAsia="黑体" w:cs="TimesNewRoman"/>
          <w:bCs/>
          <w:sz w:val="32"/>
          <w:szCs w:val="32"/>
          <w:highlight w:val="none"/>
        </w:rPr>
      </w:pPr>
      <w:r>
        <w:rPr>
          <w:rFonts w:hint="eastAsia" w:ascii="TimesNewRoman" w:hAnsi="TimesNewRoman" w:eastAsia="黑体" w:cs="TimesNewRoman"/>
          <w:bCs/>
          <w:sz w:val="32"/>
          <w:szCs w:val="32"/>
          <w:highlight w:val="none"/>
        </w:rPr>
        <w:t>十二、其他重要事项情况说明</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（一）项目及绩效目标情况。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1、“机关事务业务费”项目。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（1）项目概述。机关聘用保洁、保安、会务人员的服装、办公用房维修基金和税金及其附加等费用。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color w:val="auto"/>
          <w:kern w:val="0"/>
          <w:sz w:val="32"/>
          <w:szCs w:val="32"/>
          <w:highlight w:val="none"/>
        </w:rPr>
        <w:t>淮政办</w:t>
      </w:r>
      <w:r>
        <w:rPr>
          <w:rFonts w:hint="eastAsia" w:ascii="TimesNewRoman" w:hAnsi="TimesNewRoman" w:eastAsia="仿宋_GB2312" w:cs="TimesNewRoman"/>
          <w:kern w:val="0"/>
          <w:sz w:val="32"/>
          <w:szCs w:val="32"/>
          <w:highlight w:val="none"/>
        </w:rPr>
        <w:t>[2019]19号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（5）项目内容。</w:t>
      </w:r>
      <w:r>
        <w:rPr>
          <w:rFonts w:hint="eastAsia" w:ascii="TimesNewRoman" w:hAnsi="TimesNewRoman" w:eastAsia="仿宋_GB2312" w:cs="TimesNewRoman"/>
          <w:kern w:val="0"/>
          <w:sz w:val="32"/>
          <w:szCs w:val="32"/>
          <w:highlight w:val="none"/>
          <w:lang w:val="en-US" w:eastAsia="zh-CN"/>
        </w:rPr>
        <w:t>负责</w:t>
      </w:r>
      <w:r>
        <w:rPr>
          <w:rFonts w:hint="eastAsia" w:ascii="TimesNewRoman" w:hAnsi="TimesNewRoman" w:eastAsia="仿宋_GB2312" w:cs="TimesNewRoman"/>
          <w:kern w:val="0"/>
          <w:sz w:val="32"/>
          <w:szCs w:val="32"/>
          <w:highlight w:val="none"/>
        </w:rPr>
        <w:t>机关聘用保洁、保安、会务人员的服装、办公用房维修基金和税金及其附加等费用。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43.84万元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2</w:t>
      </w:r>
      <w:r>
        <w:rPr>
          <w:rFonts w:hint="eastAsia" w:ascii="TimesNewRoman" w:hAnsi="TimesNewRoman" w:eastAsia="仿宋_GB2312" w:cs="TimesNewRoman"/>
          <w:kern w:val="0"/>
          <w:sz w:val="32"/>
          <w:szCs w:val="32"/>
          <w:highlight w:val="none"/>
        </w:rPr>
        <w:t>、“市直办公用房维修专项经费”项目。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（1）项目概述。市级党政机关办公用房管理，由市机关事务管理中心负责规划、权属、调剂、使用监管、处置、维修等</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（2）立项依据。淮办发【2021】1号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（5）项目内容。市级党政机关办公用房管理，由市机关事务管理中心负责规划、权属、调剂、使用监管、处置、维修等。</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200.00万元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3</w:t>
      </w:r>
      <w:r>
        <w:rPr>
          <w:rFonts w:hint="eastAsia" w:ascii="TimesNewRoman" w:hAnsi="TimesNewRoman" w:eastAsia="仿宋_GB2312" w:cs="TimesNewRoman"/>
          <w:kern w:val="0"/>
          <w:sz w:val="32"/>
          <w:szCs w:val="32"/>
          <w:highlight w:val="none"/>
        </w:rPr>
        <w:t>、“车辆更新购置经费”项目。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（1）项目概述。市直保留公务用车更新购置支出</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（2）立项依据。淮政办[2015]27号、办[2019]19号文件</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w:t>
      </w:r>
      <w:r>
        <w:rPr>
          <w:rFonts w:hint="eastAsia" w:ascii="TimesNewRoman" w:hAnsi="TimesNewRoman" w:eastAsia="仿宋_GB2312" w:cs="TimesNewRoman"/>
          <w:color w:val="auto"/>
          <w:kern w:val="0"/>
          <w:sz w:val="32"/>
          <w:szCs w:val="32"/>
          <w:highlight w:val="none"/>
          <w:lang w:val="en-US" w:eastAsia="zh-CN"/>
        </w:rPr>
        <w:t>12</w:t>
      </w:r>
      <w:r>
        <w:rPr>
          <w:rFonts w:hint="eastAsia" w:ascii="TimesNewRoman" w:hAnsi="TimesNewRoman" w:eastAsia="仿宋_GB2312" w:cs="TimesNewRoman"/>
          <w:color w:val="auto"/>
          <w:kern w:val="0"/>
          <w:sz w:val="32"/>
          <w:szCs w:val="32"/>
          <w:highlight w:val="none"/>
        </w:rPr>
        <w:t>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（5）项目内容。市直保留公务用车更新购置支出</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104.00万元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4</w:t>
      </w:r>
      <w:r>
        <w:rPr>
          <w:rFonts w:hint="eastAsia" w:ascii="TimesNewRoman" w:hAnsi="TimesNewRoman" w:eastAsia="仿宋_GB2312" w:cs="TimesNewRoman"/>
          <w:kern w:val="0"/>
          <w:sz w:val="32"/>
          <w:szCs w:val="32"/>
          <w:highlight w:val="none"/>
        </w:rPr>
        <w:t>、“公务用车运行费”项目。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（1）项目概述。市直保留公务用车运行维修（护）费支出；费用测算情况：115辆车市直保留车，另有5辆为租赁的新能源车，按合同价支付。</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楷体" w:eastAsia="仿宋_GB2312"/>
          <w:color w:val="auto"/>
          <w:sz w:val="32"/>
          <w:szCs w:val="32"/>
          <w:highlight w:val="none"/>
        </w:rPr>
      </w:pPr>
      <w:r>
        <w:rPr>
          <w:rFonts w:hint="eastAsia" w:ascii="TimesNewRoman" w:hAnsi="TimesNewRoman" w:eastAsia="仿宋_GB2312" w:cs="TimesNewRoman"/>
          <w:kern w:val="0"/>
          <w:sz w:val="32"/>
          <w:szCs w:val="32"/>
          <w:highlight w:val="none"/>
        </w:rPr>
        <w:t>（5）项目内容。</w:t>
      </w:r>
      <w:r>
        <w:rPr>
          <w:rFonts w:hint="eastAsia" w:ascii="仿宋_GB2312" w:hAnsi="楷体" w:eastAsia="仿宋_GB2312"/>
          <w:color w:val="auto"/>
          <w:sz w:val="32"/>
          <w:szCs w:val="32"/>
          <w:highlight w:val="none"/>
        </w:rPr>
        <w:t>负责市直机关公务用车管理、服务、保障工作。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427.92万元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5</w:t>
      </w:r>
      <w:r>
        <w:rPr>
          <w:rFonts w:hint="eastAsia" w:ascii="TimesNewRoman" w:hAnsi="TimesNewRoman" w:eastAsia="仿宋_GB2312" w:cs="TimesNewRoman"/>
          <w:kern w:val="0"/>
          <w:sz w:val="32"/>
          <w:szCs w:val="32"/>
          <w:highlight w:val="none"/>
        </w:rPr>
        <w:t>、“公车平台司勤人员经费”项目。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（1）项目概述。市直保留公务用车司勤人员的工资和保险支出；费用测算情况：司勤人员80人的工资、保险等费用。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（5）项目内容。市直保留公务用车司勤人员的工资和保险支出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455.00万元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6</w:t>
      </w:r>
      <w:r>
        <w:rPr>
          <w:rFonts w:hint="eastAsia" w:ascii="TimesNewRoman" w:hAnsi="TimesNewRoman" w:eastAsia="仿宋_GB2312" w:cs="TimesNewRoman"/>
          <w:kern w:val="0"/>
          <w:sz w:val="32"/>
          <w:szCs w:val="32"/>
          <w:highlight w:val="none"/>
        </w:rPr>
        <w:t>、“机关食堂运行保障经费”项目。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（1）项目概述。机关食堂的设备购置及维修（护）费及公共区域水电费；支付租赁中泰国际广场二期商业3号楼负一层，面积3331.54平方米费用。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（5）项目内容。机关食堂的设备购置及维修（护）费及公共区域水电费；支付租赁中泰国际广场二期商业3号楼负一层费用。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314.77万元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7</w:t>
      </w:r>
      <w:r>
        <w:rPr>
          <w:rFonts w:hint="eastAsia" w:ascii="TimesNewRoman" w:hAnsi="TimesNewRoman" w:eastAsia="仿宋_GB2312" w:cs="TimesNewRoman"/>
          <w:kern w:val="0"/>
          <w:sz w:val="32"/>
          <w:szCs w:val="32"/>
          <w:highlight w:val="none"/>
        </w:rPr>
        <w:t>、“公务活动保障经费”项目。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（1）项目概述。负责市党机关国内公务接待及赴外省、市考察学习等支出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（5）项目内容。负责市党机关国内公务接待及赴外省、市考察学习等支出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229.04万元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8</w:t>
      </w:r>
      <w:r>
        <w:rPr>
          <w:rFonts w:hint="eastAsia" w:ascii="TimesNewRoman" w:hAnsi="TimesNewRoman" w:eastAsia="仿宋_GB2312" w:cs="TimesNewRoman"/>
          <w:kern w:val="0"/>
          <w:sz w:val="32"/>
          <w:szCs w:val="32"/>
          <w:highlight w:val="none"/>
        </w:rPr>
        <w:t>、“保留公务用车运行管理费”项目。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（1）项目概述。公车管理产生的办公费用及支付委托建投管理司勤人员代理费及司勤人员通讯费及其他费用；市直保留公务用车平台软件管理支出；费用测算情况：按合同执行</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（5）项目内容。公车管理产生的办公费用及支付委托建投管理司勤人员代理费及司勤人员通讯费及其他费用；市直保留公务用车平台软件管理支出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63.02万元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9</w:t>
      </w:r>
      <w:r>
        <w:rPr>
          <w:rFonts w:hint="eastAsia" w:ascii="TimesNewRoman" w:hAnsi="TimesNewRoman" w:eastAsia="仿宋_GB2312" w:cs="TimesNewRoman"/>
          <w:kern w:val="0"/>
          <w:sz w:val="32"/>
          <w:szCs w:val="32"/>
          <w:highlight w:val="none"/>
        </w:rPr>
        <w:t>、“大楼运行费”项目。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1）项目概述。行政大楼、老市委大院、招商大厦、信访大楼、医保局大楼、科技局大楼、商务局大楼、干部周转楼近50家单位的电费、水费及排污费，大楼内外公共环境房产维修、保安、保洁及绿化、美化所需费用，空调、监控、电梯、消防等设备的更新及养护、日常维修及其他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负责行政大楼、老市委大院、招商大厦、信访大楼、医保局大楼、科技局大楼、商务局大楼、干部周转楼近50家单位的电费、水费及排污费，大楼内外公共环境房产维修、保安、保洁及绿化、美化所需费用，空调、监控、电梯、消防等设备的更新及养护、日常维修及其他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540.58万元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10</w:t>
      </w:r>
      <w:r>
        <w:rPr>
          <w:rFonts w:hint="eastAsia" w:ascii="TimesNewRoman" w:hAnsi="TimesNewRoman" w:eastAsia="仿宋_GB2312" w:cs="TimesNewRoman"/>
          <w:kern w:val="0"/>
          <w:sz w:val="32"/>
          <w:szCs w:val="32"/>
          <w:highlight w:val="none"/>
        </w:rPr>
        <w:t>、“单位劳务保障支出”项目。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（1）项目概述。聘用88人工资及各种保险支出和175人伙食费支出；公益性岗位以外人员工资和各种保险及夜班补助季度考核奖励等支出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（5）项目内容。负责聘用88人工资及各种保险支出和175人伙食费支出；公益性岗位以外人员工资和各种保险及夜班补助季度考核奖励等支出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505.31万元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val="en-US" w:eastAsia="zh-CN"/>
        </w:rPr>
        <w:t>11</w:t>
      </w:r>
      <w:r>
        <w:rPr>
          <w:rFonts w:hint="eastAsia" w:ascii="TimesNewRoman" w:hAnsi="TimesNewRoman" w:eastAsia="仿宋_GB2312" w:cs="TimesNewRoman"/>
          <w:kern w:val="0"/>
          <w:sz w:val="32"/>
          <w:szCs w:val="32"/>
          <w:highlight w:val="none"/>
        </w:rPr>
        <w:t>、“市级干部交流周转房运行保障经费”项目。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（1）项目概述。我市市级干部交流周转房，位于淮北市南湖路202号，建有2栋住宅楼（共有住房22套）、1栋综合保障楼（内设会议室、餐厅、厨房等），占地总面积约7481.36平方米，于2017年5月1日正式使用。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（2）立项依据。淮政办[2015]27号</w:t>
      </w:r>
      <w:r>
        <w:rPr>
          <w:rFonts w:hint="eastAsia" w:ascii="TimesNewRoman" w:hAnsi="TimesNewRoman" w:eastAsia="仿宋_GB2312" w:cs="TimesNewRoman"/>
          <w:kern w:val="0"/>
          <w:sz w:val="32"/>
          <w:szCs w:val="32"/>
          <w:highlight w:val="none"/>
          <w:lang w:val="en-US" w:eastAsia="zh-CN"/>
        </w:rPr>
        <w:t xml:space="preserve"> </w:t>
      </w:r>
      <w:r>
        <w:rPr>
          <w:rFonts w:hint="eastAsia" w:ascii="TimesNewRoman" w:hAnsi="TimesNewRoman" w:eastAsia="仿宋_GB2312" w:cs="TimesNewRoman"/>
          <w:kern w:val="0"/>
          <w:sz w:val="32"/>
          <w:szCs w:val="32"/>
          <w:highlight w:val="none"/>
        </w:rPr>
        <w:t>淮政办[2019]19号</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（3）实施主体。</w:t>
      </w:r>
      <w:r>
        <w:rPr>
          <w:rFonts w:hint="eastAsia" w:ascii="TimesNewRoman" w:hAnsi="TimesNewRoman" w:eastAsia="仿宋_GB2312" w:cs="TimesNewRoman"/>
          <w:color w:val="auto"/>
          <w:kern w:val="0"/>
          <w:sz w:val="32"/>
          <w:szCs w:val="32"/>
          <w:highlight w:val="none"/>
        </w:rPr>
        <w:t>淮北市机关事务管理中心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kern w:val="0"/>
          <w:sz w:val="32"/>
          <w:szCs w:val="32"/>
          <w:highlight w:val="none"/>
        </w:rPr>
        <w:t>（4）起止时间。</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年1月-12月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eastAsia="zh-CN"/>
        </w:rPr>
      </w:pPr>
      <w:r>
        <w:rPr>
          <w:rFonts w:hint="eastAsia" w:ascii="TimesNewRoman" w:hAnsi="TimesNewRoman" w:eastAsia="仿宋_GB2312" w:cs="TimesNewRoman"/>
          <w:kern w:val="0"/>
          <w:sz w:val="32"/>
          <w:szCs w:val="32"/>
          <w:highlight w:val="none"/>
        </w:rPr>
        <w:t>（5）项目内容。负责我市市级干部交流周转房支出</w:t>
      </w:r>
      <w:r>
        <w:rPr>
          <w:rFonts w:hint="eastAsia" w:ascii="TimesNewRoman" w:hAnsi="TimesNewRoman" w:eastAsia="仿宋_GB2312" w:cs="TimesNewRoman"/>
          <w:kern w:val="0"/>
          <w:sz w:val="32"/>
          <w:szCs w:val="32"/>
          <w:highlight w:val="none"/>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lang w:val="en-US" w:eastAsia="zh-CN"/>
        </w:rPr>
      </w:pPr>
      <w:r>
        <w:rPr>
          <w:rFonts w:hint="eastAsia" w:ascii="TimesNewRoman" w:hAnsi="TimesNewRoman" w:eastAsia="仿宋_GB2312" w:cs="TimesNewRoman"/>
          <w:kern w:val="0"/>
          <w:sz w:val="32"/>
          <w:szCs w:val="32"/>
          <w:highlight w:val="none"/>
        </w:rPr>
        <w:t>（6）年度预算安排。</w:t>
      </w:r>
      <w:r>
        <w:rPr>
          <w:rFonts w:hint="eastAsia" w:ascii="TimesNewRoman" w:hAnsi="TimesNewRoman" w:eastAsia="仿宋_GB2312" w:cs="TimesNewRoman"/>
          <w:kern w:val="0"/>
          <w:sz w:val="32"/>
          <w:szCs w:val="32"/>
          <w:highlight w:val="none"/>
          <w:lang w:val="en-US" w:eastAsia="zh-CN"/>
        </w:rPr>
        <w:t>104.50万元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（7）绩效目标。</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hint="eastAsia" w:ascii="TimesNewRoman" w:hAnsi="TimesNewRoman" w:eastAsia="楷体_GB2312" w:cs="TimesNewRoman"/>
          <w:b/>
          <w:color w:val="auto"/>
          <w:sz w:val="32"/>
          <w:szCs w:val="32"/>
          <w:highlight w:val="none"/>
        </w:rPr>
      </w:pPr>
      <w:r>
        <w:rPr>
          <w:rFonts w:hint="eastAsia" w:ascii="TimesNewRoman" w:hAnsi="TimesNewRoman" w:eastAsia="楷体_GB2312" w:cs="TimesNewRoman"/>
          <w:b/>
          <w:color w:val="auto"/>
          <w:sz w:val="32"/>
          <w:szCs w:val="32"/>
          <w:highlight w:val="none"/>
        </w:rPr>
        <w:t>本</w:t>
      </w:r>
      <w:r>
        <w:rPr>
          <w:rFonts w:hint="eastAsia" w:ascii="TimesNewRoman" w:hAnsi="TimesNewRoman" w:eastAsia="楷体_GB2312" w:cs="TimesNewRoman"/>
          <w:b/>
          <w:color w:val="auto"/>
          <w:sz w:val="32"/>
          <w:szCs w:val="32"/>
          <w:highlight w:val="none"/>
          <w:lang w:eastAsia="zh-CN"/>
        </w:rPr>
        <w:t>部门</w:t>
      </w:r>
      <w:r>
        <w:rPr>
          <w:rFonts w:hint="eastAsia" w:ascii="TimesNewRoman" w:hAnsi="TimesNewRoman" w:eastAsia="楷体_GB2312" w:cs="TimesNewRoman"/>
          <w:b/>
          <w:color w:val="auto"/>
          <w:sz w:val="32"/>
          <w:szCs w:val="32"/>
          <w:highlight w:val="none"/>
        </w:rPr>
        <w:t>项目支出较多，项目支出绩效目标表以附件形式公开</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（二）机关运行经费。</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TimesNewRoman" w:hAnsi="TimesNewRoman" w:eastAsia="仿宋_GB2312" w:cs="TimesNewRoman"/>
          <w:color w:val="auto"/>
          <w:kern w:val="0"/>
          <w:sz w:val="32"/>
          <w:szCs w:val="32"/>
          <w:highlight w:val="none"/>
        </w:rPr>
      </w:pPr>
      <w:r>
        <w:rPr>
          <w:rFonts w:hint="eastAsia" w:ascii="TimesNewRoman" w:hAnsi="TimesNewRoman" w:eastAsia="仿宋_GB2312" w:cs="TimesNewRoman"/>
          <w:color w:val="auto"/>
          <w:kern w:val="0"/>
          <w:sz w:val="32"/>
          <w:szCs w:val="32"/>
          <w:highlight w:val="none"/>
          <w:lang w:eastAsia="zh-CN"/>
        </w:rPr>
        <w:t>淮北市机关事务管理中心</w:t>
      </w:r>
      <w:r>
        <w:rPr>
          <w:rFonts w:hint="eastAsia" w:ascii="TimesNewRoman" w:hAnsi="TimesNewRoman" w:eastAsia="仿宋_GB2312" w:cs="TimesNewRoman"/>
          <w:color w:val="auto"/>
          <w:kern w:val="0"/>
          <w:sz w:val="32"/>
          <w:szCs w:val="32"/>
          <w:highlight w:val="none"/>
        </w:rPr>
        <w:t>202</w:t>
      </w:r>
      <w:r>
        <w:rPr>
          <w:rFonts w:hint="eastAsia" w:ascii="TimesNewRoman" w:hAnsi="TimesNewRoman" w:eastAsia="仿宋_GB2312" w:cs="TimesNewRoman"/>
          <w:color w:val="auto"/>
          <w:kern w:val="0"/>
          <w:sz w:val="32"/>
          <w:szCs w:val="32"/>
          <w:highlight w:val="none"/>
          <w:lang w:val="en-US" w:eastAsia="zh-CN"/>
        </w:rPr>
        <w:t>4</w:t>
      </w:r>
      <w:r>
        <w:rPr>
          <w:rFonts w:hint="eastAsia" w:ascii="TimesNewRoman" w:hAnsi="TimesNewRoman" w:eastAsia="仿宋_GB2312" w:cs="TimesNewRoman"/>
          <w:color w:val="auto"/>
          <w:kern w:val="0"/>
          <w:sz w:val="32"/>
          <w:szCs w:val="32"/>
          <w:highlight w:val="none"/>
        </w:rPr>
        <w:t>年机关运行经费财政拨款预算</w:t>
      </w:r>
      <w:r>
        <w:rPr>
          <w:rFonts w:hint="eastAsia" w:ascii="TimesNewRoman" w:hAnsi="TimesNewRoman" w:eastAsia="仿宋_GB2312" w:cs="TimesNewRoman"/>
          <w:color w:val="auto"/>
          <w:kern w:val="0"/>
          <w:sz w:val="32"/>
          <w:szCs w:val="32"/>
          <w:highlight w:val="none"/>
          <w:lang w:val="en-US" w:eastAsia="zh-CN"/>
        </w:rPr>
        <w:t>57.28</w:t>
      </w:r>
      <w:r>
        <w:rPr>
          <w:rFonts w:hint="eastAsia" w:ascii="TimesNewRoman" w:hAnsi="TimesNewRoman" w:eastAsia="仿宋_GB2312" w:cs="TimesNewRoman"/>
          <w:color w:val="auto"/>
          <w:kern w:val="0"/>
          <w:sz w:val="32"/>
          <w:szCs w:val="32"/>
          <w:highlight w:val="none"/>
        </w:rPr>
        <w:t>万元，比202</w:t>
      </w:r>
      <w:r>
        <w:rPr>
          <w:rFonts w:hint="eastAsia" w:ascii="TimesNewRoman" w:hAnsi="TimesNewRoman" w:eastAsia="仿宋_GB2312" w:cs="TimesNewRoman"/>
          <w:color w:val="auto"/>
          <w:kern w:val="0"/>
          <w:sz w:val="32"/>
          <w:szCs w:val="32"/>
          <w:highlight w:val="none"/>
          <w:lang w:val="en-US" w:eastAsia="zh-CN"/>
        </w:rPr>
        <w:t>3</w:t>
      </w:r>
      <w:r>
        <w:rPr>
          <w:rFonts w:hint="eastAsia" w:ascii="TimesNewRoman" w:hAnsi="TimesNewRoman" w:eastAsia="仿宋_GB2312" w:cs="TimesNewRoman"/>
          <w:color w:val="auto"/>
          <w:kern w:val="0"/>
          <w:sz w:val="32"/>
          <w:szCs w:val="32"/>
          <w:highlight w:val="none"/>
        </w:rPr>
        <w:t>年预算</w:t>
      </w:r>
      <w:r>
        <w:rPr>
          <w:rFonts w:hint="eastAsia" w:ascii="TimesNewRoman" w:hAnsi="TimesNewRoman" w:eastAsia="仿宋_GB2312" w:cs="TimesNewRoman"/>
          <w:color w:val="auto"/>
          <w:kern w:val="0"/>
          <w:sz w:val="32"/>
          <w:szCs w:val="32"/>
          <w:highlight w:val="none"/>
          <w:lang w:val="en-US" w:eastAsia="zh-CN"/>
        </w:rPr>
        <w:t>减少2.75</w:t>
      </w:r>
      <w:r>
        <w:rPr>
          <w:rFonts w:hint="eastAsia" w:ascii="TimesNewRoman" w:hAnsi="TimesNewRoman" w:eastAsia="仿宋_GB2312" w:cs="TimesNewRoman"/>
          <w:color w:val="auto"/>
          <w:kern w:val="0"/>
          <w:sz w:val="32"/>
          <w:szCs w:val="32"/>
          <w:highlight w:val="none"/>
        </w:rPr>
        <w:t>万元，</w:t>
      </w:r>
      <w:r>
        <w:rPr>
          <w:rFonts w:hint="eastAsia" w:ascii="TimesNewRoman" w:hAnsi="TimesNewRoman" w:eastAsia="仿宋_GB2312" w:cs="TimesNewRoman"/>
          <w:color w:val="auto"/>
          <w:kern w:val="0"/>
          <w:sz w:val="32"/>
          <w:szCs w:val="32"/>
          <w:highlight w:val="none"/>
          <w:lang w:val="en-US" w:eastAsia="zh-CN"/>
        </w:rPr>
        <w:t>下降4.58</w:t>
      </w:r>
      <w:r>
        <w:rPr>
          <w:rFonts w:hint="eastAsia" w:ascii="TimesNewRoman" w:hAnsi="TimesNewRoman" w:eastAsia="仿宋_GB2312" w:cs="TimesNewRoman"/>
          <w:color w:val="auto"/>
          <w:kern w:val="0"/>
          <w:sz w:val="32"/>
          <w:szCs w:val="32"/>
          <w:highlight w:val="none"/>
        </w:rPr>
        <w:t>%，原因主要是</w:t>
      </w:r>
      <w:r>
        <w:rPr>
          <w:rFonts w:hint="eastAsia" w:ascii="TimesNewRoman" w:hAnsi="TimesNewRoman" w:eastAsia="仿宋_GB2312" w:cs="TimesNewRoman"/>
          <w:color w:val="auto"/>
          <w:kern w:val="0"/>
          <w:sz w:val="32"/>
          <w:szCs w:val="32"/>
          <w:highlight w:val="none"/>
          <w:lang w:eastAsia="zh-CN"/>
        </w:rPr>
        <w:t>政策性压减</w:t>
      </w:r>
      <w:r>
        <w:rPr>
          <w:rFonts w:hint="eastAsia" w:ascii="TimesNewRoman" w:hAnsi="TimesNewRoman" w:eastAsia="仿宋_GB2312" w:cs="TimesNewRoman"/>
          <w:color w:val="auto"/>
          <w:kern w:val="0"/>
          <w:sz w:val="32"/>
          <w:szCs w:val="32"/>
          <w:highlight w:val="none"/>
        </w:rPr>
        <w:t>。</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（三）政府采购情况。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rPr>
        <w:t>2024年政府采购预算</w:t>
      </w:r>
      <w:r>
        <w:rPr>
          <w:rFonts w:hint="eastAsia" w:ascii="TimesNewRoman" w:hAnsi="TimesNewRoman" w:eastAsia="仿宋_GB2312" w:cs="TimesNewRoman"/>
          <w:kern w:val="0"/>
          <w:sz w:val="32"/>
          <w:szCs w:val="32"/>
          <w:highlight w:val="none"/>
          <w:lang w:val="en-US" w:eastAsia="zh-CN"/>
        </w:rPr>
        <w:t>208.50</w:t>
      </w:r>
      <w:r>
        <w:rPr>
          <w:rFonts w:hint="eastAsia" w:ascii="TimesNewRoman" w:hAnsi="TimesNewRoman" w:eastAsia="仿宋_GB2312" w:cs="TimesNewRoman"/>
          <w:kern w:val="0"/>
          <w:sz w:val="32"/>
          <w:szCs w:val="32"/>
          <w:highlight w:val="none"/>
        </w:rPr>
        <w:t>万元。其中：政府采购货物预算</w:t>
      </w:r>
      <w:r>
        <w:rPr>
          <w:rFonts w:hint="eastAsia" w:ascii="TimesNewRoman" w:hAnsi="TimesNewRoman" w:eastAsia="仿宋_GB2312" w:cs="TimesNewRoman"/>
          <w:kern w:val="0"/>
          <w:sz w:val="32"/>
          <w:szCs w:val="32"/>
          <w:highlight w:val="none"/>
          <w:lang w:val="en-US" w:eastAsia="zh-CN"/>
        </w:rPr>
        <w:t>104.00</w:t>
      </w:r>
      <w:r>
        <w:rPr>
          <w:rFonts w:hint="eastAsia" w:ascii="TimesNewRoman" w:hAnsi="TimesNewRoman" w:eastAsia="仿宋_GB2312" w:cs="TimesNewRoman"/>
          <w:kern w:val="0"/>
          <w:sz w:val="32"/>
          <w:szCs w:val="32"/>
          <w:highlight w:val="none"/>
        </w:rPr>
        <w:t>万元，政府采购工程预算</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万元，政府采购服务预算</w:t>
      </w:r>
      <w:r>
        <w:rPr>
          <w:rFonts w:hint="eastAsia" w:ascii="TimesNewRoman" w:hAnsi="TimesNewRoman" w:eastAsia="仿宋_GB2312" w:cs="TimesNewRoman"/>
          <w:kern w:val="0"/>
          <w:sz w:val="32"/>
          <w:szCs w:val="32"/>
          <w:highlight w:val="none"/>
          <w:lang w:val="en-US" w:eastAsia="zh-CN"/>
        </w:rPr>
        <w:t>104.50</w:t>
      </w:r>
      <w:r>
        <w:rPr>
          <w:rFonts w:hint="eastAsia" w:ascii="TimesNewRoman" w:hAnsi="TimesNewRoman" w:eastAsia="仿宋_GB2312" w:cs="TimesNewRoman"/>
          <w:kern w:val="0"/>
          <w:sz w:val="32"/>
          <w:szCs w:val="32"/>
          <w:highlight w:val="none"/>
        </w:rPr>
        <w:t>万元。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（四）国有资产占有使用情况。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截至2023年12月31日，</w:t>
      </w:r>
      <w:r>
        <w:rPr>
          <w:rFonts w:hint="eastAsia" w:ascii="TimesNewRoman" w:hAnsi="TimesNewRoman" w:eastAsia="仿宋_GB2312" w:cs="TimesNewRoman"/>
          <w:kern w:val="0"/>
          <w:sz w:val="32"/>
          <w:szCs w:val="32"/>
          <w:highlight w:val="none"/>
          <w:lang w:eastAsia="zh-CN"/>
        </w:rPr>
        <w:t>淮北市机关事务管理中心共有</w:t>
      </w:r>
      <w:r>
        <w:rPr>
          <w:rFonts w:hint="eastAsia" w:ascii="TimesNewRoman" w:hAnsi="TimesNewRoman" w:eastAsia="仿宋_GB2312" w:cs="TimesNewRoman"/>
          <w:kern w:val="0"/>
          <w:sz w:val="32"/>
          <w:szCs w:val="32"/>
          <w:highlight w:val="none"/>
        </w:rPr>
        <w:t>车辆</w:t>
      </w:r>
      <w:r>
        <w:rPr>
          <w:rFonts w:hint="eastAsia" w:ascii="TimesNewRoman" w:hAnsi="TimesNewRoman" w:eastAsia="仿宋_GB2312" w:cs="TimesNewRoman"/>
          <w:kern w:val="0"/>
          <w:sz w:val="32"/>
          <w:szCs w:val="32"/>
          <w:highlight w:val="none"/>
          <w:lang w:val="en-US" w:eastAsia="zh-CN"/>
        </w:rPr>
        <w:t>119</w:t>
      </w:r>
      <w:r>
        <w:rPr>
          <w:rFonts w:hint="eastAsia" w:ascii="TimesNewRoman" w:hAnsi="TimesNewRoman" w:eastAsia="仿宋_GB2312" w:cs="TimesNewRoman"/>
          <w:kern w:val="0"/>
          <w:sz w:val="32"/>
          <w:szCs w:val="32"/>
          <w:highlight w:val="none"/>
        </w:rPr>
        <w:t>辆，其中：主要</w:t>
      </w:r>
      <w:r>
        <w:rPr>
          <w:rFonts w:hint="eastAsia" w:ascii="TimesNewRoman" w:hAnsi="TimesNewRoman" w:eastAsia="仿宋_GB2312" w:cs="TimesNewRoman"/>
          <w:kern w:val="0"/>
          <w:sz w:val="32"/>
          <w:szCs w:val="32"/>
          <w:highlight w:val="none"/>
          <w:lang w:val="en-US" w:eastAsia="zh-CN"/>
        </w:rPr>
        <w:t>负责人</w:t>
      </w:r>
      <w:r>
        <w:rPr>
          <w:rFonts w:hint="eastAsia" w:ascii="TimesNewRoman" w:hAnsi="TimesNewRoman" w:eastAsia="仿宋_GB2312" w:cs="TimesNewRoman"/>
          <w:kern w:val="0"/>
          <w:sz w:val="32"/>
          <w:szCs w:val="32"/>
          <w:highlight w:val="none"/>
        </w:rPr>
        <w:t>用车</w:t>
      </w:r>
      <w:r>
        <w:rPr>
          <w:rFonts w:hint="eastAsia" w:ascii="TimesNewRoman" w:hAnsi="TimesNewRoman" w:eastAsia="仿宋_GB2312" w:cs="TimesNewRoman"/>
          <w:kern w:val="0"/>
          <w:sz w:val="32"/>
          <w:szCs w:val="32"/>
          <w:highlight w:val="none"/>
          <w:lang w:val="en-US" w:eastAsia="zh-CN"/>
        </w:rPr>
        <w:t>2</w:t>
      </w:r>
      <w:r>
        <w:rPr>
          <w:rFonts w:hint="eastAsia" w:ascii="TimesNewRoman" w:hAnsi="TimesNewRoman" w:eastAsia="仿宋_GB2312" w:cs="TimesNewRoman"/>
          <w:kern w:val="0"/>
          <w:sz w:val="32"/>
          <w:szCs w:val="32"/>
          <w:highlight w:val="none"/>
        </w:rPr>
        <w:t>辆、机要通信用车</w:t>
      </w:r>
      <w:r>
        <w:rPr>
          <w:rFonts w:hint="eastAsia" w:ascii="TimesNewRoman" w:hAnsi="TimesNewRoman" w:eastAsia="仿宋_GB2312" w:cs="TimesNewRoman"/>
          <w:kern w:val="0"/>
          <w:sz w:val="32"/>
          <w:szCs w:val="32"/>
          <w:highlight w:val="none"/>
          <w:lang w:val="en-US" w:eastAsia="zh-CN"/>
        </w:rPr>
        <w:t>31</w:t>
      </w:r>
      <w:r>
        <w:rPr>
          <w:rFonts w:hint="eastAsia" w:ascii="TimesNewRoman" w:hAnsi="TimesNewRoman" w:eastAsia="仿宋_GB2312" w:cs="TimesNewRoman"/>
          <w:kern w:val="0"/>
          <w:sz w:val="32"/>
          <w:szCs w:val="32"/>
          <w:highlight w:val="none"/>
        </w:rPr>
        <w:t>辆、应急保障用车</w:t>
      </w:r>
      <w:r>
        <w:rPr>
          <w:rFonts w:hint="eastAsia" w:ascii="TimesNewRoman" w:hAnsi="TimesNewRoman" w:eastAsia="仿宋_GB2312" w:cs="TimesNewRoman"/>
          <w:kern w:val="0"/>
          <w:sz w:val="32"/>
          <w:szCs w:val="32"/>
          <w:highlight w:val="none"/>
          <w:lang w:val="en-US" w:eastAsia="zh-CN"/>
        </w:rPr>
        <w:t>86</w:t>
      </w:r>
      <w:r>
        <w:rPr>
          <w:rFonts w:hint="eastAsia" w:ascii="TimesNewRoman" w:hAnsi="TimesNewRoman" w:eastAsia="仿宋_GB2312" w:cs="TimesNewRoman"/>
          <w:kern w:val="0"/>
          <w:sz w:val="32"/>
          <w:szCs w:val="32"/>
          <w:highlight w:val="none"/>
        </w:rPr>
        <w:t>辆。单价50万元以上的通用设备</w:t>
      </w:r>
      <w:r>
        <w:rPr>
          <w:rFonts w:hint="eastAsia" w:ascii="TimesNewRoman" w:hAnsi="TimesNewRoman" w:eastAsia="仿宋_GB2312" w:cs="TimesNewRoman"/>
          <w:kern w:val="0"/>
          <w:sz w:val="32"/>
          <w:szCs w:val="32"/>
          <w:highlight w:val="none"/>
          <w:lang w:val="en-US" w:eastAsia="zh-CN"/>
        </w:rPr>
        <w:t>0</w:t>
      </w:r>
      <w:r>
        <w:rPr>
          <w:rFonts w:hint="eastAsia" w:ascii="TimesNewRoman" w:hAnsi="TimesNewRoman" w:eastAsia="仿宋_GB2312" w:cs="TimesNewRoman"/>
          <w:kern w:val="0"/>
          <w:sz w:val="32"/>
          <w:szCs w:val="32"/>
          <w:highlight w:val="none"/>
        </w:rPr>
        <w:t>台（套），单价100万元以上的专用设备</w:t>
      </w:r>
      <w:r>
        <w:rPr>
          <w:rFonts w:hint="eastAsia" w:ascii="TimesNewRoman" w:hAnsi="TimesNewRoman" w:eastAsia="仿宋_GB2312" w:cs="TimesNewRoman"/>
          <w:kern w:val="0"/>
          <w:sz w:val="32"/>
          <w:szCs w:val="32"/>
          <w:highlight w:val="none"/>
          <w:lang w:val="en-US" w:eastAsia="zh-CN"/>
        </w:rPr>
        <w:t>0</w:t>
      </w:r>
      <w:r>
        <w:rPr>
          <w:rFonts w:hint="eastAsia" w:ascii="TimesNewRoman" w:hAnsi="TimesNewRoman" w:eastAsia="仿宋_GB2312" w:cs="TimesNewRoman"/>
          <w:kern w:val="0"/>
          <w:sz w:val="32"/>
          <w:szCs w:val="32"/>
          <w:highlight w:val="none"/>
        </w:rPr>
        <w:t>台（套）。</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2024年</w:t>
      </w:r>
      <w:r>
        <w:rPr>
          <w:rFonts w:hint="eastAsia" w:ascii="TimesNewRoman" w:hAnsi="TimesNewRoman" w:eastAsia="仿宋_GB2312" w:cs="TimesNewRoman"/>
          <w:kern w:val="0"/>
          <w:sz w:val="32"/>
          <w:szCs w:val="32"/>
          <w:highlight w:val="none"/>
          <w:lang w:eastAsia="zh-CN"/>
        </w:rPr>
        <w:t>部门</w:t>
      </w:r>
      <w:r>
        <w:rPr>
          <w:rFonts w:hint="eastAsia" w:ascii="TimesNewRoman" w:hAnsi="TimesNewRoman" w:eastAsia="仿宋_GB2312" w:cs="TimesNewRoman"/>
          <w:kern w:val="0"/>
          <w:sz w:val="32"/>
          <w:szCs w:val="32"/>
          <w:highlight w:val="none"/>
        </w:rPr>
        <w:t>预算安排购置公务用车</w:t>
      </w:r>
      <w:r>
        <w:rPr>
          <w:rFonts w:hint="eastAsia" w:ascii="TimesNewRoman" w:hAnsi="TimesNewRoman" w:eastAsia="仿宋_GB2312" w:cs="TimesNewRoman"/>
          <w:kern w:val="0"/>
          <w:sz w:val="32"/>
          <w:szCs w:val="32"/>
          <w:highlight w:val="none"/>
          <w:lang w:val="en-US" w:eastAsia="zh-CN"/>
        </w:rPr>
        <w:t>7</w:t>
      </w:r>
      <w:r>
        <w:rPr>
          <w:rFonts w:hint="eastAsia" w:ascii="TimesNewRoman" w:hAnsi="TimesNewRoman" w:eastAsia="仿宋_GB2312" w:cs="TimesNewRoman"/>
          <w:kern w:val="0"/>
          <w:sz w:val="32"/>
          <w:szCs w:val="32"/>
          <w:highlight w:val="none"/>
        </w:rPr>
        <w:t>辆，购置费</w:t>
      </w:r>
      <w:r>
        <w:rPr>
          <w:rFonts w:hint="eastAsia" w:ascii="TimesNewRoman" w:hAnsi="TimesNewRoman" w:eastAsia="仿宋_GB2312" w:cs="TimesNewRoman"/>
          <w:kern w:val="0"/>
          <w:sz w:val="32"/>
          <w:szCs w:val="32"/>
          <w:highlight w:val="none"/>
          <w:lang w:val="en-US" w:eastAsia="zh-CN"/>
        </w:rPr>
        <w:t>104</w:t>
      </w:r>
      <w:r>
        <w:rPr>
          <w:rFonts w:hint="eastAsia" w:ascii="TimesNewRoman" w:hAnsi="TimesNewRoman" w:eastAsia="仿宋_GB2312" w:cs="TimesNewRoman"/>
          <w:kern w:val="0"/>
          <w:sz w:val="32"/>
          <w:szCs w:val="32"/>
          <w:highlight w:val="none"/>
        </w:rPr>
        <w:t>万元，其中：应急</w:t>
      </w:r>
      <w:bookmarkStart w:id="0" w:name="_GoBack"/>
      <w:r>
        <w:rPr>
          <w:rFonts w:hint="eastAsia" w:ascii="TimesNewRoman" w:hAnsi="TimesNewRoman" w:eastAsia="仿宋_GB2312" w:cs="TimesNewRoman"/>
          <w:kern w:val="0"/>
          <w:sz w:val="32"/>
          <w:szCs w:val="32"/>
          <w:highlight w:val="none"/>
        </w:rPr>
        <w:t>保障用车</w:t>
      </w:r>
      <w:r>
        <w:rPr>
          <w:rFonts w:hint="eastAsia" w:ascii="TimesNewRoman" w:hAnsi="TimesNewRoman" w:eastAsia="仿宋_GB2312" w:cs="TimesNewRoman"/>
          <w:kern w:val="0"/>
          <w:sz w:val="32"/>
          <w:szCs w:val="32"/>
          <w:highlight w:val="none"/>
          <w:lang w:val="en-US" w:eastAsia="zh-CN"/>
        </w:rPr>
        <w:t>7</w:t>
      </w:r>
      <w:bookmarkEnd w:id="0"/>
      <w:r>
        <w:rPr>
          <w:rFonts w:hint="eastAsia" w:ascii="TimesNewRoman" w:hAnsi="TimesNewRoman" w:eastAsia="仿宋_GB2312" w:cs="TimesNewRoman"/>
          <w:kern w:val="0"/>
          <w:sz w:val="32"/>
          <w:szCs w:val="32"/>
          <w:highlight w:val="none"/>
        </w:rPr>
        <w:t>辆</w:t>
      </w:r>
      <w:r>
        <w:rPr>
          <w:rFonts w:hint="eastAsia" w:ascii="TimesNewRoman" w:hAnsi="TimesNewRoman" w:eastAsia="仿宋_GB2312" w:cs="TimesNewRoman"/>
          <w:kern w:val="0"/>
          <w:sz w:val="32"/>
          <w:szCs w:val="32"/>
          <w:highlight w:val="none"/>
        </w:rPr>
        <w:t>；安排购置单价50万元以上的通用设备</w:t>
      </w:r>
      <w:r>
        <w:rPr>
          <w:rFonts w:hint="eastAsia" w:ascii="TimesNewRoman" w:hAnsi="TimesNewRoman" w:eastAsia="仿宋_GB2312" w:cs="TimesNewRoman"/>
          <w:kern w:val="0"/>
          <w:sz w:val="32"/>
          <w:szCs w:val="32"/>
          <w:highlight w:val="none"/>
          <w:lang w:val="en-US" w:eastAsia="zh-CN"/>
        </w:rPr>
        <w:t>0</w:t>
      </w:r>
      <w:r>
        <w:rPr>
          <w:rFonts w:hint="eastAsia" w:ascii="TimesNewRoman" w:hAnsi="TimesNewRoman" w:eastAsia="仿宋_GB2312" w:cs="TimesNewRoman"/>
          <w:kern w:val="0"/>
          <w:sz w:val="32"/>
          <w:szCs w:val="32"/>
          <w:highlight w:val="none"/>
        </w:rPr>
        <w:t>台（套），购置费</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万元；安排购置单价100万元以上专用设备</w:t>
      </w:r>
      <w:r>
        <w:rPr>
          <w:rFonts w:hint="eastAsia" w:ascii="TimesNewRoman" w:hAnsi="TimesNewRoman" w:eastAsia="仿宋_GB2312" w:cs="TimesNewRoman"/>
          <w:kern w:val="0"/>
          <w:sz w:val="32"/>
          <w:szCs w:val="32"/>
          <w:highlight w:val="none"/>
          <w:lang w:val="en-US" w:eastAsia="zh-CN"/>
        </w:rPr>
        <w:t>0</w:t>
      </w:r>
      <w:r>
        <w:rPr>
          <w:rFonts w:hint="eastAsia" w:ascii="TimesNewRoman" w:hAnsi="TimesNewRoman" w:eastAsia="仿宋_GB2312" w:cs="TimesNewRoman"/>
          <w:kern w:val="0"/>
          <w:sz w:val="32"/>
          <w:szCs w:val="32"/>
          <w:highlight w:val="none"/>
        </w:rPr>
        <w:t>台（套），购置费</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2" w:firstLineChars="200"/>
        <w:textAlignment w:val="auto"/>
        <w:rPr>
          <w:rFonts w:ascii="TimesNewRoman" w:hAnsi="TimesNewRoman" w:eastAsia="仿宋_GB2312" w:cs="TimesNewRoman"/>
          <w:b/>
          <w:sz w:val="32"/>
          <w:szCs w:val="32"/>
          <w:highlight w:val="none"/>
        </w:rPr>
      </w:pPr>
      <w:r>
        <w:rPr>
          <w:rFonts w:hint="eastAsia" w:ascii="TimesNewRoman" w:hAnsi="TimesNewRoman" w:eastAsia="仿宋_GB2312" w:cs="TimesNewRoman"/>
          <w:b/>
          <w:sz w:val="32"/>
          <w:szCs w:val="32"/>
          <w:highlight w:val="none"/>
        </w:rPr>
        <w:t>（五）绩效目标设置情况。</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TimesNewRoman" w:hAnsi="TimesNewRoman" w:eastAsia="仿宋_GB2312" w:cs="TimesNewRoman"/>
          <w:kern w:val="0"/>
          <w:sz w:val="32"/>
          <w:szCs w:val="32"/>
          <w:highlight w:val="none"/>
        </w:rPr>
      </w:pPr>
      <w:r>
        <w:rPr>
          <w:rFonts w:hint="eastAsia" w:ascii="TimesNewRoman" w:hAnsi="TimesNewRoman" w:eastAsia="仿宋_GB2312" w:cs="TimesNewRoman"/>
          <w:kern w:val="0"/>
          <w:sz w:val="32"/>
          <w:szCs w:val="32"/>
          <w:highlight w:val="none"/>
        </w:rPr>
        <w:t>2024年，</w:t>
      </w:r>
      <w:r>
        <w:rPr>
          <w:rFonts w:hint="eastAsia" w:ascii="TimesNewRoman" w:hAnsi="TimesNewRoman" w:eastAsia="仿宋_GB2312" w:cs="TimesNewRoman"/>
          <w:kern w:val="0"/>
          <w:sz w:val="32"/>
          <w:szCs w:val="32"/>
          <w:highlight w:val="none"/>
          <w:lang w:eastAsia="zh-CN"/>
        </w:rPr>
        <w:t>淮北市机关事务管理中心</w:t>
      </w:r>
      <w:r>
        <w:rPr>
          <w:rFonts w:hint="eastAsia" w:ascii="TimesNewRoman" w:hAnsi="TimesNewRoman" w:eastAsia="仿宋_GB2312" w:cs="TimesNewRoman"/>
          <w:kern w:val="0"/>
          <w:sz w:val="32"/>
          <w:szCs w:val="32"/>
          <w:highlight w:val="none"/>
          <w:lang w:val="en-US" w:eastAsia="zh-CN"/>
        </w:rPr>
        <w:t>11</w:t>
      </w:r>
      <w:r>
        <w:rPr>
          <w:rFonts w:hint="eastAsia" w:ascii="TimesNewRoman" w:hAnsi="TimesNewRoman" w:eastAsia="仿宋_GB2312" w:cs="TimesNewRoman"/>
          <w:kern w:val="0"/>
          <w:sz w:val="32"/>
          <w:szCs w:val="32"/>
          <w:highlight w:val="none"/>
        </w:rPr>
        <w:t>个项目实行了绩效目标管理，涉及一般公共预算当年财政拨款</w:t>
      </w:r>
      <w:r>
        <w:rPr>
          <w:rFonts w:hint="eastAsia" w:ascii="TimesNewRoman" w:hAnsi="TimesNewRoman" w:eastAsia="仿宋_GB2312" w:cs="TimesNewRoman"/>
          <w:kern w:val="0"/>
          <w:sz w:val="32"/>
          <w:szCs w:val="32"/>
          <w:highlight w:val="none"/>
          <w:lang w:val="en-US" w:eastAsia="zh-CN"/>
        </w:rPr>
        <w:t>2,987.98</w:t>
      </w:r>
      <w:r>
        <w:rPr>
          <w:rFonts w:hint="eastAsia" w:ascii="TimesNewRoman" w:hAnsi="TimesNewRoman" w:eastAsia="仿宋_GB2312" w:cs="TimesNewRoman"/>
          <w:kern w:val="0"/>
          <w:sz w:val="32"/>
          <w:szCs w:val="32"/>
          <w:highlight w:val="none"/>
        </w:rPr>
        <w:t>万元、政府性基金预算当年财政拨款</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万元、财政专户管理资金当年安排</w:t>
      </w:r>
      <w:r>
        <w:rPr>
          <w:rFonts w:hint="eastAsia" w:ascii="TimesNewRoman" w:hAnsi="TimesNewRoman" w:eastAsia="仿宋_GB2312" w:cs="TimesNewRoman"/>
          <w:kern w:val="0"/>
          <w:sz w:val="32"/>
          <w:szCs w:val="32"/>
          <w:highlight w:val="none"/>
          <w:lang w:val="en-US" w:eastAsia="zh-CN"/>
        </w:rPr>
        <w:t>0.00</w:t>
      </w:r>
      <w:r>
        <w:rPr>
          <w:rFonts w:hint="eastAsia" w:ascii="TimesNewRoman" w:hAnsi="TimesNewRoman" w:eastAsia="仿宋_GB2312" w:cs="TimesNewRoman"/>
          <w:kern w:val="0"/>
          <w:sz w:val="32"/>
          <w:szCs w:val="32"/>
          <w:highlight w:val="none"/>
        </w:rPr>
        <w:t>万元。</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36"/>
          <w:szCs w:val="36"/>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jc w:val="center"/>
        <w:textAlignment w:val="auto"/>
        <w:rPr>
          <w:rFonts w:ascii="TimesNewRoman" w:hAnsi="TimesNewRoman" w:eastAsia="黑体" w:cs="TimesNewRoman"/>
          <w:bCs/>
          <w:sz w:val="36"/>
          <w:szCs w:val="36"/>
          <w:highlight w:val="none"/>
        </w:rPr>
      </w:pPr>
      <w:r>
        <w:rPr>
          <w:rFonts w:hint="eastAsia" w:ascii="TimesNewRoman" w:hAnsi="TimesNewRoman" w:eastAsia="黑体" w:cs="TimesNewRoman"/>
          <w:bCs/>
          <w:sz w:val="36"/>
          <w:szCs w:val="36"/>
          <w:highlight w:val="none"/>
        </w:rPr>
        <w:t>第四部分 名词解释</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一、财政拨款收入：</w:t>
      </w:r>
      <w:r>
        <w:rPr>
          <w:rFonts w:hint="eastAsia" w:ascii="TimesNewRoman" w:hAnsi="TimesNewRoman" w:eastAsia="仿宋_GB2312" w:cs="TimesNewRoman"/>
          <w:sz w:val="32"/>
          <w:szCs w:val="32"/>
          <w:highlight w:val="none"/>
        </w:rPr>
        <w:t>指部门或单位从同级财政部门取得的财政预算资金。</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二、事业收入：</w:t>
      </w:r>
      <w:r>
        <w:rPr>
          <w:rFonts w:hint="eastAsia" w:ascii="TimesNewRoman" w:hAnsi="TimesNewRoman" w:eastAsia="仿宋_GB2312" w:cs="TimesNewRoman"/>
          <w:sz w:val="32"/>
          <w:szCs w:val="32"/>
          <w:highlight w:val="none"/>
        </w:rPr>
        <w:t>指事业单位开展专业业务活动及辅助活动所取得的收入。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三、财政专户管理资金：</w:t>
      </w:r>
      <w:r>
        <w:rPr>
          <w:rFonts w:hint="eastAsia" w:ascii="TimesNewRoman" w:hAnsi="TimesNewRoman" w:eastAsia="仿宋_GB2312" w:cs="TimesNewRoman"/>
          <w:sz w:val="32"/>
          <w:szCs w:val="32"/>
          <w:highlight w:val="none"/>
        </w:rPr>
        <w:t>指按照非税收入管理相关规定，纳入财政专户管理的教育收费等。</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四、事业单位经营收入：</w:t>
      </w:r>
      <w:r>
        <w:rPr>
          <w:rFonts w:hint="eastAsia" w:ascii="TimesNewRoman" w:hAnsi="TimesNewRoman" w:eastAsia="仿宋_GB2312" w:cs="TimesNewRoman"/>
          <w:sz w:val="32"/>
          <w:szCs w:val="32"/>
          <w:highlight w:val="none"/>
        </w:rPr>
        <w:t>指事业单位在专业业务活动及其辅助活动之外开展非独立核算经营活动取得的收入。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五、附属单位上缴收入：</w:t>
      </w:r>
      <w:r>
        <w:rPr>
          <w:rFonts w:hint="eastAsia" w:ascii="TimesNewRoman" w:hAnsi="TimesNewRoman" w:eastAsia="仿宋_GB2312" w:cs="TimesNewRoman"/>
          <w:sz w:val="32"/>
          <w:szCs w:val="32"/>
          <w:highlight w:val="none"/>
        </w:rPr>
        <w:t>本单位所属下级单位上缴给本单位的全部收入。</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六、上年结转：</w:t>
      </w:r>
      <w:r>
        <w:rPr>
          <w:rFonts w:hint="eastAsia" w:ascii="TimesNewRoman" w:hAnsi="TimesNewRoman" w:eastAsia="仿宋_GB2312" w:cs="TimesNewRoman"/>
          <w:sz w:val="32"/>
          <w:szCs w:val="32"/>
          <w:highlight w:val="none"/>
        </w:rPr>
        <w:t>指以前年度安排、结转到本年仍按原用途继续使用的资金。</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七、结转下年：</w:t>
      </w:r>
      <w:r>
        <w:rPr>
          <w:rFonts w:hint="eastAsia" w:ascii="TimesNewRoman" w:hAnsi="TimesNewRoman" w:eastAsia="仿宋_GB2312" w:cs="TimesNewRoman"/>
          <w:sz w:val="32"/>
          <w:szCs w:val="32"/>
          <w:highlight w:val="none"/>
        </w:rPr>
        <w:t>指以前年度预算安排、因客观条件发生变化无法按原计划实施，需以后年度按原用途继续使用的资金。</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八、基本支出：</w:t>
      </w:r>
      <w:r>
        <w:rPr>
          <w:rFonts w:hint="eastAsia" w:ascii="TimesNewRoman" w:hAnsi="TimesNewRoman" w:eastAsia="仿宋_GB2312" w:cs="TimesNewRoman"/>
          <w:sz w:val="32"/>
          <w:szCs w:val="32"/>
          <w:highlight w:val="none"/>
        </w:rPr>
        <w:t>指为保障机构正常运转、完成日常工作任务而发生的人员支出和公用支出。</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九、项目支出：</w:t>
      </w:r>
      <w:r>
        <w:rPr>
          <w:rFonts w:hint="eastAsia" w:ascii="TimesNewRoman" w:hAnsi="TimesNewRoman" w:eastAsia="仿宋_GB2312" w:cs="TimesNewRoman"/>
          <w:sz w:val="32"/>
          <w:szCs w:val="32"/>
          <w:highlight w:val="none"/>
        </w:rPr>
        <w:t>指在除基本支出之外的支出，主要用于完成特定的工作任务和事业发展目标。</w:t>
      </w:r>
    </w:p>
    <w:p>
      <w:pPr>
        <w:pStyle w:val="5"/>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29" w:firstLineChars="196"/>
        <w:textAlignment w:val="auto"/>
        <w:rPr>
          <w:rFonts w:ascii="TimesNewRoman" w:hAnsi="TimesNewRoman" w:eastAsia="仿宋_GB2312" w:cs="TimesNewRoman"/>
          <w:sz w:val="32"/>
          <w:szCs w:val="32"/>
          <w:highlight w:val="none"/>
        </w:rPr>
      </w:pPr>
      <w:r>
        <w:rPr>
          <w:rFonts w:hint="eastAsia" w:ascii="TimesNewRoman" w:hAnsi="TimesNewRoman" w:eastAsia="仿宋_GB2312" w:cs="TimesNewRoman"/>
          <w:b/>
          <w:sz w:val="32"/>
          <w:szCs w:val="32"/>
          <w:highlight w:val="none"/>
        </w:rPr>
        <w:t xml:space="preserve">十、机关运行经费: </w:t>
      </w:r>
      <w:r>
        <w:rPr>
          <w:rFonts w:hint="eastAsia" w:ascii="TimesNewRoman" w:hAnsi="TimesNewRoman" w:eastAsia="仿宋_GB2312" w:cs="TimesNewRoman"/>
          <w:sz w:val="32"/>
          <w:szCs w:val="32"/>
          <w:highlight w:val="none"/>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p>
      <w:pPr>
        <w:keepNext w:val="0"/>
        <w:keepLines w:val="0"/>
        <w:pageBreakBefore w:val="0"/>
        <w:kinsoku/>
        <w:wordWrap/>
        <w:overflowPunct/>
        <w:topLinePunct w:val="0"/>
        <w:autoSpaceDE/>
        <w:autoSpaceDN/>
        <w:bidi w:val="0"/>
        <w:spacing w:beforeAutospacing="0" w:afterAutospacing="0" w:line="560" w:lineRule="exact"/>
        <w:textAlignment w:val="auto"/>
        <w:rPr>
          <w:highlight w:val="none"/>
        </w:rPr>
      </w:pPr>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NewRoman">
    <w:altName w:val="DejaVu Sans"/>
    <w:panose1 w:val="00000000000000000000"/>
    <w:charset w:val="00"/>
    <w:family w:val="auto"/>
    <w:pitch w:val="default"/>
    <w:sig w:usb0="00000000" w:usb1="00000000" w:usb2="00000029" w:usb3="00000000" w:csb0="600001FF" w:csb1="FFFF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E5447"/>
    <w:multiLevelType w:val="singleLevel"/>
    <w:tmpl w:val="DFBE5447"/>
    <w:lvl w:ilvl="0" w:tentative="0">
      <w:start w:val="1"/>
      <w:numFmt w:val="decimal"/>
      <w:suff w:val="nothing"/>
      <w:lvlText w:val="%1、"/>
      <w:lvlJc w:val="left"/>
    </w:lvl>
  </w:abstractNum>
  <w:abstractNum w:abstractNumId="1">
    <w:nsid w:val="2F396ED8"/>
    <w:multiLevelType w:val="singleLevel"/>
    <w:tmpl w:val="2F396ED8"/>
    <w:lvl w:ilvl="0" w:tentative="0">
      <w:start w:val="1"/>
      <w:numFmt w:val="chineseCounting"/>
      <w:lvlText w:val="(%1)"/>
      <w:lvlJc w:val="left"/>
      <w:pPr>
        <w:tabs>
          <w:tab w:val="left" w:pos="312"/>
        </w:tabs>
      </w:pPr>
      <w:rPr>
        <w:rFonts w:hint="eastAsia"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Q3MTk1ZDE0OTg5M2M5N2I3YTgxNDRiOTZjMmE5Y2YifQ=="/>
  </w:docVars>
  <w:rsids>
    <w:rsidRoot w:val="00E907C4"/>
    <w:rsid w:val="000E28EE"/>
    <w:rsid w:val="00267E33"/>
    <w:rsid w:val="004A4DC6"/>
    <w:rsid w:val="0057562B"/>
    <w:rsid w:val="006546AF"/>
    <w:rsid w:val="00726D96"/>
    <w:rsid w:val="008F6D1A"/>
    <w:rsid w:val="009A3CA3"/>
    <w:rsid w:val="00AE3242"/>
    <w:rsid w:val="00BD640A"/>
    <w:rsid w:val="00CE72AE"/>
    <w:rsid w:val="00D348C5"/>
    <w:rsid w:val="00DB2A5C"/>
    <w:rsid w:val="00E907C4"/>
    <w:rsid w:val="00EC7755"/>
    <w:rsid w:val="00F974AD"/>
    <w:rsid w:val="05B83B3A"/>
    <w:rsid w:val="05CC64B2"/>
    <w:rsid w:val="08DF64FD"/>
    <w:rsid w:val="104812B2"/>
    <w:rsid w:val="12CE13DF"/>
    <w:rsid w:val="18126198"/>
    <w:rsid w:val="1B222279"/>
    <w:rsid w:val="1DC064A5"/>
    <w:rsid w:val="21A80C99"/>
    <w:rsid w:val="2D0756D0"/>
    <w:rsid w:val="313703D4"/>
    <w:rsid w:val="333E2A6A"/>
    <w:rsid w:val="341D6B15"/>
    <w:rsid w:val="359202CF"/>
    <w:rsid w:val="394A08E0"/>
    <w:rsid w:val="399E3B89"/>
    <w:rsid w:val="3A9643BE"/>
    <w:rsid w:val="421B33FA"/>
    <w:rsid w:val="487B2E45"/>
    <w:rsid w:val="4DD0778F"/>
    <w:rsid w:val="4DDF3165"/>
    <w:rsid w:val="4E30647F"/>
    <w:rsid w:val="503B5484"/>
    <w:rsid w:val="516E3547"/>
    <w:rsid w:val="5923730C"/>
    <w:rsid w:val="615F2EAC"/>
    <w:rsid w:val="66326DE1"/>
    <w:rsid w:val="67FB22E5"/>
    <w:rsid w:val="6CA80B7F"/>
    <w:rsid w:val="6CFE7A1D"/>
    <w:rsid w:val="6DB4457F"/>
    <w:rsid w:val="717464FF"/>
    <w:rsid w:val="75DC28C5"/>
    <w:rsid w:val="796B04EE"/>
    <w:rsid w:val="7F517E80"/>
    <w:rsid w:val="AFF6336E"/>
    <w:rsid w:val="DC7ABECE"/>
    <w:rsid w:val="E9CD223E"/>
    <w:rsid w:val="FFDFF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983</Words>
  <Characters>5608</Characters>
  <Lines>46</Lines>
  <Paragraphs>13</Paragraphs>
  <TotalTime>252</TotalTime>
  <ScaleCrop>false</ScaleCrop>
  <LinksUpToDate>false</LinksUpToDate>
  <CharactersWithSpaces>6578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2023-01-31T01:51:00Z</dcterms:created>
  <dc:creator>lenovo</dc:creator>
  <cp:lastModifiedBy>user</cp:lastModifiedBy>
  <dcterms:modified xsi:type="dcterms:W3CDTF">2024-02-22T14:59:27Z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3C6AF47914ED4CFA837EE0367C080AC0_12</vt:lpwstr>
  </property>
</Properties>
</file>