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CESI仿宋-GB2312" w:hAnsi="CESI仿宋-GB2312" w:eastAsia="CESI仿宋-GB2312" w:cs="CESI仿宋-GB2312"/>
          <w:color w:val="auto"/>
          <w:kern w:val="2"/>
          <w:sz w:val="32"/>
          <w:szCs w:val="32"/>
          <w:lang w:val="en-US" w:eastAsia="zh-CN" w:bidi="ar"/>
        </w:rPr>
      </w:pPr>
      <w:r>
        <w:rPr>
          <w:rFonts w:hint="eastAsia" w:ascii="CESI仿宋-GB2312" w:hAnsi="CESI仿宋-GB2312" w:eastAsia="CESI仿宋-GB2312" w:cs="CESI仿宋-GB2312"/>
          <w:sz w:val="32"/>
          <w:szCs w:val="32"/>
          <w:lang w:eastAsia="zh-CN"/>
        </w:rPr>
        <w:t>淮法府领</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4号</w:t>
      </w:r>
    </w:p>
    <w:p>
      <w:pPr>
        <w:keepNext w:val="0"/>
        <w:keepLines w:val="0"/>
        <w:widowControl w:val="0"/>
        <w:suppressLineNumbers w:val="0"/>
        <w:spacing w:before="0" w:beforeAutospacing="1" w:after="0" w:afterAutospacing="1" w:line="550" w:lineRule="exact"/>
        <w:ind w:left="0" w:right="0"/>
        <w:jc w:val="left"/>
      </w:pPr>
      <w:r>
        <w:rPr>
          <w:rFonts w:ascii="CESI仿宋-GB2312" w:hAnsi="CESI仿宋-GB2312" w:eastAsia="CESI仿宋-GB2312" w:cs="CESI仿宋-GB2312"/>
          <w:color w:val="auto"/>
          <w:kern w:val="2"/>
          <w:sz w:val="32"/>
          <w:szCs w:val="32"/>
          <w:lang w:val="en-US" w:eastAsia="zh-CN" w:bidi="ar"/>
        </w:rPr>
        <w:t>濉</w:t>
      </w:r>
      <w:r>
        <w:rPr>
          <w:rFonts w:ascii="仿宋_GB2312" w:hAnsi="Calibri" w:eastAsia="仿宋_GB2312" w:cs="仿宋_GB2312"/>
          <w:color w:val="auto"/>
          <w:kern w:val="2"/>
          <w:sz w:val="32"/>
          <w:szCs w:val="32"/>
          <w:lang w:val="en-US" w:eastAsia="zh-CN" w:bidi="ar"/>
        </w:rPr>
        <w:t>溪</w:t>
      </w:r>
      <w:r>
        <w:rPr>
          <w:rFonts w:hint="eastAsia" w:ascii="仿宋_GB2312" w:hAnsi="Calibri" w:eastAsia="仿宋_GB2312" w:cs="仿宋_GB2312"/>
          <w:color w:val="auto"/>
          <w:kern w:val="2"/>
          <w:sz w:val="32"/>
          <w:szCs w:val="32"/>
          <w:lang w:val="en-US" w:eastAsia="zh-CN" w:bidi="ar"/>
        </w:rPr>
        <w:t>县、各区人民政府，市政府各部门、各直属机构，各有关单位：</w:t>
      </w:r>
    </w:p>
    <w:p>
      <w:pPr>
        <w:keepNext w:val="0"/>
        <w:keepLines w:val="0"/>
        <w:widowControl w:val="0"/>
        <w:suppressLineNumbers w:val="0"/>
        <w:spacing w:before="0" w:beforeAutospacing="1" w:after="0" w:afterAutospacing="1" w:line="550" w:lineRule="exact"/>
        <w:ind w:left="0" w:right="0" w:firstLine="640" w:firstLineChars="200"/>
        <w:jc w:val="left"/>
      </w:pPr>
      <w:r>
        <w:rPr>
          <w:rFonts w:hint="eastAsia" w:ascii="仿宋_GB2312" w:hAnsi="Calibri" w:eastAsia="仿宋_GB2312" w:cs="仿宋_GB2312"/>
          <w:color w:val="auto"/>
          <w:kern w:val="2"/>
          <w:sz w:val="32"/>
          <w:szCs w:val="32"/>
          <w:lang w:val="en-US" w:eastAsia="zh-CN" w:bidi="ar"/>
        </w:rPr>
        <w:t>为规范重大行政决策程序，推进科学民主依法决策，根据《重大行政决策程序暂行条例》《安徽省重大行政决策程序规定》等规定，经市委、市政府同意，现将《淮北市人民政府重大行政决策事项目录清单（2023版）》印发给你们，并就有关工作通知如下：</w:t>
      </w:r>
    </w:p>
    <w:p>
      <w:pPr>
        <w:keepNext w:val="0"/>
        <w:keepLines w:val="0"/>
        <w:widowControl w:val="0"/>
        <w:suppressLineNumbers w:val="0"/>
        <w:spacing w:before="0" w:beforeAutospacing="1" w:after="0" w:afterAutospacing="1" w:line="550" w:lineRule="exact"/>
        <w:ind w:left="0" w:right="0" w:firstLine="640" w:firstLineChars="200"/>
        <w:jc w:val="left"/>
      </w:pPr>
      <w:r>
        <w:rPr>
          <w:rFonts w:hint="eastAsia" w:ascii="仿宋_GB2312" w:hAnsi="Calibri" w:eastAsia="仿宋_GB2312" w:cs="仿宋_GB2312"/>
          <w:color w:val="auto"/>
          <w:kern w:val="2"/>
          <w:sz w:val="32"/>
          <w:szCs w:val="32"/>
          <w:lang w:val="en-US" w:eastAsia="zh-CN" w:bidi="ar"/>
        </w:rPr>
        <w:t>一、决策事项承办单位要认真组织实施，把握时间节点，严格履行公众参与、专家论证、风险评估、公平竞争审查、合法性审查、集体讨论决定和决策公布等程序，确保决策内容适当、程序合法、过程公开。要进一步完善重大行政决策档案管理制度，实现决策事项程序全过程记录。</w:t>
      </w:r>
    </w:p>
    <w:p>
      <w:pPr>
        <w:keepNext w:val="0"/>
        <w:keepLines w:val="0"/>
        <w:widowControl w:val="0"/>
        <w:suppressLineNumbers w:val="0"/>
        <w:spacing w:before="0" w:beforeAutospacing="1" w:after="0" w:afterAutospacing="1" w:line="550" w:lineRule="exact"/>
        <w:ind w:left="0" w:right="0" w:firstLine="640" w:firstLineChars="200"/>
        <w:jc w:val="left"/>
      </w:pPr>
      <w:r>
        <w:rPr>
          <w:rFonts w:hint="eastAsia" w:ascii="仿宋_GB2312" w:hAnsi="Calibri" w:eastAsia="仿宋_GB2312" w:cs="仿宋_GB2312"/>
          <w:color w:val="auto"/>
          <w:kern w:val="2"/>
          <w:sz w:val="32"/>
          <w:szCs w:val="32"/>
          <w:lang w:val="en-US" w:eastAsia="zh-CN" w:bidi="ar"/>
        </w:rPr>
        <w:t>二、重大行政决策事项实行目录管理，并根据市委、市政府确定的重点任务情况实行动态调整，确需新增或调整的，由决策事项承办单位按照相关规定程序办理。</w:t>
      </w:r>
    </w:p>
    <w:p>
      <w:pPr>
        <w:keepNext w:val="0"/>
        <w:keepLines w:val="0"/>
        <w:widowControl w:val="0"/>
        <w:suppressLineNumbers w:val="0"/>
        <w:spacing w:before="0" w:beforeAutospacing="1" w:after="0" w:afterAutospacing="1" w:line="550" w:lineRule="exact"/>
        <w:ind w:left="0" w:right="0" w:firstLine="640" w:firstLineChars="200"/>
        <w:jc w:val="left"/>
      </w:pPr>
      <w:r>
        <w:rPr>
          <w:rFonts w:hint="eastAsia" w:ascii="仿宋_GB2312" w:hAnsi="Calibri" w:eastAsia="仿宋_GB2312" w:cs="仿宋_GB2312"/>
          <w:color w:val="auto"/>
          <w:kern w:val="2"/>
          <w:sz w:val="32"/>
          <w:szCs w:val="32"/>
          <w:lang w:val="en-US" w:eastAsia="zh-CN" w:bidi="ar"/>
        </w:rPr>
        <w:t>三、各县（区）人民政府及其组成部门，市政府各部门、各直属机构、各有关单位要严格按照《重大行政决策程序暂行条例》《安徽省重大行政决策程序规定》《安徽省推进法治政府建设率先突破三年行动计划</w:t>
      </w:r>
      <w:r>
        <w:rPr>
          <w:rFonts w:hint="eastAsia" w:ascii="仿宋_GB2312" w:hAnsi="Calibri" w:eastAsia="仿宋_GB2312" w:cs="仿宋_GB2312"/>
          <w:b w:val="0"/>
          <w:bCs w:val="0"/>
          <w:color w:val="auto"/>
          <w:kern w:val="2"/>
          <w:sz w:val="32"/>
          <w:szCs w:val="32"/>
          <w:lang w:val="en-US" w:eastAsia="zh-CN" w:bidi="ar"/>
        </w:rPr>
        <w:t>（2022</w:t>
      </w:r>
      <w:r>
        <w:rPr>
          <w:rFonts w:hint="eastAsia" w:ascii="仿宋_GB2312" w:hAnsi="Calibri" w:eastAsia="仿宋_GB2312" w:cs="仿宋_GB2312"/>
          <w:color w:val="auto"/>
          <w:kern w:val="2"/>
          <w:sz w:val="32"/>
          <w:szCs w:val="32"/>
          <w:lang w:val="en-US" w:eastAsia="zh-CN" w:bidi="ar"/>
        </w:rPr>
        <w:t>—2024年）》（皖政〔2022〕69号）要求，制定年度重大行政决策事项目录清单，向社会公开。制定情况将纳入年度法治政府建设工作考核。</w:t>
      </w:r>
    </w:p>
    <w:p>
      <w:pPr>
        <w:keepNext w:val="0"/>
        <w:keepLines w:val="0"/>
        <w:widowControl w:val="0"/>
        <w:suppressLineNumbers w:val="0"/>
        <w:spacing w:before="0" w:beforeAutospacing="1" w:after="0" w:afterAutospacing="1" w:line="550" w:lineRule="exact"/>
        <w:ind w:left="0" w:right="0" w:firstLine="640" w:firstLineChars="200"/>
        <w:jc w:val="left"/>
      </w:pPr>
      <w:r>
        <w:rPr>
          <w:rFonts w:hint="eastAsia" w:ascii="仿宋_GB2312" w:hAnsi="Calibri" w:eastAsia="仿宋_GB2312" w:cs="仿宋_GB2312"/>
          <w:color w:val="auto"/>
          <w:kern w:val="2"/>
          <w:sz w:val="32"/>
          <w:szCs w:val="32"/>
          <w:lang w:val="en-US" w:eastAsia="zh-CN" w:bidi="ar"/>
        </w:rPr>
        <w:t>有关重大行政决策事项目录清单制定情况，请于6月底前报告领导小组办公室。</w:t>
      </w:r>
    </w:p>
    <w:p>
      <w:pPr>
        <w:keepNext w:val="0"/>
        <w:keepLines w:val="0"/>
        <w:widowControl w:val="0"/>
        <w:suppressLineNumbers w:val="0"/>
        <w:spacing w:before="0" w:beforeAutospacing="1" w:after="0" w:afterAutospacing="1" w:line="550" w:lineRule="exact"/>
        <w:ind w:right="0"/>
        <w:jc w:val="left"/>
      </w:pPr>
      <w:bookmarkStart w:id="0" w:name="_GoBack"/>
      <w:bookmarkEnd w:id="0"/>
      <w:r>
        <w:rPr>
          <w:rFonts w:hint="eastAsia" w:ascii="仿宋_GB2312" w:hAnsi="Calibri" w:eastAsia="仿宋_GB2312" w:cs="仿宋_GB2312"/>
          <w:b w:val="0"/>
          <w:bCs w:val="0"/>
          <w:color w:val="auto"/>
          <w:kern w:val="2"/>
          <w:sz w:val="32"/>
          <w:szCs w:val="32"/>
          <w:lang w:val="en-US" w:eastAsia="zh-CN" w:bidi="ar"/>
        </w:rPr>
        <w:t>附件</w:t>
      </w:r>
      <w:r>
        <w:rPr>
          <w:rFonts w:hint="eastAsia" w:ascii="仿宋_GB2312" w:hAnsi="Calibri" w:eastAsia="仿宋_GB2312" w:cs="仿宋_GB2312"/>
          <w:color w:val="auto"/>
          <w:kern w:val="2"/>
          <w:sz w:val="32"/>
          <w:szCs w:val="32"/>
          <w:lang w:val="en-US" w:eastAsia="zh-CN" w:bidi="ar"/>
        </w:rPr>
        <w:t>：</w:t>
      </w:r>
      <w:r>
        <w:rPr>
          <w:rFonts w:hint="eastAsia" w:ascii="仿宋_GB2312" w:hAnsi="Calibri" w:eastAsia="仿宋_GB2312" w:cs="仿宋_GB2312"/>
          <w:color w:val="auto"/>
          <w:spacing w:val="-20"/>
          <w:kern w:val="2"/>
          <w:sz w:val="32"/>
          <w:szCs w:val="32"/>
          <w:lang w:val="en-US" w:eastAsia="zh-CN" w:bidi="ar"/>
        </w:rPr>
        <w:t>淮北市人民政府重大行政决策事项目录清单（2023版）</w:t>
      </w:r>
    </w:p>
    <w:p>
      <w:pPr>
        <w:keepNext w:val="0"/>
        <w:keepLines w:val="0"/>
        <w:widowControl w:val="0"/>
        <w:suppressLineNumbers w:val="0"/>
        <w:spacing w:before="0" w:beforeAutospacing="1" w:after="0" w:afterAutospacing="1" w:line="550" w:lineRule="exact"/>
        <w:ind w:left="0" w:right="0" w:firstLine="420" w:firstLineChars="200"/>
        <w:jc w:val="right"/>
      </w:pPr>
    </w:p>
    <w:p>
      <w:pPr>
        <w:keepNext w:val="0"/>
        <w:keepLines w:val="0"/>
        <w:widowControl w:val="0"/>
        <w:suppressLineNumbers w:val="0"/>
        <w:spacing w:before="0" w:beforeAutospacing="1" w:after="0" w:afterAutospacing="1" w:line="550" w:lineRule="exact"/>
        <w:ind w:left="0" w:right="0" w:firstLine="560" w:firstLineChars="200"/>
        <w:jc w:val="center"/>
        <w:rPr>
          <w:rFonts w:hint="eastAsia" w:ascii="仿宋_GB2312" w:eastAsia="仿宋_GB2312" w:cs="仿宋_GB2312"/>
          <w:color w:val="auto"/>
          <w:spacing w:val="-20"/>
          <w:kern w:val="2"/>
          <w:sz w:val="32"/>
          <w:szCs w:val="32"/>
          <w:lang w:val="en-US" w:eastAsia="zh-CN" w:bidi="ar"/>
        </w:rPr>
      </w:pPr>
      <w:r>
        <w:rPr>
          <w:rFonts w:hint="eastAsia" w:ascii="仿宋_GB2312" w:eastAsia="仿宋_GB2312" w:cs="仿宋_GB2312"/>
          <w:color w:val="auto"/>
          <w:spacing w:val="-20"/>
          <w:kern w:val="2"/>
          <w:sz w:val="32"/>
          <w:szCs w:val="32"/>
          <w:lang w:val="en-US" w:eastAsia="zh-CN" w:bidi="ar"/>
        </w:rPr>
        <w:t xml:space="preserve">               </w:t>
      </w:r>
    </w:p>
    <w:p>
      <w:pPr>
        <w:keepNext w:val="0"/>
        <w:keepLines w:val="0"/>
        <w:widowControl w:val="0"/>
        <w:suppressLineNumbers w:val="0"/>
        <w:spacing w:before="0" w:beforeAutospacing="1" w:after="0" w:afterAutospacing="1" w:line="550" w:lineRule="exact"/>
        <w:ind w:left="0" w:right="0" w:firstLine="560" w:firstLineChars="200"/>
        <w:jc w:val="center"/>
      </w:pPr>
      <w:r>
        <w:rPr>
          <w:rFonts w:hint="eastAsia" w:ascii="仿宋_GB2312" w:eastAsia="仿宋_GB2312" w:cs="仿宋_GB2312"/>
          <w:color w:val="auto"/>
          <w:spacing w:val="-20"/>
          <w:kern w:val="2"/>
          <w:sz w:val="32"/>
          <w:szCs w:val="32"/>
          <w:lang w:val="en-US" w:eastAsia="zh-CN" w:bidi="ar"/>
        </w:rPr>
        <w:t xml:space="preserve">               </w:t>
      </w:r>
      <w:r>
        <w:rPr>
          <w:rFonts w:hint="eastAsia" w:ascii="仿宋_GB2312" w:hAnsi="Calibri" w:eastAsia="仿宋_GB2312" w:cs="仿宋_GB2312"/>
          <w:color w:val="auto"/>
          <w:spacing w:val="-20"/>
          <w:kern w:val="2"/>
          <w:sz w:val="32"/>
          <w:szCs w:val="32"/>
          <w:lang w:val="en-US" w:eastAsia="zh-CN" w:bidi="ar"/>
        </w:rPr>
        <w:t>淮北市法治政府建设工作领导小组</w:t>
      </w:r>
    </w:p>
    <w:p>
      <w:pPr>
        <w:keepNext w:val="0"/>
        <w:keepLines w:val="0"/>
        <w:widowControl w:val="0"/>
        <w:suppressLineNumbers w:val="0"/>
        <w:spacing w:before="0" w:beforeAutospacing="1" w:after="0" w:afterAutospacing="1" w:line="550" w:lineRule="exact"/>
        <w:ind w:left="0" w:right="0" w:firstLine="560" w:firstLineChars="200"/>
        <w:jc w:val="center"/>
      </w:pPr>
      <w:r>
        <w:rPr>
          <w:rFonts w:hint="eastAsia" w:ascii="仿宋_GB2312" w:eastAsia="仿宋_GB2312" w:cs="仿宋_GB2312"/>
          <w:color w:val="auto"/>
          <w:spacing w:val="-20"/>
          <w:kern w:val="2"/>
          <w:sz w:val="32"/>
          <w:szCs w:val="32"/>
          <w:lang w:val="en-US" w:eastAsia="zh-CN" w:bidi="ar"/>
        </w:rPr>
        <w:t xml:space="preserve">                 </w:t>
      </w:r>
      <w:r>
        <w:rPr>
          <w:rFonts w:hint="eastAsia" w:ascii="仿宋_GB2312" w:hAnsi="Calibri" w:eastAsia="仿宋_GB2312" w:cs="仿宋_GB2312"/>
          <w:color w:val="auto"/>
          <w:spacing w:val="-20"/>
          <w:kern w:val="2"/>
          <w:sz w:val="32"/>
          <w:szCs w:val="32"/>
          <w:lang w:val="en-US" w:eastAsia="zh-CN" w:bidi="ar"/>
        </w:rPr>
        <w:t>2023年6月19日</w:t>
      </w:r>
    </w:p>
    <w:p>
      <w:pPr>
        <w:keepNext w:val="0"/>
        <w:keepLines w:val="0"/>
        <w:widowControl w:val="0"/>
        <w:suppressLineNumbers w:val="0"/>
        <w:spacing w:before="0" w:beforeAutospacing="1" w:after="0" w:afterAutospacing="1" w:line="550" w:lineRule="exact"/>
        <w:ind w:left="0" w:right="0" w:firstLine="420" w:firstLineChars="200"/>
        <w:jc w:val="right"/>
      </w:pPr>
    </w:p>
    <w:p>
      <w:pPr>
        <w:keepNext w:val="0"/>
        <w:keepLines w:val="0"/>
        <w:widowControl/>
        <w:suppressLineNumbers w:val="0"/>
        <w:spacing w:before="0" w:beforeAutospacing="1" w:after="0" w:afterAutospacing="1" w:line="580" w:lineRule="exact"/>
        <w:ind w:left="0" w:right="0"/>
        <w:jc w:val="left"/>
        <w:rPr>
          <w:rFonts w:ascii="黑体" w:hAnsi="宋体" w:eastAsia="黑体" w:cs="黑体"/>
          <w:bCs/>
          <w:color w:val="auto"/>
          <w:kern w:val="2"/>
          <w:sz w:val="32"/>
          <w:szCs w:val="32"/>
          <w:lang w:val="en-US" w:eastAsia="zh-CN" w:bidi="ar"/>
        </w:rPr>
      </w:pPr>
    </w:p>
    <w:p>
      <w:pPr>
        <w:keepNext w:val="0"/>
        <w:keepLines w:val="0"/>
        <w:widowControl/>
        <w:suppressLineNumbers w:val="0"/>
        <w:spacing w:before="0" w:beforeAutospacing="1" w:after="0" w:afterAutospacing="1" w:line="580" w:lineRule="exact"/>
        <w:ind w:left="0" w:right="0"/>
        <w:jc w:val="left"/>
        <w:rPr>
          <w:rFonts w:ascii="黑体" w:hAnsi="宋体" w:eastAsia="黑体" w:cs="黑体"/>
          <w:bCs/>
          <w:color w:val="auto"/>
          <w:kern w:val="2"/>
          <w:sz w:val="32"/>
          <w:szCs w:val="32"/>
          <w:lang w:val="en-US" w:eastAsia="zh-CN" w:bidi="ar"/>
        </w:rPr>
      </w:pPr>
    </w:p>
    <w:p>
      <w:pPr>
        <w:keepNext w:val="0"/>
        <w:keepLines w:val="0"/>
        <w:widowControl/>
        <w:suppressLineNumbers w:val="0"/>
        <w:spacing w:before="0" w:beforeAutospacing="1" w:after="0" w:afterAutospacing="1" w:line="580" w:lineRule="exact"/>
        <w:ind w:left="0" w:right="0"/>
        <w:jc w:val="left"/>
        <w:rPr>
          <w:rFonts w:ascii="黑体" w:hAnsi="宋体" w:eastAsia="黑体" w:cs="黑体"/>
          <w:bCs/>
          <w:color w:val="auto"/>
          <w:kern w:val="2"/>
          <w:sz w:val="32"/>
          <w:szCs w:val="32"/>
          <w:lang w:val="en-US" w:eastAsia="zh-CN" w:bidi="ar"/>
        </w:rPr>
      </w:pPr>
    </w:p>
    <w:p>
      <w:pPr>
        <w:keepNext w:val="0"/>
        <w:keepLines w:val="0"/>
        <w:widowControl/>
        <w:suppressLineNumbers w:val="0"/>
        <w:spacing w:before="0" w:beforeAutospacing="1" w:after="0" w:afterAutospacing="1" w:line="580" w:lineRule="exact"/>
        <w:ind w:left="0" w:right="0"/>
        <w:jc w:val="left"/>
        <w:rPr>
          <w:rFonts w:ascii="黑体" w:hAnsi="宋体" w:eastAsia="黑体" w:cs="黑体"/>
          <w:bCs/>
          <w:color w:val="auto"/>
          <w:kern w:val="2"/>
          <w:sz w:val="32"/>
          <w:szCs w:val="32"/>
          <w:lang w:val="en-US" w:eastAsia="zh-CN" w:bidi="ar"/>
        </w:rPr>
      </w:pPr>
    </w:p>
    <w:p>
      <w:pPr>
        <w:keepNext w:val="0"/>
        <w:keepLines w:val="0"/>
        <w:widowControl/>
        <w:suppressLineNumbers w:val="0"/>
        <w:spacing w:before="0" w:beforeAutospacing="1" w:after="0" w:afterAutospacing="1" w:line="580" w:lineRule="exact"/>
        <w:ind w:left="0" w:right="0"/>
        <w:jc w:val="left"/>
        <w:rPr>
          <w:rFonts w:ascii="黑体" w:hAnsi="宋体" w:eastAsia="黑体" w:cs="黑体"/>
          <w:bCs/>
          <w:color w:val="auto"/>
          <w:kern w:val="2"/>
          <w:sz w:val="32"/>
          <w:szCs w:val="32"/>
          <w:lang w:val="en-US" w:eastAsia="zh-CN" w:bidi="ar"/>
        </w:rPr>
      </w:pPr>
    </w:p>
    <w:p>
      <w:pPr>
        <w:keepNext w:val="0"/>
        <w:keepLines w:val="0"/>
        <w:widowControl/>
        <w:suppressLineNumbers w:val="0"/>
        <w:spacing w:before="0" w:beforeAutospacing="1" w:after="0" w:afterAutospacing="1" w:line="580" w:lineRule="exact"/>
        <w:ind w:left="0" w:right="0"/>
        <w:jc w:val="left"/>
        <w:rPr>
          <w:rFonts w:ascii="黑体" w:hAnsi="宋体" w:eastAsia="黑体" w:cs="黑体"/>
          <w:bCs/>
          <w:color w:val="auto"/>
          <w:kern w:val="2"/>
          <w:sz w:val="32"/>
          <w:szCs w:val="32"/>
          <w:lang w:val="en-US" w:eastAsia="zh-CN" w:bidi="ar"/>
        </w:rPr>
      </w:pPr>
    </w:p>
    <w:p>
      <w:pPr>
        <w:keepNext w:val="0"/>
        <w:keepLines w:val="0"/>
        <w:widowControl/>
        <w:suppressLineNumbers w:val="0"/>
        <w:spacing w:before="0" w:beforeAutospacing="1" w:after="0" w:afterAutospacing="1" w:line="580" w:lineRule="exact"/>
        <w:ind w:left="0" w:right="0"/>
        <w:jc w:val="left"/>
        <w:rPr>
          <w:rFonts w:ascii="黑体" w:hAnsi="宋体" w:eastAsia="黑体" w:cs="黑体"/>
          <w:bCs/>
          <w:color w:val="auto"/>
          <w:kern w:val="2"/>
          <w:sz w:val="32"/>
          <w:szCs w:val="32"/>
          <w:lang w:val="en-US" w:eastAsia="zh-CN" w:bidi="ar"/>
        </w:rPr>
      </w:pPr>
    </w:p>
    <w:p>
      <w:pPr>
        <w:keepNext w:val="0"/>
        <w:keepLines w:val="0"/>
        <w:widowControl/>
        <w:suppressLineNumbers w:val="0"/>
        <w:spacing w:before="0" w:beforeAutospacing="1" w:after="0" w:afterAutospacing="1" w:line="580" w:lineRule="exact"/>
        <w:ind w:left="0" w:right="0"/>
        <w:jc w:val="left"/>
        <w:rPr>
          <w:rFonts w:ascii="黑体" w:hAnsi="宋体" w:eastAsia="黑体" w:cs="黑体"/>
          <w:bCs/>
          <w:color w:val="auto"/>
          <w:kern w:val="2"/>
          <w:sz w:val="32"/>
          <w:szCs w:val="32"/>
          <w:lang w:val="en-US" w:eastAsia="zh-CN" w:bidi="ar"/>
        </w:rPr>
      </w:pPr>
    </w:p>
    <w:p>
      <w:pPr>
        <w:keepNext w:val="0"/>
        <w:keepLines w:val="0"/>
        <w:widowControl/>
        <w:suppressLineNumbers w:val="0"/>
        <w:spacing w:before="0" w:beforeAutospacing="1" w:after="0" w:afterAutospacing="1" w:line="580" w:lineRule="exact"/>
        <w:ind w:left="0" w:right="0"/>
        <w:jc w:val="left"/>
        <w:rPr>
          <w:rFonts w:ascii="黑体" w:hAnsi="宋体" w:eastAsia="黑体" w:cs="黑体"/>
          <w:bCs/>
          <w:color w:val="auto"/>
          <w:kern w:val="2"/>
          <w:sz w:val="32"/>
          <w:szCs w:val="32"/>
          <w:lang w:val="en-US" w:eastAsia="zh-CN" w:bidi="ar"/>
        </w:rPr>
      </w:pPr>
    </w:p>
    <w:p>
      <w:pPr>
        <w:keepNext w:val="0"/>
        <w:keepLines w:val="0"/>
        <w:widowControl/>
        <w:suppressLineNumbers w:val="0"/>
        <w:spacing w:before="0" w:beforeAutospacing="1" w:after="0" w:afterAutospacing="1" w:line="580" w:lineRule="exact"/>
        <w:ind w:left="0" w:right="0"/>
        <w:jc w:val="left"/>
      </w:pPr>
      <w:r>
        <w:rPr>
          <w:rFonts w:ascii="黑体" w:hAnsi="宋体" w:eastAsia="黑体" w:cs="黑体"/>
          <w:bCs/>
          <w:color w:val="auto"/>
          <w:kern w:val="2"/>
          <w:sz w:val="32"/>
          <w:szCs w:val="32"/>
          <w:lang w:val="en-US" w:eastAsia="zh-CN" w:bidi="ar"/>
        </w:rPr>
        <w:t>附件</w:t>
      </w:r>
    </w:p>
    <w:p>
      <w:pPr>
        <w:keepNext w:val="0"/>
        <w:keepLines w:val="0"/>
        <w:widowControl/>
        <w:suppressLineNumbers w:val="0"/>
        <w:spacing w:before="0" w:beforeAutospacing="1" w:after="0" w:afterAutospacing="1" w:line="580" w:lineRule="exact"/>
        <w:ind w:left="0" w:right="0"/>
        <w:jc w:val="center"/>
      </w:pPr>
      <w:r>
        <w:rPr>
          <w:rFonts w:ascii="方正小标宋简体" w:hAnsi="方正小标宋简体" w:eastAsia="方正小标宋简体" w:cs="方正小标宋简体"/>
          <w:color w:val="auto"/>
          <w:spacing w:val="-20"/>
          <w:kern w:val="2"/>
          <w:sz w:val="44"/>
          <w:szCs w:val="44"/>
          <w:lang w:val="en-US" w:eastAsia="zh-CN" w:bidi="ar"/>
        </w:rPr>
        <w:t>淮北市人民政府重大行政决策事项目录清单</w:t>
      </w:r>
    </w:p>
    <w:p>
      <w:pPr>
        <w:keepNext w:val="0"/>
        <w:keepLines w:val="0"/>
        <w:widowControl/>
        <w:suppressLineNumbers w:val="0"/>
        <w:spacing w:before="0" w:beforeAutospacing="1" w:after="0" w:afterAutospacing="1" w:line="580" w:lineRule="exact"/>
        <w:ind w:left="0" w:right="0"/>
        <w:jc w:val="center"/>
      </w:pPr>
      <w:r>
        <w:rPr>
          <w:rFonts w:hint="eastAsia" w:ascii="方正小标宋简体" w:hAnsi="方正小标宋简体" w:eastAsia="方正小标宋简体" w:cs="方正小标宋简体"/>
          <w:color w:val="auto"/>
          <w:kern w:val="2"/>
          <w:sz w:val="44"/>
          <w:szCs w:val="44"/>
          <w:lang w:val="en-US" w:eastAsia="zh-CN" w:bidi="ar"/>
        </w:rPr>
        <w:t>（</w:t>
      </w:r>
      <w:r>
        <w:rPr>
          <w:rFonts w:hint="default" w:ascii="Times New Roman" w:hAnsi="Times New Roman" w:eastAsia="方正小标宋简体" w:cs="Times New Roman"/>
          <w:color w:val="auto"/>
          <w:kern w:val="2"/>
          <w:sz w:val="44"/>
          <w:szCs w:val="44"/>
          <w:lang w:val="en-US" w:eastAsia="zh-CN" w:bidi="ar"/>
        </w:rPr>
        <w:t>2023</w:t>
      </w:r>
      <w:r>
        <w:rPr>
          <w:rFonts w:hint="eastAsia" w:ascii="方正小标宋简体" w:hAnsi="方正小标宋简体" w:eastAsia="方正小标宋简体" w:cs="方正小标宋简体"/>
          <w:color w:val="auto"/>
          <w:kern w:val="2"/>
          <w:sz w:val="44"/>
          <w:szCs w:val="44"/>
          <w:lang w:val="en-US" w:eastAsia="zh-CN" w:bidi="ar"/>
        </w:rPr>
        <w:t>版）</w:t>
      </w:r>
    </w:p>
    <w:tbl>
      <w:tblPr>
        <w:tblW w:w="94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 w:type="dxa"/>
          <w:bottom w:w="0" w:type="dxa"/>
          <w:right w:w="10" w:type="dxa"/>
        </w:tblCellMar>
      </w:tblPr>
      <w:tblGrid>
        <w:gridCol w:w="744"/>
        <w:gridCol w:w="1264"/>
        <w:gridCol w:w="4102"/>
        <w:gridCol w:w="1994"/>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850" w:hRule="atLeast"/>
          <w:jc w:val="center"/>
        </w:trPr>
        <w:tc>
          <w:tcPr>
            <w:tcW w:w="744"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firstLine="9"/>
              <w:jc w:val="center"/>
            </w:pPr>
            <w:r>
              <w:rPr>
                <w:rFonts w:hint="eastAsia" w:ascii="黑体" w:hAnsi="宋体" w:eastAsia="黑体" w:cs="黑体"/>
                <w:color w:val="auto"/>
                <w:kern w:val="2"/>
                <w:sz w:val="24"/>
                <w:szCs w:val="24"/>
                <w:bdr w:val="none" w:color="auto" w:sz="0" w:space="0"/>
                <w:lang w:val="en-US" w:eastAsia="zh-CN" w:bidi="ar"/>
              </w:rPr>
              <w:t>序号</w:t>
            </w:r>
          </w:p>
        </w:tc>
        <w:tc>
          <w:tcPr>
            <w:tcW w:w="126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1" w:after="0" w:afterAutospacing="1" w:line="360" w:lineRule="exact"/>
              <w:ind w:left="0" w:right="0" w:firstLine="9"/>
              <w:jc w:val="center"/>
            </w:pPr>
            <w:r>
              <w:rPr>
                <w:rFonts w:hint="eastAsia" w:ascii="黑体" w:hAnsi="宋体" w:eastAsia="黑体" w:cs="黑体"/>
                <w:color w:val="auto"/>
                <w:kern w:val="2"/>
                <w:sz w:val="24"/>
                <w:szCs w:val="24"/>
                <w:bdr w:val="none" w:color="auto" w:sz="0" w:space="0"/>
                <w:lang w:val="en-US" w:eastAsia="zh-CN" w:bidi="ar"/>
              </w:rPr>
              <w:t>事项</w:t>
            </w:r>
          </w:p>
          <w:p>
            <w:pPr>
              <w:keepNext w:val="0"/>
              <w:keepLines w:val="0"/>
              <w:widowControl/>
              <w:suppressLineNumbers w:val="0"/>
              <w:spacing w:before="0" w:beforeAutospacing="1" w:after="0" w:afterAutospacing="1" w:line="360" w:lineRule="exact"/>
              <w:ind w:left="0" w:right="0" w:firstLine="9"/>
              <w:jc w:val="center"/>
            </w:pPr>
            <w:r>
              <w:rPr>
                <w:rFonts w:hint="eastAsia" w:ascii="黑体" w:hAnsi="宋体" w:eastAsia="黑体" w:cs="黑体"/>
                <w:color w:val="auto"/>
                <w:kern w:val="2"/>
                <w:sz w:val="24"/>
                <w:szCs w:val="24"/>
                <w:bdr w:val="none" w:color="auto" w:sz="0" w:space="0"/>
                <w:lang w:val="en-US" w:eastAsia="zh-CN" w:bidi="ar"/>
              </w:rPr>
              <w:t>类别</w:t>
            </w:r>
          </w:p>
        </w:tc>
        <w:tc>
          <w:tcPr>
            <w:tcW w:w="4102"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黑体" w:hAnsi="宋体" w:eastAsia="黑体" w:cs="黑体"/>
                <w:color w:val="auto"/>
                <w:kern w:val="2"/>
                <w:sz w:val="24"/>
                <w:szCs w:val="24"/>
                <w:bdr w:val="none" w:color="auto" w:sz="0" w:space="0"/>
                <w:lang w:val="en-US" w:eastAsia="zh-CN" w:bidi="ar"/>
              </w:rPr>
              <w:t>事项</w:t>
            </w:r>
          </w:p>
        </w:tc>
        <w:tc>
          <w:tcPr>
            <w:tcW w:w="1994" w:type="dxa"/>
            <w:tcBorders>
              <w:top w:val="single" w:color="auto" w:sz="4" w:space="0"/>
              <w:left w:val="nil"/>
              <w:bottom w:val="nil"/>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黑体" w:hAnsi="宋体" w:eastAsia="黑体" w:cs="黑体"/>
                <w:color w:val="auto"/>
                <w:kern w:val="2"/>
                <w:sz w:val="24"/>
                <w:szCs w:val="24"/>
                <w:bdr w:val="none" w:color="auto" w:sz="0" w:space="0"/>
                <w:lang w:val="en-US" w:eastAsia="zh-CN" w:bidi="ar"/>
              </w:rPr>
              <w:t>承办单位</w:t>
            </w:r>
          </w:p>
        </w:tc>
        <w:tc>
          <w:tcPr>
            <w:tcW w:w="1350"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黑体" w:hAnsi="宋体" w:eastAsia="黑体" w:cs="黑体"/>
                <w:color w:val="auto"/>
                <w:kern w:val="2"/>
                <w:sz w:val="24"/>
                <w:szCs w:val="24"/>
                <w:bdr w:val="none" w:color="auto" w:sz="0" w:space="0"/>
                <w:lang w:val="en-US" w:eastAsia="zh-CN" w:bidi="ar"/>
              </w:rPr>
              <w:t>时间安排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 w:type="dxa"/>
            <w:bottom w:w="0" w:type="dxa"/>
            <w:right w:w="10" w:type="dxa"/>
          </w:tblCellMar>
        </w:tblPrEx>
        <w:trPr>
          <w:trHeight w:val="850" w:hRule="atLeast"/>
          <w:jc w:val="center"/>
        </w:trPr>
        <w:tc>
          <w:tcPr>
            <w:tcW w:w="744"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default" w:ascii="Times New Roman" w:hAnsi="Times New Roman" w:eastAsia="仿宋_GB2312" w:cs="Times New Roman"/>
                <w:color w:val="auto"/>
                <w:kern w:val="2"/>
                <w:sz w:val="24"/>
                <w:szCs w:val="24"/>
                <w:bdr w:val="none" w:color="auto" w:sz="0" w:space="0"/>
                <w:lang w:val="en-US" w:eastAsia="zh-CN" w:bidi="ar"/>
              </w:rPr>
              <w:t>1</w:t>
            </w:r>
          </w:p>
        </w:tc>
        <w:tc>
          <w:tcPr>
            <w:tcW w:w="1264" w:type="dxa"/>
            <w:vMerge w:val="restart"/>
            <w:tcBorders>
              <w:top w:val="nil"/>
              <w:left w:val="single" w:color="auto" w:sz="4" w:space="0"/>
              <w:bottom w:val="nil"/>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有关公共服务、市场监管、社会管理、环境保护等</w:t>
            </w:r>
          </w:p>
        </w:tc>
        <w:tc>
          <w:tcPr>
            <w:tcW w:w="41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淮北市</w:t>
            </w:r>
            <w:r>
              <w:rPr>
                <w:rFonts w:hint="default" w:ascii="Times New Roman" w:hAnsi="Times New Roman" w:eastAsia="仿宋_GB2312" w:cs="Times New Roman"/>
                <w:color w:val="auto"/>
                <w:kern w:val="2"/>
                <w:sz w:val="24"/>
                <w:szCs w:val="24"/>
                <w:bdr w:val="none" w:color="auto" w:sz="0" w:space="0"/>
                <w:lang w:val="en-US" w:eastAsia="zh-CN" w:bidi="ar"/>
              </w:rPr>
              <w:t>12345</w:t>
            </w:r>
            <w:r>
              <w:rPr>
                <w:rFonts w:hint="eastAsia" w:ascii="仿宋_GB2312" w:hAnsi="Times New Roman" w:eastAsia="仿宋_GB2312" w:cs="仿宋_GB2312"/>
                <w:color w:val="auto"/>
                <w:kern w:val="2"/>
                <w:sz w:val="24"/>
                <w:szCs w:val="24"/>
                <w:bdr w:val="none" w:color="auto" w:sz="0" w:space="0"/>
                <w:lang w:val="en-US" w:eastAsia="zh-CN" w:bidi="ar"/>
              </w:rPr>
              <w:t>政务服务便民热线与</w:t>
            </w:r>
            <w:r>
              <w:rPr>
                <w:rFonts w:hint="default" w:ascii="Times New Roman" w:hAnsi="Times New Roman" w:eastAsia="仿宋_GB2312" w:cs="Times New Roman"/>
                <w:color w:val="auto"/>
                <w:kern w:val="2"/>
                <w:sz w:val="24"/>
                <w:szCs w:val="24"/>
                <w:bdr w:val="none" w:color="auto" w:sz="0" w:space="0"/>
                <w:lang w:val="en-US" w:eastAsia="zh-CN" w:bidi="ar"/>
              </w:rPr>
              <w:t>110</w:t>
            </w:r>
            <w:r>
              <w:rPr>
                <w:rFonts w:hint="eastAsia" w:ascii="仿宋_GB2312" w:hAnsi="Times New Roman" w:eastAsia="仿宋_GB2312" w:cs="仿宋_GB2312"/>
                <w:color w:val="auto"/>
                <w:kern w:val="2"/>
                <w:sz w:val="24"/>
                <w:szCs w:val="24"/>
                <w:bdr w:val="none" w:color="auto" w:sz="0" w:space="0"/>
                <w:lang w:val="en-US" w:eastAsia="zh-CN" w:bidi="ar"/>
              </w:rPr>
              <w:t>报警服务平台应急联动机制</w:t>
            </w:r>
          </w:p>
        </w:tc>
        <w:tc>
          <w:tcPr>
            <w:tcW w:w="1994" w:type="dxa"/>
            <w:tcBorders>
              <w:top w:val="single" w:color="auto" w:sz="4" w:space="0"/>
              <w:left w:val="nil"/>
              <w:bottom w:val="nil"/>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市公安局</w:t>
            </w:r>
          </w:p>
        </w:tc>
        <w:tc>
          <w:tcPr>
            <w:tcW w:w="1350"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第四季度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 w:type="dxa"/>
            <w:bottom w:w="0" w:type="dxa"/>
            <w:right w:w="10" w:type="dxa"/>
          </w:tblCellMar>
        </w:tblPrEx>
        <w:trPr>
          <w:trHeight w:val="850" w:hRule="atLeast"/>
          <w:jc w:val="center"/>
        </w:trPr>
        <w:tc>
          <w:tcPr>
            <w:tcW w:w="744"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default" w:ascii="Times New Roman" w:hAnsi="Times New Roman" w:eastAsia="仿宋_GB2312" w:cs="Times New Roman"/>
                <w:color w:val="auto"/>
                <w:kern w:val="2"/>
                <w:sz w:val="24"/>
                <w:szCs w:val="24"/>
                <w:bdr w:val="none" w:color="auto" w:sz="0" w:space="0"/>
                <w:lang w:val="en-US" w:eastAsia="zh-CN" w:bidi="ar"/>
              </w:rPr>
              <w:t>2</w:t>
            </w:r>
          </w:p>
        </w:tc>
        <w:tc>
          <w:tcPr>
            <w:tcW w:w="1264" w:type="dxa"/>
            <w:vMerge w:val="continue"/>
            <w:tcBorders>
              <w:top w:val="nil"/>
              <w:left w:val="single" w:color="auto" w:sz="4" w:space="0"/>
              <w:bottom w:val="nil"/>
              <w:right w:val="nil"/>
            </w:tcBorders>
            <w:shd w:val="clear" w:color="auto" w:fill="FFFFFF"/>
            <w:vAlign w:val="center"/>
          </w:tcPr>
          <w:p>
            <w:pPr>
              <w:rPr>
                <w:rFonts w:hint="eastAsia" w:ascii="宋体"/>
                <w:sz w:val="24"/>
                <w:szCs w:val="24"/>
              </w:rPr>
            </w:pPr>
          </w:p>
        </w:tc>
        <w:tc>
          <w:tcPr>
            <w:tcW w:w="41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淮北市人民政府关于健全特困人员救助供养制度的实施意见</w:t>
            </w:r>
          </w:p>
        </w:tc>
        <w:tc>
          <w:tcPr>
            <w:tcW w:w="1994" w:type="dxa"/>
            <w:tcBorders>
              <w:top w:val="single" w:color="auto" w:sz="4" w:space="0"/>
              <w:left w:val="nil"/>
              <w:bottom w:val="nil"/>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市民政局</w:t>
            </w:r>
          </w:p>
        </w:tc>
        <w:tc>
          <w:tcPr>
            <w:tcW w:w="1350"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第三季度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 w:type="dxa"/>
            <w:bottom w:w="0" w:type="dxa"/>
            <w:right w:w="10" w:type="dxa"/>
          </w:tblCellMar>
        </w:tblPrEx>
        <w:trPr>
          <w:trHeight w:val="850" w:hRule="atLeast"/>
          <w:jc w:val="center"/>
        </w:trPr>
        <w:tc>
          <w:tcPr>
            <w:tcW w:w="744"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default" w:ascii="Times New Roman" w:hAnsi="Times New Roman" w:eastAsia="仿宋_GB2312" w:cs="Times New Roman"/>
                <w:color w:val="auto"/>
                <w:kern w:val="2"/>
                <w:sz w:val="24"/>
                <w:szCs w:val="24"/>
                <w:bdr w:val="none" w:color="auto" w:sz="0" w:space="0"/>
                <w:lang w:val="en-US" w:eastAsia="zh-CN" w:bidi="ar"/>
              </w:rPr>
              <w:t>3</w:t>
            </w:r>
          </w:p>
        </w:tc>
        <w:tc>
          <w:tcPr>
            <w:tcW w:w="1264" w:type="dxa"/>
            <w:vMerge w:val="continue"/>
            <w:tcBorders>
              <w:top w:val="nil"/>
              <w:left w:val="single" w:color="auto" w:sz="4" w:space="0"/>
              <w:bottom w:val="nil"/>
              <w:right w:val="nil"/>
            </w:tcBorders>
            <w:shd w:val="clear" w:color="auto" w:fill="FFFFFF"/>
            <w:vAlign w:val="center"/>
          </w:tcPr>
          <w:p>
            <w:pPr>
              <w:rPr>
                <w:rFonts w:hint="eastAsia" w:ascii="宋体"/>
                <w:sz w:val="24"/>
                <w:szCs w:val="24"/>
              </w:rPr>
            </w:pPr>
          </w:p>
        </w:tc>
        <w:tc>
          <w:tcPr>
            <w:tcW w:w="41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淮北市新污染物治理工作方案</w:t>
            </w:r>
          </w:p>
        </w:tc>
        <w:tc>
          <w:tcPr>
            <w:tcW w:w="1994" w:type="dxa"/>
            <w:tcBorders>
              <w:top w:val="single" w:color="auto" w:sz="4" w:space="0"/>
              <w:left w:val="nil"/>
              <w:bottom w:val="nil"/>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市生态环境局</w:t>
            </w:r>
          </w:p>
        </w:tc>
        <w:tc>
          <w:tcPr>
            <w:tcW w:w="1350"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第三季度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 w:type="dxa"/>
            <w:bottom w:w="0" w:type="dxa"/>
            <w:right w:w="10" w:type="dxa"/>
          </w:tblCellMar>
        </w:tblPrEx>
        <w:trPr>
          <w:trHeight w:val="850" w:hRule="atLeast"/>
          <w:jc w:val="center"/>
        </w:trPr>
        <w:tc>
          <w:tcPr>
            <w:tcW w:w="744"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default" w:ascii="Times New Roman" w:hAnsi="Times New Roman" w:eastAsia="仿宋_GB2312" w:cs="Times New Roman"/>
                <w:color w:val="auto"/>
                <w:kern w:val="2"/>
                <w:sz w:val="24"/>
                <w:szCs w:val="24"/>
                <w:bdr w:val="none" w:color="auto" w:sz="0" w:space="0"/>
                <w:lang w:val="en-US" w:eastAsia="zh-CN" w:bidi="ar"/>
              </w:rPr>
              <w:t>4</w:t>
            </w:r>
          </w:p>
        </w:tc>
        <w:tc>
          <w:tcPr>
            <w:tcW w:w="1264" w:type="dxa"/>
            <w:vMerge w:val="continue"/>
            <w:tcBorders>
              <w:top w:val="nil"/>
              <w:left w:val="single" w:color="auto" w:sz="4" w:space="0"/>
              <w:bottom w:val="nil"/>
              <w:right w:val="nil"/>
            </w:tcBorders>
            <w:shd w:val="clear" w:color="auto" w:fill="FFFFFF"/>
            <w:vAlign w:val="center"/>
          </w:tcPr>
          <w:p>
            <w:pPr>
              <w:rPr>
                <w:rFonts w:hint="eastAsia" w:ascii="宋体"/>
                <w:sz w:val="24"/>
                <w:szCs w:val="24"/>
              </w:rPr>
            </w:pPr>
          </w:p>
        </w:tc>
        <w:tc>
          <w:tcPr>
            <w:tcW w:w="41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淮北市物业专项维修资金管理办法</w:t>
            </w:r>
          </w:p>
        </w:tc>
        <w:tc>
          <w:tcPr>
            <w:tcW w:w="1994" w:type="dxa"/>
            <w:tcBorders>
              <w:top w:val="single" w:color="auto" w:sz="4" w:space="0"/>
              <w:left w:val="nil"/>
              <w:bottom w:val="nil"/>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市住房城乡建设局</w:t>
            </w:r>
          </w:p>
        </w:tc>
        <w:tc>
          <w:tcPr>
            <w:tcW w:w="1350"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第四季度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 w:type="dxa"/>
            <w:bottom w:w="0" w:type="dxa"/>
            <w:right w:w="10" w:type="dxa"/>
          </w:tblCellMar>
        </w:tblPrEx>
        <w:trPr>
          <w:trHeight w:val="850" w:hRule="atLeast"/>
          <w:jc w:val="center"/>
        </w:trPr>
        <w:tc>
          <w:tcPr>
            <w:tcW w:w="744"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default" w:ascii="Times New Roman" w:hAnsi="Times New Roman" w:eastAsia="仿宋_GB2312" w:cs="Times New Roman"/>
                <w:color w:val="auto"/>
                <w:kern w:val="2"/>
                <w:sz w:val="24"/>
                <w:szCs w:val="24"/>
                <w:bdr w:val="none" w:color="auto" w:sz="0" w:space="0"/>
                <w:lang w:val="en-US" w:eastAsia="zh-CN" w:bidi="ar"/>
              </w:rPr>
              <w:t>5</w:t>
            </w:r>
          </w:p>
        </w:tc>
        <w:tc>
          <w:tcPr>
            <w:tcW w:w="1264" w:type="dxa"/>
            <w:vMerge w:val="continue"/>
            <w:tcBorders>
              <w:top w:val="nil"/>
              <w:left w:val="single" w:color="auto" w:sz="4" w:space="0"/>
              <w:bottom w:val="nil"/>
              <w:right w:val="nil"/>
            </w:tcBorders>
            <w:shd w:val="clear" w:color="auto" w:fill="FFFFFF"/>
            <w:vAlign w:val="center"/>
          </w:tcPr>
          <w:p>
            <w:pPr>
              <w:rPr>
                <w:rFonts w:hint="eastAsia" w:ascii="宋体"/>
                <w:sz w:val="24"/>
                <w:szCs w:val="24"/>
              </w:rPr>
            </w:pPr>
          </w:p>
        </w:tc>
        <w:tc>
          <w:tcPr>
            <w:tcW w:w="41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淮北市关于进一步加强食品安全社会</w:t>
            </w:r>
          </w:p>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共治的实施意见</w:t>
            </w:r>
          </w:p>
        </w:tc>
        <w:tc>
          <w:tcPr>
            <w:tcW w:w="1994" w:type="dxa"/>
            <w:tcBorders>
              <w:top w:val="single" w:color="auto" w:sz="4" w:space="0"/>
              <w:left w:val="nil"/>
              <w:bottom w:val="nil"/>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市市场监管局</w:t>
            </w:r>
          </w:p>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（知识产权局）</w:t>
            </w:r>
          </w:p>
        </w:tc>
        <w:tc>
          <w:tcPr>
            <w:tcW w:w="1350"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第四季度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 w:type="dxa"/>
            <w:bottom w:w="0" w:type="dxa"/>
            <w:right w:w="10" w:type="dxa"/>
          </w:tblCellMar>
        </w:tblPrEx>
        <w:trPr>
          <w:trHeight w:val="850" w:hRule="atLeast"/>
          <w:jc w:val="center"/>
        </w:trPr>
        <w:tc>
          <w:tcPr>
            <w:tcW w:w="744"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default" w:ascii="Times New Roman" w:hAnsi="Times New Roman" w:eastAsia="仿宋_GB2312" w:cs="Times New Roman"/>
                <w:color w:val="auto"/>
                <w:kern w:val="2"/>
                <w:sz w:val="24"/>
                <w:szCs w:val="24"/>
                <w:bdr w:val="none" w:color="auto" w:sz="0" w:space="0"/>
                <w:lang w:val="en-US" w:eastAsia="zh-CN" w:bidi="ar"/>
              </w:rPr>
              <w:t>6</w:t>
            </w:r>
          </w:p>
        </w:tc>
        <w:tc>
          <w:tcPr>
            <w:tcW w:w="1264" w:type="dxa"/>
            <w:vMerge w:val="restart"/>
            <w:tcBorders>
              <w:top w:val="nil"/>
              <w:left w:val="single" w:color="auto" w:sz="4" w:space="0"/>
              <w:bottom w:val="single" w:color="auto" w:sz="4" w:space="0"/>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有关经济和社会发展的重要规划</w:t>
            </w:r>
          </w:p>
        </w:tc>
        <w:tc>
          <w:tcPr>
            <w:tcW w:w="4102"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关于深化市校合作的实施方案</w:t>
            </w:r>
          </w:p>
        </w:tc>
        <w:tc>
          <w:tcPr>
            <w:tcW w:w="1994"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市教育局</w:t>
            </w:r>
          </w:p>
        </w:tc>
        <w:tc>
          <w:tcPr>
            <w:tcW w:w="1350"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第三季度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 w:type="dxa"/>
            <w:bottom w:w="0" w:type="dxa"/>
            <w:right w:w="10" w:type="dxa"/>
          </w:tblCellMar>
        </w:tblPrEx>
        <w:trPr>
          <w:trHeight w:val="850" w:hRule="atLeast"/>
          <w:jc w:val="center"/>
        </w:trPr>
        <w:tc>
          <w:tcPr>
            <w:tcW w:w="744"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default" w:ascii="Times New Roman" w:hAnsi="Times New Roman" w:eastAsia="仿宋_GB2312" w:cs="Times New Roman"/>
                <w:color w:val="auto"/>
                <w:kern w:val="2"/>
                <w:sz w:val="24"/>
                <w:szCs w:val="24"/>
                <w:bdr w:val="none" w:color="auto" w:sz="0" w:space="0"/>
                <w:lang w:val="en-US" w:eastAsia="zh-CN" w:bidi="ar"/>
              </w:rPr>
              <w:t>7</w:t>
            </w:r>
          </w:p>
        </w:tc>
        <w:tc>
          <w:tcPr>
            <w:tcW w:w="1264" w:type="dxa"/>
            <w:vMerge w:val="continue"/>
            <w:tcBorders>
              <w:top w:val="nil"/>
              <w:left w:val="single" w:color="auto" w:sz="4" w:space="0"/>
              <w:bottom w:val="single" w:color="auto" w:sz="4" w:space="0"/>
              <w:right w:val="nil"/>
            </w:tcBorders>
            <w:shd w:val="clear" w:color="auto" w:fill="FFFFFF"/>
            <w:vAlign w:val="center"/>
          </w:tcPr>
          <w:p>
            <w:pPr>
              <w:rPr>
                <w:rFonts w:hint="eastAsia" w:ascii="宋体"/>
                <w:sz w:val="24"/>
                <w:szCs w:val="24"/>
              </w:rPr>
            </w:pPr>
          </w:p>
        </w:tc>
        <w:tc>
          <w:tcPr>
            <w:tcW w:w="4102"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关于加快科技创新平台体系建设的</w:t>
            </w:r>
          </w:p>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实施意见</w:t>
            </w:r>
          </w:p>
        </w:tc>
        <w:tc>
          <w:tcPr>
            <w:tcW w:w="1994"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市科技局</w:t>
            </w:r>
          </w:p>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（外国专家局）</w:t>
            </w:r>
          </w:p>
        </w:tc>
        <w:tc>
          <w:tcPr>
            <w:tcW w:w="1350"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第二季度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 w:type="dxa"/>
            <w:bottom w:w="0" w:type="dxa"/>
            <w:right w:w="10" w:type="dxa"/>
          </w:tblCellMar>
        </w:tblPrEx>
        <w:trPr>
          <w:trHeight w:val="850" w:hRule="atLeast"/>
          <w:jc w:val="center"/>
        </w:trPr>
        <w:tc>
          <w:tcPr>
            <w:tcW w:w="744"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default" w:ascii="Times New Roman" w:hAnsi="Times New Roman" w:eastAsia="仿宋_GB2312" w:cs="Times New Roman"/>
                <w:color w:val="auto"/>
                <w:kern w:val="2"/>
                <w:sz w:val="24"/>
                <w:szCs w:val="24"/>
                <w:bdr w:val="none" w:color="auto" w:sz="0" w:space="0"/>
                <w:lang w:val="en-US" w:eastAsia="zh-CN" w:bidi="ar"/>
              </w:rPr>
              <w:t>8</w:t>
            </w:r>
          </w:p>
        </w:tc>
        <w:tc>
          <w:tcPr>
            <w:tcW w:w="1264" w:type="dxa"/>
            <w:vMerge w:val="continue"/>
            <w:tcBorders>
              <w:top w:val="nil"/>
              <w:left w:val="single" w:color="auto" w:sz="4" w:space="0"/>
              <w:bottom w:val="single" w:color="auto" w:sz="4" w:space="0"/>
              <w:right w:val="nil"/>
            </w:tcBorders>
            <w:shd w:val="clear" w:color="auto" w:fill="FFFFFF"/>
            <w:vAlign w:val="center"/>
          </w:tcPr>
          <w:p>
            <w:pPr>
              <w:rPr>
                <w:rFonts w:hint="eastAsia" w:ascii="宋体"/>
                <w:sz w:val="24"/>
                <w:szCs w:val="24"/>
              </w:rPr>
            </w:pPr>
          </w:p>
        </w:tc>
        <w:tc>
          <w:tcPr>
            <w:tcW w:w="4102"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关于印发以数字化转型推动制造业高端化智能化绿色化发展实施方案</w:t>
            </w:r>
          </w:p>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w:t>
            </w:r>
            <w:r>
              <w:rPr>
                <w:rFonts w:hint="default" w:ascii="Times New Roman" w:hAnsi="Times New Roman" w:eastAsia="仿宋_GB2312" w:cs="Times New Roman"/>
                <w:color w:val="auto"/>
                <w:kern w:val="2"/>
                <w:sz w:val="24"/>
                <w:szCs w:val="24"/>
                <w:bdr w:val="none" w:color="auto" w:sz="0" w:space="0"/>
                <w:lang w:val="en-US" w:eastAsia="zh-CN" w:bidi="ar"/>
              </w:rPr>
              <w:t>2023</w:t>
            </w:r>
            <w:r>
              <w:rPr>
                <w:rFonts w:hint="eastAsia" w:ascii="仿宋_GB2312" w:hAnsi="Times New Roman" w:eastAsia="仿宋_GB2312" w:cs="仿宋_GB2312"/>
                <w:color w:val="auto"/>
                <w:kern w:val="2"/>
                <w:sz w:val="24"/>
                <w:szCs w:val="24"/>
                <w:bdr w:val="none" w:color="auto" w:sz="0" w:space="0"/>
                <w:lang w:val="en-US" w:eastAsia="zh-CN" w:bidi="ar"/>
              </w:rPr>
              <w:t>－</w:t>
            </w:r>
            <w:r>
              <w:rPr>
                <w:rFonts w:hint="default" w:ascii="Times New Roman" w:hAnsi="Times New Roman" w:eastAsia="仿宋_GB2312" w:cs="Times New Roman"/>
                <w:color w:val="auto"/>
                <w:kern w:val="2"/>
                <w:sz w:val="24"/>
                <w:szCs w:val="24"/>
                <w:bdr w:val="none" w:color="auto" w:sz="0" w:space="0"/>
                <w:lang w:val="en-US" w:eastAsia="zh-CN" w:bidi="ar"/>
              </w:rPr>
              <w:t>2025</w:t>
            </w:r>
            <w:r>
              <w:rPr>
                <w:rFonts w:hint="eastAsia" w:ascii="仿宋_GB2312" w:hAnsi="Times New Roman" w:eastAsia="仿宋_GB2312" w:cs="仿宋_GB2312"/>
                <w:color w:val="auto"/>
                <w:kern w:val="2"/>
                <w:sz w:val="24"/>
                <w:szCs w:val="24"/>
                <w:bdr w:val="none" w:color="auto" w:sz="0" w:space="0"/>
                <w:lang w:val="en-US" w:eastAsia="zh-CN" w:bidi="ar"/>
              </w:rPr>
              <w:t>）的通知</w:t>
            </w:r>
          </w:p>
        </w:tc>
        <w:tc>
          <w:tcPr>
            <w:tcW w:w="1994"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市经济和信息化局</w:t>
            </w: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第二季度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 w:type="dxa"/>
            <w:bottom w:w="0" w:type="dxa"/>
            <w:right w:w="10" w:type="dxa"/>
          </w:tblCellMar>
        </w:tblPrEx>
        <w:trPr>
          <w:trHeight w:val="850" w:hRule="atLeast"/>
          <w:jc w:val="center"/>
        </w:trPr>
        <w:tc>
          <w:tcPr>
            <w:tcW w:w="74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default" w:ascii="Times New Roman" w:hAnsi="Times New Roman" w:eastAsia="仿宋_GB2312" w:cs="Times New Roman"/>
                <w:color w:val="auto"/>
                <w:kern w:val="2"/>
                <w:sz w:val="24"/>
                <w:szCs w:val="24"/>
                <w:bdr w:val="none" w:color="auto" w:sz="0" w:space="0"/>
                <w:lang w:val="en-US" w:eastAsia="zh-CN" w:bidi="ar"/>
              </w:rPr>
              <w:t>9</w:t>
            </w:r>
          </w:p>
        </w:tc>
        <w:tc>
          <w:tcPr>
            <w:tcW w:w="1264" w:type="dxa"/>
            <w:vMerge w:val="continue"/>
            <w:tcBorders>
              <w:top w:val="nil"/>
              <w:left w:val="single" w:color="auto" w:sz="4" w:space="0"/>
              <w:bottom w:val="single" w:color="auto" w:sz="4" w:space="0"/>
              <w:right w:val="nil"/>
            </w:tcBorders>
            <w:shd w:val="clear" w:color="auto" w:fill="FFFFFF"/>
            <w:vAlign w:val="center"/>
          </w:tcPr>
          <w:p>
            <w:pPr>
              <w:rPr>
                <w:rFonts w:hint="eastAsia" w:ascii="宋体"/>
                <w:sz w:val="24"/>
                <w:szCs w:val="24"/>
              </w:rPr>
            </w:pPr>
          </w:p>
        </w:tc>
        <w:tc>
          <w:tcPr>
            <w:tcW w:w="41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淮北市产业扶持政策清单</w:t>
            </w:r>
          </w:p>
        </w:tc>
        <w:tc>
          <w:tcPr>
            <w:tcW w:w="199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市财政局</w:t>
            </w:r>
          </w:p>
        </w:tc>
        <w:tc>
          <w:tcPr>
            <w:tcW w:w="135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第二季度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 w:type="dxa"/>
            <w:bottom w:w="0" w:type="dxa"/>
            <w:right w:w="10" w:type="dxa"/>
          </w:tblCellMar>
        </w:tblPrEx>
        <w:trPr>
          <w:trHeight w:val="850" w:hRule="atLeast"/>
          <w:jc w:val="center"/>
        </w:trPr>
        <w:tc>
          <w:tcPr>
            <w:tcW w:w="74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default" w:ascii="Times New Roman" w:hAnsi="Times New Roman" w:eastAsia="仿宋_GB2312" w:cs="Times New Roman"/>
                <w:color w:val="auto"/>
                <w:kern w:val="2"/>
                <w:sz w:val="24"/>
                <w:szCs w:val="24"/>
                <w:bdr w:val="none" w:color="auto" w:sz="0" w:space="0"/>
                <w:lang w:val="en-US" w:eastAsia="zh-CN" w:bidi="ar"/>
              </w:rPr>
              <w:t>10</w:t>
            </w:r>
          </w:p>
        </w:tc>
        <w:tc>
          <w:tcPr>
            <w:tcW w:w="1264" w:type="dxa"/>
            <w:vMerge w:val="continue"/>
            <w:tcBorders>
              <w:top w:val="nil"/>
              <w:left w:val="single" w:color="auto" w:sz="4" w:space="0"/>
              <w:bottom w:val="single" w:color="auto" w:sz="4" w:space="0"/>
              <w:right w:val="nil"/>
            </w:tcBorders>
            <w:shd w:val="clear" w:color="auto" w:fill="FFFFFF"/>
            <w:vAlign w:val="center"/>
          </w:tcPr>
          <w:p>
            <w:pPr>
              <w:rPr>
                <w:rFonts w:hint="eastAsia" w:ascii="宋体"/>
                <w:sz w:val="24"/>
                <w:szCs w:val="24"/>
              </w:rPr>
            </w:pPr>
          </w:p>
        </w:tc>
        <w:tc>
          <w:tcPr>
            <w:tcW w:w="41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淮北市城市更新暂行办法</w:t>
            </w:r>
          </w:p>
        </w:tc>
        <w:tc>
          <w:tcPr>
            <w:tcW w:w="1994"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市住房城乡建设局</w:t>
            </w:r>
          </w:p>
        </w:tc>
        <w:tc>
          <w:tcPr>
            <w:tcW w:w="135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第二季度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 w:type="dxa"/>
            <w:bottom w:w="0" w:type="dxa"/>
            <w:right w:w="10" w:type="dxa"/>
          </w:tblCellMar>
        </w:tblPrEx>
        <w:trPr>
          <w:trHeight w:val="850" w:hRule="atLeast"/>
          <w:jc w:val="center"/>
        </w:trPr>
        <w:tc>
          <w:tcPr>
            <w:tcW w:w="744"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default" w:ascii="Times New Roman" w:hAnsi="Times New Roman" w:eastAsia="仿宋_GB2312" w:cs="Times New Roman"/>
                <w:color w:val="auto"/>
                <w:kern w:val="2"/>
                <w:sz w:val="24"/>
                <w:szCs w:val="24"/>
                <w:bdr w:val="none" w:color="auto" w:sz="0" w:space="0"/>
                <w:lang w:val="en-US" w:eastAsia="zh-CN" w:bidi="ar"/>
              </w:rPr>
              <w:t>11</w:t>
            </w:r>
          </w:p>
        </w:tc>
        <w:tc>
          <w:tcPr>
            <w:tcW w:w="1264" w:type="dxa"/>
            <w:vMerge w:val="continue"/>
            <w:tcBorders>
              <w:top w:val="nil"/>
              <w:left w:val="single" w:color="auto" w:sz="4" w:space="0"/>
              <w:bottom w:val="single" w:color="auto" w:sz="4" w:space="0"/>
              <w:right w:val="nil"/>
            </w:tcBorders>
            <w:shd w:val="clear" w:color="auto" w:fill="FFFFFF"/>
            <w:vAlign w:val="center"/>
          </w:tcPr>
          <w:p>
            <w:pPr>
              <w:rPr>
                <w:rFonts w:hint="eastAsia" w:ascii="宋体"/>
                <w:sz w:val="24"/>
                <w:szCs w:val="24"/>
              </w:rPr>
            </w:pPr>
          </w:p>
        </w:tc>
        <w:tc>
          <w:tcPr>
            <w:tcW w:w="4102"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淮北市城市地下综合管线管理办法</w:t>
            </w:r>
          </w:p>
        </w:tc>
        <w:tc>
          <w:tcPr>
            <w:tcW w:w="1994"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市住房城乡建设局</w:t>
            </w:r>
          </w:p>
        </w:tc>
        <w:tc>
          <w:tcPr>
            <w:tcW w:w="1350"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第四季度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 w:type="dxa"/>
            <w:bottom w:w="0" w:type="dxa"/>
            <w:right w:w="10" w:type="dxa"/>
          </w:tblCellMar>
        </w:tblPrEx>
        <w:trPr>
          <w:trHeight w:val="850" w:hRule="atLeast"/>
          <w:jc w:val="center"/>
        </w:trPr>
        <w:tc>
          <w:tcPr>
            <w:tcW w:w="744"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default" w:ascii="Times New Roman" w:hAnsi="Times New Roman" w:eastAsia="仿宋_GB2312" w:cs="Times New Roman"/>
                <w:color w:val="auto"/>
                <w:kern w:val="2"/>
                <w:sz w:val="24"/>
                <w:szCs w:val="24"/>
                <w:bdr w:val="none" w:color="auto" w:sz="0" w:space="0"/>
                <w:lang w:val="en-US" w:eastAsia="zh-CN" w:bidi="ar"/>
              </w:rPr>
              <w:t>12</w:t>
            </w:r>
          </w:p>
        </w:tc>
        <w:tc>
          <w:tcPr>
            <w:tcW w:w="1264" w:type="dxa"/>
            <w:vMerge w:val="continue"/>
            <w:tcBorders>
              <w:top w:val="nil"/>
              <w:left w:val="single" w:color="auto" w:sz="4" w:space="0"/>
              <w:bottom w:val="single" w:color="auto" w:sz="4" w:space="0"/>
              <w:right w:val="nil"/>
            </w:tcBorders>
            <w:shd w:val="clear" w:color="auto" w:fill="FFFFFF"/>
            <w:vAlign w:val="center"/>
          </w:tcPr>
          <w:p>
            <w:pPr>
              <w:rPr>
                <w:rFonts w:hint="eastAsia" w:ascii="宋体"/>
                <w:sz w:val="24"/>
                <w:szCs w:val="24"/>
              </w:rPr>
            </w:pPr>
          </w:p>
        </w:tc>
        <w:tc>
          <w:tcPr>
            <w:tcW w:w="4102"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淮北市关于推进城市园林绿化高质量发展的实施意见</w:t>
            </w:r>
          </w:p>
        </w:tc>
        <w:tc>
          <w:tcPr>
            <w:tcW w:w="1994"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市住房城乡建设局</w:t>
            </w:r>
          </w:p>
        </w:tc>
        <w:tc>
          <w:tcPr>
            <w:tcW w:w="1350"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第二季度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 w:type="dxa"/>
            <w:bottom w:w="0" w:type="dxa"/>
            <w:right w:w="10" w:type="dxa"/>
          </w:tblCellMar>
        </w:tblPrEx>
        <w:trPr>
          <w:trHeight w:val="850" w:hRule="atLeast"/>
          <w:jc w:val="center"/>
        </w:trPr>
        <w:tc>
          <w:tcPr>
            <w:tcW w:w="744"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default" w:ascii="Times New Roman" w:hAnsi="Times New Roman" w:eastAsia="仿宋_GB2312" w:cs="Times New Roman"/>
                <w:color w:val="auto"/>
                <w:kern w:val="2"/>
                <w:sz w:val="24"/>
                <w:szCs w:val="24"/>
                <w:bdr w:val="none" w:color="auto" w:sz="0" w:space="0"/>
                <w:lang w:val="en-US" w:eastAsia="zh-CN" w:bidi="ar"/>
              </w:rPr>
              <w:t>13</w:t>
            </w:r>
          </w:p>
        </w:tc>
        <w:tc>
          <w:tcPr>
            <w:tcW w:w="1264" w:type="dxa"/>
            <w:vMerge w:val="continue"/>
            <w:tcBorders>
              <w:top w:val="nil"/>
              <w:left w:val="single" w:color="auto" w:sz="4" w:space="0"/>
              <w:bottom w:val="single" w:color="auto" w:sz="4" w:space="0"/>
              <w:right w:val="nil"/>
            </w:tcBorders>
            <w:shd w:val="clear" w:color="auto" w:fill="FFFFFF"/>
            <w:vAlign w:val="center"/>
          </w:tcPr>
          <w:p>
            <w:pPr>
              <w:rPr>
                <w:rFonts w:hint="eastAsia" w:ascii="宋体"/>
                <w:sz w:val="24"/>
                <w:szCs w:val="24"/>
              </w:rPr>
            </w:pPr>
          </w:p>
        </w:tc>
        <w:tc>
          <w:tcPr>
            <w:tcW w:w="4102"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关于印发淮北市人民政府质量奖管理办法的通知（修订）</w:t>
            </w:r>
          </w:p>
        </w:tc>
        <w:tc>
          <w:tcPr>
            <w:tcW w:w="1994"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市市场监管局</w:t>
            </w:r>
          </w:p>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（知识产权局）</w:t>
            </w:r>
          </w:p>
        </w:tc>
        <w:tc>
          <w:tcPr>
            <w:tcW w:w="1350"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第四季度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 w:type="dxa"/>
            <w:bottom w:w="0" w:type="dxa"/>
            <w:right w:w="10" w:type="dxa"/>
          </w:tblCellMar>
        </w:tblPrEx>
        <w:trPr>
          <w:trHeight w:val="850" w:hRule="atLeast"/>
          <w:jc w:val="center"/>
        </w:trPr>
        <w:tc>
          <w:tcPr>
            <w:tcW w:w="744"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default" w:ascii="Times New Roman" w:hAnsi="Times New Roman" w:eastAsia="仿宋_GB2312" w:cs="Times New Roman"/>
                <w:color w:val="auto"/>
                <w:kern w:val="2"/>
                <w:sz w:val="24"/>
                <w:szCs w:val="24"/>
                <w:bdr w:val="none" w:color="auto" w:sz="0" w:space="0"/>
                <w:lang w:val="en-US" w:eastAsia="zh-CN" w:bidi="ar"/>
              </w:rPr>
              <w:t>14</w:t>
            </w:r>
          </w:p>
        </w:tc>
        <w:tc>
          <w:tcPr>
            <w:tcW w:w="1264" w:type="dxa"/>
            <w:vMerge w:val="continue"/>
            <w:tcBorders>
              <w:top w:val="nil"/>
              <w:left w:val="single" w:color="auto" w:sz="4" w:space="0"/>
              <w:bottom w:val="single" w:color="auto" w:sz="4" w:space="0"/>
              <w:right w:val="nil"/>
            </w:tcBorders>
            <w:shd w:val="clear" w:color="auto" w:fill="FFFFFF"/>
            <w:vAlign w:val="center"/>
          </w:tcPr>
          <w:p>
            <w:pPr>
              <w:rPr>
                <w:rFonts w:hint="eastAsia" w:ascii="宋体"/>
                <w:sz w:val="24"/>
                <w:szCs w:val="24"/>
              </w:rPr>
            </w:pPr>
          </w:p>
        </w:tc>
        <w:tc>
          <w:tcPr>
            <w:tcW w:w="4102"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提升全市政府性融资担保体系能力</w:t>
            </w:r>
            <w:r>
              <w:rPr>
                <w:rFonts w:hint="default" w:ascii="Times New Roman" w:hAnsi="Times New Roman" w:eastAsia="仿宋_GB2312" w:cs="Times New Roman"/>
                <w:color w:val="auto"/>
                <w:kern w:val="2"/>
                <w:sz w:val="24"/>
                <w:szCs w:val="24"/>
                <w:bdr w:val="none" w:color="auto" w:sz="0" w:space="0"/>
                <w:lang w:val="en-US" w:eastAsia="zh-CN" w:bidi="ar"/>
              </w:rPr>
              <w:t xml:space="preserve"> </w:t>
            </w:r>
          </w:p>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更大力度支持实体经济发展的若干</w:t>
            </w:r>
          </w:p>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政策措施</w:t>
            </w:r>
          </w:p>
        </w:tc>
        <w:tc>
          <w:tcPr>
            <w:tcW w:w="1994"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市地方金融管理局</w:t>
            </w:r>
          </w:p>
        </w:tc>
        <w:tc>
          <w:tcPr>
            <w:tcW w:w="1350"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第二季度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 w:type="dxa"/>
            <w:bottom w:w="0" w:type="dxa"/>
            <w:right w:w="10" w:type="dxa"/>
          </w:tblCellMar>
        </w:tblPrEx>
        <w:trPr>
          <w:trHeight w:val="850" w:hRule="atLeast"/>
          <w:jc w:val="center"/>
        </w:trPr>
        <w:tc>
          <w:tcPr>
            <w:tcW w:w="744"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default" w:ascii="Times New Roman" w:hAnsi="Times New Roman" w:eastAsia="仿宋_GB2312" w:cs="Times New Roman"/>
                <w:color w:val="auto"/>
                <w:kern w:val="2"/>
                <w:sz w:val="24"/>
                <w:szCs w:val="24"/>
                <w:bdr w:val="none" w:color="auto" w:sz="0" w:space="0"/>
                <w:lang w:val="en-US" w:eastAsia="zh-CN" w:bidi="ar"/>
              </w:rPr>
              <w:t>15</w:t>
            </w:r>
          </w:p>
        </w:tc>
        <w:tc>
          <w:tcPr>
            <w:tcW w:w="1264" w:type="dxa"/>
            <w:vMerge w:val="continue"/>
            <w:tcBorders>
              <w:top w:val="nil"/>
              <w:left w:val="single" w:color="auto" w:sz="4" w:space="0"/>
              <w:bottom w:val="single" w:color="auto" w:sz="4" w:space="0"/>
              <w:right w:val="nil"/>
            </w:tcBorders>
            <w:shd w:val="clear" w:color="auto" w:fill="FFFFFF"/>
            <w:vAlign w:val="center"/>
          </w:tcPr>
          <w:p>
            <w:pPr>
              <w:rPr>
                <w:rFonts w:hint="eastAsia" w:ascii="宋体"/>
                <w:sz w:val="24"/>
                <w:szCs w:val="24"/>
              </w:rPr>
            </w:pPr>
          </w:p>
        </w:tc>
        <w:tc>
          <w:tcPr>
            <w:tcW w:w="4102"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关于加强供销合作社集体资产监督管理的若干意见</w:t>
            </w:r>
          </w:p>
        </w:tc>
        <w:tc>
          <w:tcPr>
            <w:tcW w:w="1994"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市供销社</w:t>
            </w:r>
          </w:p>
        </w:tc>
        <w:tc>
          <w:tcPr>
            <w:tcW w:w="1350"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第四季度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 w:type="dxa"/>
            <w:bottom w:w="0" w:type="dxa"/>
            <w:right w:w="10" w:type="dxa"/>
          </w:tblCellMar>
        </w:tblPrEx>
        <w:trPr>
          <w:trHeight w:val="850" w:hRule="atLeast"/>
          <w:jc w:val="center"/>
        </w:trPr>
        <w:tc>
          <w:tcPr>
            <w:tcW w:w="744"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default" w:ascii="Times New Roman" w:hAnsi="Times New Roman" w:eastAsia="仿宋_GB2312" w:cs="Times New Roman"/>
                <w:color w:val="auto"/>
                <w:kern w:val="2"/>
                <w:sz w:val="24"/>
                <w:szCs w:val="24"/>
                <w:bdr w:val="none" w:color="auto" w:sz="0" w:space="0"/>
                <w:lang w:val="en-US" w:eastAsia="zh-CN" w:bidi="ar"/>
              </w:rPr>
              <w:t>16</w:t>
            </w:r>
          </w:p>
        </w:tc>
        <w:tc>
          <w:tcPr>
            <w:tcW w:w="1264" w:type="dxa"/>
            <w:vMerge w:val="restart"/>
            <w:tcBorders>
              <w:top w:val="nil"/>
              <w:left w:val="single" w:color="auto" w:sz="4" w:space="0"/>
              <w:bottom w:val="nil"/>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有关重大公共建设项目</w:t>
            </w:r>
          </w:p>
        </w:tc>
        <w:tc>
          <w:tcPr>
            <w:tcW w:w="41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淮北市森林防火网格化管理建设方案</w:t>
            </w:r>
          </w:p>
        </w:tc>
        <w:tc>
          <w:tcPr>
            <w:tcW w:w="1994" w:type="dxa"/>
            <w:tcBorders>
              <w:top w:val="single" w:color="auto" w:sz="4" w:space="0"/>
              <w:left w:val="nil"/>
              <w:bottom w:val="single" w:color="auto" w:sz="4" w:space="0"/>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市林业局</w:t>
            </w: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第四季度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 w:type="dxa"/>
            <w:bottom w:w="0" w:type="dxa"/>
            <w:right w:w="10" w:type="dxa"/>
          </w:tblCellMar>
        </w:tblPrEx>
        <w:trPr>
          <w:trHeight w:val="850" w:hRule="atLeast"/>
          <w:jc w:val="center"/>
        </w:trPr>
        <w:tc>
          <w:tcPr>
            <w:tcW w:w="74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default" w:ascii="Times New Roman" w:hAnsi="Times New Roman" w:eastAsia="仿宋_GB2312" w:cs="Times New Roman"/>
                <w:color w:val="auto"/>
                <w:kern w:val="2"/>
                <w:sz w:val="24"/>
                <w:szCs w:val="24"/>
                <w:bdr w:val="none" w:color="auto" w:sz="0" w:space="0"/>
                <w:lang w:val="en-US" w:eastAsia="zh-CN" w:bidi="ar"/>
              </w:rPr>
              <w:t>17</w:t>
            </w:r>
          </w:p>
        </w:tc>
        <w:tc>
          <w:tcPr>
            <w:tcW w:w="1264" w:type="dxa"/>
            <w:vMerge w:val="continue"/>
            <w:tcBorders>
              <w:top w:val="nil"/>
              <w:left w:val="single" w:color="auto" w:sz="4" w:space="0"/>
              <w:bottom w:val="nil"/>
              <w:right w:val="nil"/>
            </w:tcBorders>
            <w:shd w:val="clear" w:color="auto" w:fill="FFFFFF"/>
            <w:vAlign w:val="center"/>
          </w:tcPr>
          <w:p>
            <w:pPr>
              <w:rPr>
                <w:rFonts w:hint="eastAsia" w:ascii="宋体"/>
                <w:sz w:val="24"/>
                <w:szCs w:val="24"/>
              </w:rPr>
            </w:pPr>
          </w:p>
        </w:tc>
        <w:tc>
          <w:tcPr>
            <w:tcW w:w="41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淮北市创建国家卫生城市工作实施方案</w:t>
            </w:r>
          </w:p>
        </w:tc>
        <w:tc>
          <w:tcPr>
            <w:tcW w:w="1994" w:type="dxa"/>
            <w:tcBorders>
              <w:top w:val="single" w:color="auto" w:sz="4" w:space="0"/>
              <w:left w:val="nil"/>
              <w:bottom w:val="single" w:color="auto" w:sz="4" w:space="0"/>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市卫生健康委</w:t>
            </w: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第二季度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 w:type="dxa"/>
            <w:bottom w:w="0" w:type="dxa"/>
            <w:right w:w="10" w:type="dxa"/>
          </w:tblCellMar>
        </w:tblPrEx>
        <w:trPr>
          <w:trHeight w:val="850" w:hRule="atLeast"/>
          <w:jc w:val="center"/>
        </w:trPr>
        <w:tc>
          <w:tcPr>
            <w:tcW w:w="74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default" w:ascii="Times New Roman" w:hAnsi="Times New Roman" w:eastAsia="仿宋_GB2312" w:cs="Times New Roman"/>
                <w:color w:val="auto"/>
                <w:kern w:val="2"/>
                <w:sz w:val="24"/>
                <w:szCs w:val="24"/>
                <w:bdr w:val="none" w:color="auto" w:sz="0" w:space="0"/>
                <w:lang w:val="en-US" w:eastAsia="zh-CN" w:bidi="ar"/>
              </w:rPr>
              <w:t>18</w:t>
            </w:r>
          </w:p>
        </w:tc>
        <w:tc>
          <w:tcPr>
            <w:tcW w:w="1264" w:type="dxa"/>
            <w:vMerge w:val="continue"/>
            <w:tcBorders>
              <w:top w:val="nil"/>
              <w:left w:val="single" w:color="auto" w:sz="4" w:space="0"/>
              <w:bottom w:val="nil"/>
              <w:right w:val="nil"/>
            </w:tcBorders>
            <w:shd w:val="clear" w:color="auto" w:fill="FFFFFF"/>
            <w:vAlign w:val="center"/>
          </w:tcPr>
          <w:p>
            <w:pPr>
              <w:rPr>
                <w:rFonts w:hint="eastAsia" w:ascii="宋体"/>
                <w:sz w:val="24"/>
                <w:szCs w:val="24"/>
              </w:rPr>
            </w:pPr>
          </w:p>
        </w:tc>
        <w:tc>
          <w:tcPr>
            <w:tcW w:w="41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淮北市政务信息化项目建设管理办法</w:t>
            </w:r>
          </w:p>
        </w:tc>
        <w:tc>
          <w:tcPr>
            <w:tcW w:w="1994" w:type="dxa"/>
            <w:tcBorders>
              <w:top w:val="single" w:color="auto" w:sz="4" w:space="0"/>
              <w:left w:val="nil"/>
              <w:bottom w:val="single" w:color="auto" w:sz="4" w:space="0"/>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市数据资源局（政务服务管理局）</w:t>
            </w: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第二季度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 w:type="dxa"/>
            <w:bottom w:w="0" w:type="dxa"/>
            <w:right w:w="10" w:type="dxa"/>
          </w:tblCellMar>
        </w:tblPrEx>
        <w:trPr>
          <w:trHeight w:val="850" w:hRule="atLeast"/>
          <w:jc w:val="center"/>
        </w:trPr>
        <w:tc>
          <w:tcPr>
            <w:tcW w:w="744"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default" w:ascii="Times New Roman" w:hAnsi="Times New Roman" w:eastAsia="仿宋_GB2312" w:cs="Times New Roman"/>
                <w:color w:val="auto"/>
                <w:kern w:val="2"/>
                <w:sz w:val="24"/>
                <w:szCs w:val="24"/>
                <w:bdr w:val="none" w:color="auto" w:sz="0" w:space="0"/>
                <w:lang w:val="en-US" w:eastAsia="zh-CN" w:bidi="ar"/>
              </w:rPr>
              <w:t>19</w:t>
            </w:r>
          </w:p>
        </w:tc>
        <w:tc>
          <w:tcPr>
            <w:tcW w:w="1264"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其他</w:t>
            </w:r>
          </w:p>
        </w:tc>
        <w:tc>
          <w:tcPr>
            <w:tcW w:w="41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淮北市行政规范性文件管理办法</w:t>
            </w:r>
          </w:p>
        </w:tc>
        <w:tc>
          <w:tcPr>
            <w:tcW w:w="1994" w:type="dxa"/>
            <w:tcBorders>
              <w:top w:val="single" w:color="auto" w:sz="4" w:space="0"/>
              <w:left w:val="nil"/>
              <w:bottom w:val="single" w:color="auto" w:sz="4" w:space="0"/>
              <w:right w:val="nil"/>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市司法局</w:t>
            </w:r>
          </w:p>
        </w:tc>
        <w:tc>
          <w:tcPr>
            <w:tcW w:w="13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1" w:after="0" w:afterAutospacing="1" w:line="360" w:lineRule="exact"/>
              <w:ind w:left="0" w:right="0"/>
              <w:jc w:val="center"/>
            </w:pPr>
            <w:r>
              <w:rPr>
                <w:rFonts w:hint="eastAsia" w:ascii="仿宋_GB2312" w:hAnsi="Times New Roman" w:eastAsia="仿宋_GB2312" w:cs="仿宋_GB2312"/>
                <w:color w:val="auto"/>
                <w:kern w:val="2"/>
                <w:sz w:val="24"/>
                <w:szCs w:val="24"/>
                <w:bdr w:val="none" w:color="auto" w:sz="0" w:space="0"/>
                <w:lang w:val="en-US" w:eastAsia="zh-CN" w:bidi="ar"/>
              </w:rPr>
              <w:t>第四季度</w:t>
            </w:r>
          </w:p>
        </w:tc>
      </w:tr>
    </w:tbl>
    <w:p>
      <w:pPr>
        <w:keepNext w:val="0"/>
        <w:keepLines w:val="0"/>
        <w:widowControl/>
        <w:suppressLineNumbers w:val="0"/>
        <w:spacing w:before="0" w:beforeAutospacing="1" w:after="0" w:afterAutospacing="1" w:line="520" w:lineRule="exact"/>
        <w:ind w:left="0" w:right="0"/>
        <w:jc w:val="left"/>
      </w:pPr>
      <w:r>
        <w:rPr>
          <w:rFonts w:hint="default" w:ascii="Times New Roman" w:hAnsi="Times New Roman" w:eastAsia="宋体" w:cs="Times New Roman"/>
          <w:color w:val="auto"/>
          <w:kern w:val="2"/>
          <w:sz w:val="21"/>
          <w:szCs w:val="21"/>
          <w:lang w:val="en-US" w:eastAsia="zh-CN" w:bidi="ar"/>
        </w:rPr>
        <w:t xml:space="preserve"> </w:t>
      </w:r>
    </w:p>
    <w:p>
      <w:pPr>
        <w:keepNext w:val="0"/>
        <w:keepLines w:val="0"/>
        <w:widowControl/>
        <w:suppressLineNumbers w:val="0"/>
        <w:spacing w:before="0" w:beforeAutospacing="1" w:after="0" w:afterAutospacing="1" w:line="580" w:lineRule="exact"/>
        <w:ind w:left="0" w:right="0"/>
        <w:jc w:val="left"/>
      </w:pPr>
      <w:r>
        <w:rPr>
          <w:rFonts w:hint="default" w:ascii="Times New Roman" w:hAnsi="Times New Roman" w:eastAsia="宋体" w:cs="Times New Roman"/>
          <w:color w:val="auto"/>
          <w:kern w:val="2"/>
          <w:sz w:val="21"/>
          <w:szCs w:val="21"/>
          <w:lang w:val="en-US" w:eastAsia="zh-CN" w:bidi="ar"/>
        </w:rPr>
        <w:t xml:space="preserve"> </w:t>
      </w:r>
    </w:p>
    <w:p>
      <w:pPr>
        <w:pStyle w:val="3"/>
        <w:keepNext w:val="0"/>
        <w:keepLines w:val="0"/>
        <w:widowControl/>
        <w:suppressLineNumbers w:val="0"/>
        <w:spacing w:before="0" w:beforeAutospacing="1" w:after="0" w:afterAutospacing="1"/>
        <w:ind w:left="0" w:leftChars="0" w:right="0" w:firstLine="0" w:firstLineChars="0"/>
      </w:pPr>
      <w:r>
        <w:rPr>
          <w:rFonts w:hint="eastAsia" w:ascii="仿宋_GB2312" w:eastAsia="仿宋_GB2312" w:cs="仿宋_GB2312"/>
          <w:kern w:val="2"/>
          <w:sz w:val="32"/>
          <w:szCs w:val="32"/>
        </w:rPr>
        <w:t xml:space="preserve"> </w:t>
      </w:r>
    </w:p>
    <w:p>
      <w:pPr>
        <w:keepNext w:val="0"/>
        <w:keepLines w:val="0"/>
        <w:widowControl w:val="0"/>
        <w:suppressLineNumbers w:val="0"/>
        <w:spacing w:before="0" w:beforeAutospacing="1" w:after="0" w:afterAutospacing="1" w:line="550" w:lineRule="exact"/>
        <w:ind w:left="0" w:right="0" w:firstLine="420" w:firstLineChars="200"/>
        <w:jc w:val="left"/>
      </w:pPr>
    </w:p>
    <w:p>
      <w:pPr>
        <w:keepNext w:val="0"/>
        <w:keepLines w:val="0"/>
        <w:widowControl w:val="0"/>
        <w:suppressLineNumbers w:val="0"/>
        <w:spacing w:before="0" w:beforeAutospacing="1" w:after="0" w:afterAutospacing="1" w:line="550" w:lineRule="exact"/>
        <w:ind w:left="0" w:right="0" w:firstLine="420" w:firstLineChars="20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CESI仿宋-GB2312">
    <w:altName w:val="仿宋"/>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hNGZiOWI1ODM0MTI4NjQwNzYzMDhmY2I2NzQ2OGQifQ=="/>
  </w:docVars>
  <w:rsids>
    <w:rsidRoot w:val="75427EC1"/>
    <w:rsid w:val="75427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uiPriority w:val="0"/>
    <w:pPr>
      <w:ind w:firstLine="420" w:firstLineChars="200"/>
    </w:p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2023-11-08T08:10:00Z</dcterms:created>
  <dc:creator>苏文</dc:creator>
  <cp:lastModifiedBy>苏文</cp:lastModifiedBy>
  <dcterms:modified xsi:type="dcterms:W3CDTF">2023-11-08T08:13:33Z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F9A195DE53A54C9B8D07B2BABA3B1C95_11</vt:lpwstr>
  </property>
</Properties>
</file>