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资格复审对象提交材料要求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资格复审时，资格复审对象应提供以下证件、材料，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并按以下顺序规整提交：</w:t>
      </w: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引进中小学优秀教师报名表》1份;</w:t>
      </w: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有效居民身份证件原件和复印件1份;</w:t>
      </w: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的毕业证书、教师资格证、专业技术资格证、荣誉证书等相关材料原件和复印件1份;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（注意：荣誉证书材料包括获奖文件、证书原件）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</w:rPr>
        <w:t>公办学校在编教师提供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同意报名证明，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民办学校教师提供在岗证明；</w:t>
      </w: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符合引进条件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种情形的，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提供进入录用公示环节的相关证明材料。</w:t>
      </w: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0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2020-07-20T10:05:09Z</dcterms:created>
  <dc:creator>Administrator</dc:creator>
  <cp:lastModifiedBy>NTKO</cp:lastModifiedBy>
  <dcterms:modified xsi:type="dcterms:W3CDTF">2020-07-20T10:05:17Z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