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22"/>
          <w:lang w:val="en-US" w:eastAsia="zh-CN"/>
        </w:rPr>
      </w:pPr>
      <w:r>
        <w:rPr>
          <w:rFonts w:hint="eastAsia" w:ascii="方正小标宋简体" w:hAnsi="方正小标宋简体" w:eastAsia="方正小标宋简体" w:cs="方正小标宋简体"/>
          <w:b w:val="0"/>
          <w:bCs w:val="0"/>
          <w:color w:val="000000"/>
          <w:sz w:val="44"/>
          <w:szCs w:val="22"/>
          <w:lang w:val="en-US" w:eastAsia="zh-CN"/>
        </w:rPr>
        <w:t>淮北市人民政府办公室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22"/>
        </w:rPr>
      </w:pPr>
      <w:r>
        <w:rPr>
          <w:rFonts w:hint="eastAsia" w:ascii="方正小标宋简体" w:hAnsi="方正小标宋简体" w:eastAsia="方正小标宋简体" w:cs="方正小标宋简体"/>
          <w:b w:val="0"/>
          <w:bCs w:val="0"/>
          <w:color w:val="000000"/>
          <w:sz w:val="44"/>
          <w:szCs w:val="22"/>
          <w:lang w:val="en-US" w:eastAsia="zh-CN"/>
        </w:rPr>
        <w:t>关于淮北市政府网站集约化平台系统</w:t>
      </w:r>
      <w:r>
        <w:rPr>
          <w:rFonts w:hint="eastAsia" w:ascii="方正小标宋简体" w:hAnsi="方正小标宋简体" w:eastAsia="方正小标宋简体" w:cs="方正小标宋简体"/>
          <w:b w:val="0"/>
          <w:bCs w:val="0"/>
          <w:color w:val="000000"/>
          <w:sz w:val="44"/>
          <w:szCs w:val="22"/>
        </w:rPr>
        <w:t>等级保护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22"/>
          <w:lang w:eastAsia="zh-CN"/>
        </w:rPr>
      </w:pPr>
      <w:r>
        <w:rPr>
          <w:rFonts w:hint="eastAsia" w:ascii="方正小标宋简体" w:hAnsi="方正小标宋简体" w:eastAsia="方正小标宋简体" w:cs="方正小标宋简体"/>
          <w:b w:val="0"/>
          <w:bCs w:val="0"/>
          <w:color w:val="000000"/>
          <w:sz w:val="44"/>
          <w:szCs w:val="22"/>
        </w:rPr>
        <w:t>测评</w:t>
      </w:r>
      <w:r>
        <w:rPr>
          <w:rFonts w:hint="eastAsia" w:ascii="方正小标宋简体" w:hAnsi="方正小标宋简体" w:eastAsia="方正小标宋简体" w:cs="方正小标宋简体"/>
          <w:b w:val="0"/>
          <w:bCs w:val="0"/>
          <w:color w:val="000000"/>
          <w:sz w:val="44"/>
          <w:szCs w:val="22"/>
          <w:lang w:val="en-US" w:eastAsia="zh-CN"/>
        </w:rPr>
        <w:t>项目询价公告</w:t>
      </w:r>
    </w:p>
    <w:p>
      <w:pPr>
        <w:jc w:val="center"/>
        <w:rPr>
          <w:rFonts w:ascii="仿宋" w:hAnsi="仿宋" w:eastAsia="仿宋"/>
          <w:sz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我单位就</w:t>
      </w:r>
      <w:r>
        <w:rPr>
          <w:rFonts w:hint="eastAsia" w:ascii="仿宋" w:hAnsi="仿宋" w:eastAsia="仿宋" w:cs="仿宋"/>
          <w:sz w:val="32"/>
          <w:szCs w:val="32"/>
          <w:lang w:eastAsia="zh-CN"/>
        </w:rPr>
        <w:t>淮北市政府网站集约化平台</w:t>
      </w:r>
      <w:r>
        <w:rPr>
          <w:rFonts w:hint="eastAsia" w:ascii="仿宋" w:hAnsi="仿宋" w:eastAsia="仿宋" w:cs="仿宋"/>
          <w:sz w:val="32"/>
          <w:szCs w:val="32"/>
        </w:rPr>
        <w:t>系统网络安全等级保护</w:t>
      </w:r>
      <w:r>
        <w:rPr>
          <w:rFonts w:hint="eastAsia" w:ascii="仿宋" w:hAnsi="仿宋" w:eastAsia="仿宋" w:cs="仿宋"/>
          <w:sz w:val="32"/>
          <w:szCs w:val="32"/>
          <w:lang w:val="en-US" w:eastAsia="zh-CN"/>
        </w:rPr>
        <w:t>测评项目</w:t>
      </w:r>
      <w:r>
        <w:rPr>
          <w:rFonts w:hint="eastAsia" w:ascii="仿宋" w:hAnsi="仿宋" w:eastAsia="仿宋" w:cs="仿宋"/>
          <w:sz w:val="32"/>
          <w:szCs w:val="32"/>
        </w:rPr>
        <w:t>进行</w:t>
      </w:r>
      <w:r>
        <w:rPr>
          <w:rFonts w:hint="eastAsia" w:ascii="仿宋" w:hAnsi="仿宋" w:eastAsia="仿宋" w:cs="仿宋"/>
          <w:sz w:val="32"/>
          <w:szCs w:val="32"/>
          <w:lang w:val="en-US" w:eastAsia="zh-CN"/>
        </w:rPr>
        <w:t>询价</w:t>
      </w:r>
      <w:r>
        <w:rPr>
          <w:rFonts w:hint="eastAsia" w:ascii="仿宋" w:hAnsi="仿宋" w:eastAsia="仿宋" w:cs="仿宋"/>
          <w:sz w:val="32"/>
          <w:szCs w:val="32"/>
        </w:rPr>
        <w:t>采购，并将有关事项</w:t>
      </w:r>
      <w:r>
        <w:rPr>
          <w:rFonts w:hint="eastAsia" w:ascii="仿宋" w:hAnsi="仿宋" w:eastAsia="仿宋" w:cs="仿宋"/>
          <w:sz w:val="32"/>
          <w:szCs w:val="32"/>
          <w:lang w:eastAsia="zh-CN"/>
        </w:rPr>
        <w:t>公</w:t>
      </w:r>
      <w:r>
        <w:rPr>
          <w:rFonts w:hint="eastAsia" w:ascii="仿宋" w:hAnsi="仿宋" w:eastAsia="仿宋" w:cs="仿宋"/>
          <w:sz w:val="32"/>
          <w:szCs w:val="32"/>
        </w:rPr>
        <w:t>告如下：</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、项目</w:t>
      </w:r>
      <w:r>
        <w:rPr>
          <w:rFonts w:hint="eastAsia" w:ascii="黑体" w:hAnsi="黑体" w:eastAsia="黑体" w:cs="黑体"/>
          <w:b w:val="0"/>
          <w:bCs w:val="0"/>
          <w:sz w:val="32"/>
          <w:szCs w:val="32"/>
          <w:lang w:val="en-US" w:eastAsia="zh-CN"/>
        </w:rPr>
        <w:t>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项目名称：淮北</w:t>
      </w:r>
      <w:r>
        <w:rPr>
          <w:rFonts w:hint="eastAsia" w:ascii="仿宋" w:hAnsi="仿宋" w:eastAsia="仿宋" w:cs="仿宋"/>
          <w:sz w:val="32"/>
          <w:szCs w:val="32"/>
          <w:lang w:eastAsia="zh-CN"/>
        </w:rPr>
        <w:t>市政府网站集约化平台</w:t>
      </w:r>
      <w:r>
        <w:rPr>
          <w:rFonts w:hint="eastAsia" w:ascii="仿宋" w:hAnsi="仿宋" w:eastAsia="仿宋" w:cs="仿宋"/>
          <w:sz w:val="32"/>
          <w:szCs w:val="32"/>
        </w:rPr>
        <w:t>系统网络安全等级保护测评项目。</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2.项目内容：</w:t>
      </w:r>
      <w:r>
        <w:rPr>
          <w:rFonts w:hint="eastAsia" w:ascii="仿宋" w:hAnsi="仿宋" w:eastAsia="仿宋" w:cs="仿宋"/>
          <w:color w:val="000000"/>
          <w:sz w:val="32"/>
          <w:szCs w:val="32"/>
        </w:rPr>
        <w:t>为进一步加强</w:t>
      </w:r>
      <w:r>
        <w:rPr>
          <w:rFonts w:hint="eastAsia" w:ascii="仿宋" w:hAnsi="仿宋" w:eastAsia="仿宋" w:cs="仿宋"/>
          <w:sz w:val="32"/>
          <w:szCs w:val="32"/>
          <w:lang w:eastAsia="zh-CN"/>
        </w:rPr>
        <w:t>淮北</w:t>
      </w:r>
      <w:r>
        <w:rPr>
          <w:rFonts w:hint="eastAsia" w:ascii="仿宋" w:hAnsi="仿宋" w:eastAsia="仿宋" w:cs="仿宋"/>
          <w:color w:val="000000"/>
          <w:sz w:val="32"/>
          <w:szCs w:val="32"/>
          <w:lang w:val="en-US" w:eastAsia="zh-CN"/>
        </w:rPr>
        <w:t>市政府网站集约化</w:t>
      </w:r>
      <w:r>
        <w:rPr>
          <w:rFonts w:hint="eastAsia" w:ascii="仿宋" w:hAnsi="仿宋" w:eastAsia="仿宋" w:cs="仿宋"/>
          <w:color w:val="000000"/>
          <w:sz w:val="32"/>
          <w:szCs w:val="32"/>
          <w:lang w:eastAsia="zh-CN"/>
        </w:rPr>
        <w:t>平台</w:t>
      </w:r>
      <w:r>
        <w:rPr>
          <w:rFonts w:hint="eastAsia" w:ascii="仿宋" w:hAnsi="仿宋" w:eastAsia="仿宋" w:cs="仿宋"/>
          <w:color w:val="000000"/>
          <w:sz w:val="32"/>
          <w:szCs w:val="32"/>
        </w:rPr>
        <w:t>信息系统的整体安全防护能力，确保</w:t>
      </w:r>
      <w:r>
        <w:rPr>
          <w:rFonts w:hint="eastAsia" w:ascii="仿宋" w:hAnsi="仿宋" w:eastAsia="仿宋" w:cs="仿宋"/>
          <w:sz w:val="32"/>
          <w:szCs w:val="32"/>
          <w:lang w:val="en-US" w:eastAsia="zh-CN"/>
        </w:rPr>
        <w:t>网站集约化</w:t>
      </w:r>
      <w:r>
        <w:rPr>
          <w:rFonts w:hint="eastAsia" w:ascii="仿宋" w:hAnsi="仿宋" w:eastAsia="仿宋" w:cs="仿宋"/>
          <w:sz w:val="32"/>
          <w:szCs w:val="32"/>
          <w:lang w:eastAsia="zh-CN"/>
        </w:rPr>
        <w:t>平台</w:t>
      </w:r>
      <w:r>
        <w:rPr>
          <w:rFonts w:hint="eastAsia" w:ascii="仿宋" w:hAnsi="仿宋" w:eastAsia="仿宋" w:cs="仿宋"/>
          <w:sz w:val="32"/>
          <w:szCs w:val="32"/>
          <w:lang w:val="en-US" w:eastAsia="zh-CN"/>
        </w:rPr>
        <w:t>系统</w:t>
      </w:r>
      <w:r>
        <w:rPr>
          <w:rFonts w:hint="eastAsia" w:ascii="仿宋" w:hAnsi="仿宋" w:eastAsia="仿宋" w:cs="仿宋"/>
          <w:color w:val="000000"/>
          <w:sz w:val="32"/>
          <w:szCs w:val="32"/>
        </w:rPr>
        <w:t>在使用过程中的安全稳定，拟</w:t>
      </w:r>
      <w:r>
        <w:rPr>
          <w:rFonts w:hint="eastAsia" w:ascii="仿宋" w:hAnsi="仿宋" w:eastAsia="仿宋" w:cs="仿宋"/>
          <w:color w:val="000000"/>
          <w:sz w:val="32"/>
          <w:szCs w:val="32"/>
          <w:lang w:val="en-US" w:eastAsia="zh-CN"/>
        </w:rPr>
        <w:t>通过询价方式</w:t>
      </w:r>
      <w:r>
        <w:rPr>
          <w:rFonts w:hint="eastAsia" w:ascii="仿宋" w:hAnsi="仿宋" w:eastAsia="仿宋" w:cs="仿宋"/>
          <w:color w:val="000000"/>
          <w:sz w:val="32"/>
          <w:szCs w:val="32"/>
        </w:rPr>
        <w:t>采购网络安全等级保护测评服务。根据测评结果持续推进</w:t>
      </w:r>
      <w:r>
        <w:rPr>
          <w:rFonts w:hint="eastAsia" w:ascii="仿宋" w:hAnsi="仿宋" w:eastAsia="仿宋" w:cs="仿宋"/>
          <w:color w:val="000000"/>
          <w:sz w:val="32"/>
          <w:szCs w:val="32"/>
          <w:lang w:val="en-US" w:eastAsia="zh-CN"/>
        </w:rPr>
        <w:t>网站集约化</w:t>
      </w:r>
      <w:r>
        <w:rPr>
          <w:rFonts w:hint="eastAsia" w:ascii="仿宋" w:hAnsi="仿宋" w:eastAsia="仿宋" w:cs="仿宋"/>
          <w:color w:val="000000"/>
          <w:sz w:val="32"/>
          <w:szCs w:val="32"/>
          <w:lang w:eastAsia="zh-CN"/>
        </w:rPr>
        <w:t>平台</w:t>
      </w:r>
      <w:r>
        <w:rPr>
          <w:rFonts w:hint="eastAsia" w:ascii="仿宋" w:hAnsi="仿宋" w:eastAsia="仿宋" w:cs="仿宋"/>
          <w:color w:val="000000"/>
          <w:sz w:val="32"/>
          <w:szCs w:val="32"/>
        </w:rPr>
        <w:t>的安全建设，不断提高</w:t>
      </w:r>
      <w:r>
        <w:rPr>
          <w:rFonts w:hint="eastAsia" w:ascii="仿宋" w:hAnsi="仿宋" w:eastAsia="仿宋" w:cs="仿宋"/>
          <w:color w:val="000000"/>
          <w:sz w:val="32"/>
          <w:szCs w:val="32"/>
          <w:lang w:val="en-US" w:eastAsia="zh-CN"/>
        </w:rPr>
        <w:t>网站集约化</w:t>
      </w:r>
      <w:r>
        <w:rPr>
          <w:rFonts w:hint="eastAsia" w:ascii="仿宋" w:hAnsi="仿宋" w:eastAsia="仿宋" w:cs="仿宋"/>
          <w:color w:val="000000"/>
          <w:sz w:val="32"/>
          <w:szCs w:val="32"/>
          <w:lang w:eastAsia="zh-CN"/>
        </w:rPr>
        <w:t>平台</w:t>
      </w:r>
      <w:r>
        <w:rPr>
          <w:rFonts w:hint="eastAsia" w:ascii="仿宋" w:hAnsi="仿宋" w:eastAsia="仿宋" w:cs="仿宋"/>
          <w:color w:val="000000"/>
          <w:sz w:val="32"/>
          <w:szCs w:val="32"/>
          <w:lang w:val="en-US" w:eastAsia="zh-CN"/>
        </w:rPr>
        <w:t>系统</w:t>
      </w:r>
      <w:r>
        <w:rPr>
          <w:rFonts w:hint="eastAsia" w:ascii="仿宋" w:hAnsi="仿宋" w:eastAsia="仿宋" w:cs="仿宋"/>
          <w:color w:val="000000"/>
          <w:sz w:val="32"/>
          <w:szCs w:val="32"/>
        </w:rPr>
        <w:t>的安全防护能力。</w:t>
      </w:r>
    </w:p>
    <w:p>
      <w:pPr>
        <w:pStyle w:val="23"/>
        <w:spacing w:line="360" w:lineRule="auto"/>
        <w:ind w:firstLine="598"/>
        <w:rPr>
          <w:rFonts w:hint="eastAsia" w:ascii="仿宋" w:hAnsi="仿宋" w:eastAsia="仿宋" w:cs="仿宋"/>
          <w:sz w:val="32"/>
          <w:szCs w:val="32"/>
        </w:rPr>
      </w:pPr>
      <w:r>
        <w:rPr>
          <w:rFonts w:hint="eastAsia" w:ascii="仿宋" w:hAnsi="仿宋" w:eastAsia="仿宋" w:cs="仿宋"/>
          <w:sz w:val="32"/>
          <w:szCs w:val="32"/>
        </w:rPr>
        <w:t>中标供应商须对指定的业务系统提供等级保护测评服务，具体工作内容和要求如下：</w:t>
      </w:r>
    </w:p>
    <w:p>
      <w:pPr>
        <w:pStyle w:val="23"/>
        <w:spacing w:line="360" w:lineRule="auto"/>
        <w:ind w:firstLine="598"/>
        <w:rPr>
          <w:rFonts w:hint="eastAsia" w:ascii="仿宋" w:hAnsi="仿宋" w:eastAsia="仿宋" w:cs="仿宋"/>
          <w:sz w:val="32"/>
          <w:szCs w:val="32"/>
        </w:rPr>
      </w:pPr>
      <w:r>
        <w:rPr>
          <w:rFonts w:hint="eastAsia" w:ascii="仿宋" w:hAnsi="仿宋" w:eastAsia="仿宋" w:cs="仿宋"/>
          <w:sz w:val="32"/>
          <w:szCs w:val="32"/>
        </w:rPr>
        <w:t>测评对象如下表所示：</w:t>
      </w:r>
    </w:p>
    <w:p>
      <w:pPr>
        <w:ind w:firstLine="640" w:firstLineChars="200"/>
        <w:rPr>
          <w:rFonts w:hint="eastAsia" w:ascii="仿宋" w:hAnsi="仿宋" w:eastAsia="仿宋" w:cs="仿宋"/>
          <w:sz w:val="32"/>
          <w:szCs w:val="32"/>
          <w:lang w:val="en-US" w:eastAsia="zh-CN"/>
        </w:rPr>
      </w:pPr>
    </w:p>
    <w:tbl>
      <w:tblPr>
        <w:tblStyle w:val="12"/>
        <w:tblW w:w="7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1"/>
        <w:gridCol w:w="118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1" w:type="dxa"/>
            <w:noWrap w:val="0"/>
            <w:vAlign w:val="center"/>
          </w:tcPr>
          <w:p>
            <w:pPr>
              <w:autoSpaceDE w:val="0"/>
              <w:autoSpaceDN w:val="0"/>
              <w:adjustRightInd w:val="0"/>
              <w:jc w:val="center"/>
              <w:rPr>
                <w:rFonts w:hint="eastAsia" w:ascii="仿宋" w:hAnsi="仿宋" w:eastAsia="仿宋" w:cs="仿宋"/>
                <w:sz w:val="32"/>
                <w:szCs w:val="32"/>
              </w:rPr>
            </w:pPr>
            <w:r>
              <w:rPr>
                <w:rFonts w:hint="eastAsia" w:ascii="仿宋" w:hAnsi="仿宋" w:eastAsia="仿宋" w:cs="仿宋"/>
                <w:sz w:val="32"/>
                <w:szCs w:val="32"/>
              </w:rPr>
              <w:t>系统名称</w:t>
            </w:r>
          </w:p>
        </w:tc>
        <w:tc>
          <w:tcPr>
            <w:tcW w:w="1186" w:type="dxa"/>
            <w:noWrap w:val="0"/>
            <w:vAlign w:val="center"/>
          </w:tcPr>
          <w:p>
            <w:pPr>
              <w:autoSpaceDE w:val="0"/>
              <w:autoSpaceDN w:val="0"/>
              <w:adjustRightIn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级别</w:t>
            </w:r>
          </w:p>
        </w:tc>
        <w:tc>
          <w:tcPr>
            <w:tcW w:w="1294" w:type="dxa"/>
            <w:noWrap w:val="0"/>
            <w:vAlign w:val="center"/>
          </w:tcPr>
          <w:p>
            <w:pPr>
              <w:autoSpaceDE w:val="0"/>
              <w:autoSpaceDN w:val="0"/>
              <w:adjustRightInd w:val="0"/>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881" w:type="dxa"/>
            <w:noWrap w:val="0"/>
            <w:vAlign w:val="center"/>
          </w:tcPr>
          <w:p>
            <w:pPr>
              <w:autoSpaceDE w:val="0"/>
              <w:autoSpaceDN w:val="0"/>
              <w:adjustRightInd w:val="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淮北</w:t>
            </w:r>
            <w:r>
              <w:rPr>
                <w:rFonts w:hint="eastAsia" w:ascii="仿宋" w:hAnsi="仿宋" w:eastAsia="仿宋" w:cs="仿宋"/>
                <w:color w:val="000000"/>
                <w:sz w:val="32"/>
                <w:szCs w:val="32"/>
                <w:lang w:val="en-US" w:eastAsia="zh-CN"/>
              </w:rPr>
              <w:t>市政府网站集约化平台系统</w:t>
            </w:r>
          </w:p>
        </w:tc>
        <w:tc>
          <w:tcPr>
            <w:tcW w:w="1186" w:type="dxa"/>
            <w:noWrap w:val="0"/>
            <w:vAlign w:val="center"/>
          </w:tcPr>
          <w:p>
            <w:pPr>
              <w:autoSpaceDE w:val="0"/>
              <w:autoSpaceDN w:val="0"/>
              <w:adjustRightInd w:val="0"/>
              <w:jc w:val="center"/>
              <w:rPr>
                <w:rFonts w:hint="eastAsia" w:ascii="仿宋" w:hAnsi="仿宋" w:eastAsia="仿宋" w:cs="仿宋"/>
                <w:sz w:val="32"/>
                <w:szCs w:val="32"/>
              </w:rPr>
            </w:pPr>
            <w:r>
              <w:rPr>
                <w:rFonts w:hint="eastAsia" w:ascii="仿宋" w:hAnsi="仿宋" w:eastAsia="仿宋" w:cs="仿宋"/>
                <w:sz w:val="32"/>
                <w:szCs w:val="32"/>
              </w:rPr>
              <w:t>三级</w:t>
            </w:r>
          </w:p>
        </w:tc>
        <w:tc>
          <w:tcPr>
            <w:tcW w:w="1294" w:type="dxa"/>
            <w:noWrap w:val="0"/>
            <w:vAlign w:val="center"/>
          </w:tcPr>
          <w:p>
            <w:pPr>
              <w:autoSpaceDE w:val="0"/>
              <w:autoSpaceDN w:val="0"/>
              <w:adjustRightInd w:val="0"/>
              <w:ind w:firstLine="640" w:firstLineChars="200"/>
              <w:jc w:val="left"/>
              <w:rPr>
                <w:rFonts w:hint="eastAsia" w:ascii="仿宋" w:hAnsi="仿宋" w:eastAsia="仿宋" w:cs="仿宋"/>
                <w:sz w:val="32"/>
                <w:szCs w:val="32"/>
              </w:rPr>
            </w:pPr>
          </w:p>
        </w:tc>
      </w:tr>
    </w:tbl>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highlight w:val="yellow"/>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项目预算：</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万</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二、供应商资格要求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1.符合《中华人民共和国政府采购法》第二十二条规定的投标人资格条件；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2.投标人需具备国家网络安全等级保护工作协调小组办公室颁发的网络安全等级保护测评机构推荐证书。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注：提供测评推荐证书复印件/扫描件及入围中国网络安全等级保护网（www.djbh.net）全国等级保护测评机构推荐目录截图（截图需完整显示投标人名称），否则不予认定。</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投标人存在以下不良信用记录情形之一的，不得推荐为中标候选人，不得确定为中标人：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（1）投标人被人民法院列入失信被执行人的；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（2）投标人或其法定代表人或拟派项目经理（项目负责人）近三年内被人民检察院列入行贿犯罪档案的；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（3）投标人被工商行政管理部门列入企业经营异常名录的；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（4）投标人被税务部门列入重大税收违法案件当事人名单的；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（5）投标人被政府采购监管部门列入政府采购严重违法失信行为记录名单的。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.本项目不接受联合体投标。</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三、响应文件内容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1.法定代表人授权委托书原件和法定代表人、被授权人身份证复印件（加盖公章）。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2.有效期内的营业执照、税务登记证复印件（加盖公章）。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3.报价函。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4.询价公告中要求的其它资格证明文件（服务方案、原厂家授权委托书等）。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响应文件份数：正本一份，副本两份；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响应文件装订要求：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报价文件、商务和技术文件分别编制合并装订成册；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文件采用胶装，活页装订（卡条、抽杆夹、订书机、散装）的响应文件无效。</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四、公告期限</w:t>
      </w:r>
    </w:p>
    <w:p>
      <w:pPr>
        <w:ind w:firstLine="640" w:firstLineChars="200"/>
        <w:rPr>
          <w:rFonts w:hint="eastAsia" w:ascii="仿宋" w:hAnsi="仿宋" w:eastAsia="仿宋" w:cs="仿宋"/>
          <w:b/>
          <w:bCs/>
          <w:sz w:val="32"/>
          <w:szCs w:val="32"/>
          <w:lang w:eastAsia="zh-CN"/>
        </w:rPr>
      </w:pPr>
      <w:r>
        <w:rPr>
          <w:rFonts w:hint="eastAsia" w:ascii="仿宋" w:hAnsi="仿宋" w:eastAsia="仿宋" w:cs="仿宋"/>
          <w:kern w:val="0"/>
          <w:sz w:val="32"/>
          <w:szCs w:val="32"/>
        </w:rPr>
        <w:t>自本公告发布之日起3个工作日。</w:t>
      </w:r>
      <w:r>
        <w:rPr>
          <w:rFonts w:hint="eastAsia" w:ascii="仿宋" w:hAnsi="仿宋" w:eastAsia="仿宋" w:cs="仿宋"/>
          <w:kern w:val="0"/>
          <w:sz w:val="32"/>
          <w:szCs w:val="32"/>
          <w:lang w:eastAsia="zh-CN"/>
        </w:rPr>
        <w:t>即</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r>
        <w:rPr>
          <w:rFonts w:hint="eastAsia" w:ascii="仿宋" w:hAnsi="仿宋" w:eastAsia="仿宋" w:cs="仿宋"/>
          <w:sz w:val="32"/>
          <w:szCs w:val="32"/>
          <w:lang w:val="en-US" w:eastAsia="zh-CN"/>
        </w:rPr>
        <w:t>15</w:t>
      </w:r>
      <w:r>
        <w:rPr>
          <w:rFonts w:hint="eastAsia" w:ascii="仿宋" w:hAnsi="仿宋" w:eastAsia="仿宋" w:cs="仿宋"/>
          <w:sz w:val="32"/>
          <w:szCs w:val="32"/>
        </w:rPr>
        <w:t>时前。逾期视为不响应。</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五、供应商报价函送达或寄达地点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淮北市相山区人民路208号市政府办公室512室。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联系人：赵丹、李振宇。联系电话：0561-3198639</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六、等保测评工作服务要求</w:t>
      </w:r>
      <w:bookmarkStart w:id="0" w:name="_Toc10221476"/>
      <w:bookmarkStart w:id="1" w:name="_Toc11791069"/>
    </w:p>
    <w:p>
      <w:pPr>
        <w:ind w:left="-142" w:firstLine="643" w:firstLineChars="200"/>
        <w:rPr>
          <w:rFonts w:hint="eastAsia"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eastAsia="zh-CN"/>
        </w:rPr>
        <w:t>.</w:t>
      </w:r>
      <w:r>
        <w:rPr>
          <w:rFonts w:hint="eastAsia" w:ascii="仿宋" w:hAnsi="仿宋" w:eastAsia="仿宋" w:cs="仿宋"/>
          <w:b/>
          <w:sz w:val="32"/>
          <w:szCs w:val="32"/>
        </w:rPr>
        <w:t>协助定级备案</w:t>
      </w:r>
      <w:bookmarkEnd w:id="0"/>
      <w:bookmarkEnd w:id="1"/>
    </w:p>
    <w:p>
      <w:pPr>
        <w:ind w:firstLine="640" w:firstLineChars="200"/>
        <w:rPr>
          <w:rFonts w:hint="eastAsia" w:ascii="仿宋" w:hAnsi="仿宋" w:eastAsia="仿宋" w:cs="仿宋"/>
          <w:sz w:val="32"/>
          <w:szCs w:val="32"/>
        </w:rPr>
      </w:pPr>
      <w:r>
        <w:rPr>
          <w:rFonts w:hint="eastAsia" w:ascii="仿宋" w:hAnsi="仿宋" w:eastAsia="仿宋" w:cs="仿宋"/>
          <w:sz w:val="32"/>
          <w:szCs w:val="32"/>
        </w:rPr>
        <w:t>协助我方在公安系统网安部门（或者网络安全主管部门）完成系统定级备案工作，交付定级报告、专家评审意见表和备案表等内容，并协助我方取得相应系统的备案证明。</w:t>
      </w:r>
    </w:p>
    <w:p>
      <w:pPr>
        <w:numPr>
          <w:ilvl w:val="0"/>
          <w:numId w:val="0"/>
        </w:numPr>
        <w:ind w:left="420" w:leftChars="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网络安全等级保护测评：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淮北市政府网站集约化平台</w:t>
      </w:r>
      <w:r>
        <w:rPr>
          <w:rFonts w:hint="eastAsia" w:ascii="仿宋" w:hAnsi="仿宋" w:eastAsia="仿宋" w:cs="仿宋"/>
          <w:sz w:val="32"/>
          <w:szCs w:val="32"/>
        </w:rPr>
        <w:t>系统的安全保护等级，依据《</w:t>
      </w:r>
      <w:r>
        <w:rPr>
          <w:rFonts w:hint="eastAsia" w:ascii="仿宋" w:hAnsi="仿宋" w:eastAsia="仿宋" w:cs="仿宋"/>
          <w:color w:val="000000" w:themeColor="text1"/>
          <w:sz w:val="32"/>
          <w:szCs w:val="32"/>
          <w14:textFill>
            <w14:solidFill>
              <w14:schemeClr w14:val="tx1"/>
            </w14:solidFill>
          </w14:textFill>
        </w:rPr>
        <w:t>信息安全技术 网络安全等级保护基本要求》（GB/T 22239-2019）、《信息安全技术 网络安全等级保护测评要求》（GB/T 28448-2019）</w:t>
      </w:r>
      <w:r>
        <w:rPr>
          <w:rFonts w:hint="eastAsia" w:ascii="仿宋" w:hAnsi="仿宋" w:eastAsia="仿宋" w:cs="仿宋"/>
          <w:sz w:val="32"/>
          <w:szCs w:val="32"/>
        </w:rPr>
        <w:t>的条款要求，全面分析应用系统的安全保护措施与等级保护相应级别之间的差距，进行合规性分析，为系统等级保护加固整改提供客观依据，配合委托方督促集成商根据安全改进建议进行适度加固整改，测评的内容包括但不限于以下内容：</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（1）安全技术测评：包括物理和环境安全、网络和通信安全、设备和计算安全、应用和数据安全等五个方面的安全测评；</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（2）安全管理测评：安全策略和管理制度、安全管理机构和人员、安全建设管理、安全运维管理等五个方面的安全测评。</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测评要求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（1）投标人应详细描述本次等级保护测评的整体实施方案，包括项目概述、等保测评方案、项目实施方案、测试过程中需使用测试设备清单、时间安排、阶段性文档提交和验收标准等。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（2）投标人应详细描述测评人员的组成、资质及各自职责的划分。投标人应配置有经验的测评人员进行本次等级保护测评工作。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本次等级保护测评实施过程中所使用到的各种工具软件由投标人推荐，经采购人确认后由投标人提供并在测评中使用。在投标文件中应详细描述所使用的安全测评工具（软硬件型号、功能和性能描述）、使用的方式和时间、对环境和</w:t>
      </w:r>
      <w:r>
        <w:rPr>
          <w:rFonts w:hint="eastAsia" w:ascii="仿宋" w:hAnsi="仿宋" w:eastAsia="仿宋" w:cs="仿宋"/>
          <w:sz w:val="32"/>
          <w:szCs w:val="32"/>
          <w:lang w:eastAsia="zh-CN"/>
        </w:rPr>
        <w:t>综合服务平台</w:t>
      </w:r>
      <w:r>
        <w:rPr>
          <w:rFonts w:hint="eastAsia" w:ascii="仿宋" w:hAnsi="仿宋" w:eastAsia="仿宋" w:cs="仿宋"/>
          <w:sz w:val="32"/>
          <w:szCs w:val="32"/>
        </w:rPr>
        <w:t>的要求以及使用可能对系统造成的风险等。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（4）安全测评工具软件运行可能需要的硬件</w:t>
      </w:r>
      <w:r>
        <w:rPr>
          <w:rFonts w:hint="eastAsia" w:ascii="仿宋" w:hAnsi="仿宋" w:eastAsia="仿宋" w:cs="仿宋"/>
          <w:sz w:val="32"/>
          <w:szCs w:val="32"/>
          <w:lang w:eastAsia="zh-CN"/>
        </w:rPr>
        <w:t>综合服务平台</w:t>
      </w:r>
      <w:r>
        <w:rPr>
          <w:rFonts w:hint="eastAsia" w:ascii="仿宋" w:hAnsi="仿宋" w:eastAsia="仿宋" w:cs="仿宋"/>
          <w:sz w:val="32"/>
          <w:szCs w:val="32"/>
        </w:rPr>
        <w:t>（如笔记本电脑、PC、工作站等）和操作系统软件等由投标人推荐，经采购人确认后由投标人提供并在测评中使用。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（5）安全测评需要的运行环境（如场地、网络环境等）由采购人提供，投标人应详细描述需要的运行环境的具体要求。</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等保测评报告交付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（1）投标供应商协助采购人办理信息系统安全保护等级测评备案手续。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（2）投标供应商应对采购人的信息系统进行等级保护测评，提供符合要求的</w:t>
      </w:r>
      <w:r>
        <w:rPr>
          <w:rFonts w:hint="eastAsia" w:ascii="仿宋" w:hAnsi="仿宋" w:eastAsia="仿宋" w:cs="仿宋"/>
          <w:b/>
          <w:bCs/>
          <w:color w:val="000000" w:themeColor="text1"/>
          <w:sz w:val="32"/>
          <w:szCs w:val="32"/>
          <w14:textFill>
            <w14:solidFill>
              <w14:schemeClr w14:val="tx1"/>
            </w14:solidFill>
          </w14:textFill>
        </w:rPr>
        <w:t>等保2.0第</w:t>
      </w:r>
      <w:r>
        <w:rPr>
          <w:rFonts w:hint="eastAsia" w:ascii="仿宋" w:hAnsi="仿宋" w:eastAsia="仿宋" w:cs="仿宋"/>
          <w:b/>
          <w:bCs/>
          <w:color w:val="000000" w:themeColor="text1"/>
          <w:sz w:val="32"/>
          <w:szCs w:val="32"/>
          <w:lang w:val="en-US"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级信息系统</w:t>
      </w:r>
      <w:r>
        <w:rPr>
          <w:rFonts w:hint="eastAsia" w:ascii="仿宋" w:hAnsi="仿宋" w:eastAsia="仿宋" w:cs="仿宋"/>
          <w:sz w:val="32"/>
          <w:szCs w:val="32"/>
        </w:rPr>
        <w:t>的测评报告；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（3）对上述系统不符合信息安全等级保护有关管理规范和技术标准的，投标供应商出具可行性整改方案并协助采购人整改服务。</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投标人应对所有正式交付件的综合质量审查负责，指定各交付件的相关责任人，明确相关职责。</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采购人将依据本项目的要求，对投标人提交的项目成果进行验收。</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测评应满足的原则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本次安全保护等级保护测评实施方案设计与具体实施应满足以下原则：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（1）标准性原则：测评方案的设计与实施应依据国家等级保护的相关标准进行。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（2）规范性原则：投标人的工作中的过程和文档，具有很好的规范性，可以便于项目的跟踪和控制。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（3）可控性原则：测评服务的进度要跟上进度表的安排，保证谈判人对于测评工作的可控性。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（4）整体性原则：测评的范围和内容应当整体全面，包括国家等级保护相关要求涉及的各个层面。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（5）最小影响原则：测评工作应尽可能小的影响系统和网络，并在可控范围内；测评工作不能对现有信息系统的正常运行、业务的正常开展产生任何影响。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投标人应严格依照上述原则和国家等级保护相关标准开展项目实施工作。</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8</w:t>
      </w:r>
      <w:r>
        <w:rPr>
          <w:rFonts w:hint="eastAsia" w:ascii="仿宋" w:hAnsi="仿宋" w:eastAsia="仿宋" w:cs="仿宋"/>
          <w:b/>
          <w:bCs/>
          <w:sz w:val="32"/>
          <w:szCs w:val="32"/>
          <w:lang w:eastAsia="zh-CN"/>
        </w:rPr>
        <w:t>.</w:t>
      </w:r>
      <w:r>
        <w:rPr>
          <w:rFonts w:hint="eastAsia" w:ascii="仿宋" w:hAnsi="仿宋" w:eastAsia="仿宋" w:cs="仿宋"/>
          <w:b/>
          <w:bCs/>
          <w:sz w:val="32"/>
          <w:szCs w:val="32"/>
        </w:rPr>
        <w:t>保密要求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（1）投标人必须和采购人签订保密协议和非侵害性协议，投标人必须要与参加此次测评项目的所有项目组成员签订保密协议和非侵害性协议，在合同签订时一并提供给采购人。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（2）投标人具体测评工作和等级保护测评报告的编写，必须在采购人的指定地点进行。对于测评中的重要资料和结果，在测评期间和测评结束后，投标人不得带离该地点。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（3）投标人对本规范书中的内容及在应标过程中接触的设备信息、数据资料等负有保密责任，不得泄露给任何第三方。无论投标人中标与否，其对上述内容的保密责任将长期存在。</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9</w:t>
      </w:r>
      <w:r>
        <w:rPr>
          <w:rFonts w:hint="eastAsia" w:ascii="仿宋" w:hAnsi="仿宋" w:eastAsia="仿宋" w:cs="仿宋"/>
          <w:b/>
          <w:bCs/>
          <w:sz w:val="32"/>
          <w:szCs w:val="32"/>
          <w:lang w:eastAsia="zh-CN"/>
        </w:rPr>
        <w:t>.</w:t>
      </w:r>
      <w:r>
        <w:rPr>
          <w:rFonts w:hint="eastAsia" w:ascii="仿宋" w:hAnsi="仿宋" w:eastAsia="仿宋" w:cs="仿宋"/>
          <w:b/>
          <w:bCs/>
          <w:sz w:val="32"/>
          <w:szCs w:val="32"/>
        </w:rPr>
        <w:t>其他要求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参与投标的供应商须提供不少于5人（含）具备中级（含）以上测评师资格人员参与本项目，其中高级测评师不少于1人，按照甲方指定地点办公，并在投标文件中提供相应的资格证书复印件。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注：如服务要求中未特别注明需执行的国家相关标准、行业标准、地方标准或者其他标准、规范，则统一执行最新标准、规范。</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七、培训要求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供应商应为</w:t>
      </w:r>
      <w:r>
        <w:rPr>
          <w:rFonts w:hint="eastAsia" w:ascii="仿宋" w:hAnsi="仿宋" w:eastAsia="仿宋" w:cs="仿宋"/>
          <w:sz w:val="32"/>
          <w:szCs w:val="32"/>
          <w:lang w:val="en-US" w:eastAsia="zh-CN"/>
        </w:rPr>
        <w:t>淮北市政府网站集约化平台</w:t>
      </w:r>
      <w:r>
        <w:rPr>
          <w:rFonts w:hint="eastAsia" w:ascii="仿宋" w:hAnsi="仿宋" w:eastAsia="仿宋" w:cs="仿宋"/>
          <w:sz w:val="32"/>
          <w:szCs w:val="32"/>
        </w:rPr>
        <w:t>系统相关的管理或运维技术人员提供不少于线上、线下2次的信息安全技术培训，包括等级保护基础知识培训、典型安全问题和改进建议讲解等，并提供相应的纸质材料及视频文件。</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八、交货时间及地点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合同签订后10个工作日内完成定级和测评工作方案实施计划编制，项目进场实施后60个工作日内完成所有系统测评和备案工作，服务地点为</w:t>
      </w:r>
      <w:r>
        <w:rPr>
          <w:rFonts w:hint="eastAsia" w:ascii="仿宋" w:hAnsi="仿宋" w:eastAsia="仿宋" w:cs="仿宋"/>
          <w:sz w:val="32"/>
          <w:szCs w:val="32"/>
          <w:lang w:val="en-US" w:eastAsia="zh-CN"/>
        </w:rPr>
        <w:t>淮北市人民政府办公室</w:t>
      </w:r>
      <w:r>
        <w:rPr>
          <w:rFonts w:hint="eastAsia" w:ascii="仿宋" w:hAnsi="仿宋" w:eastAsia="仿宋" w:cs="仿宋"/>
          <w:sz w:val="32"/>
          <w:szCs w:val="32"/>
        </w:rPr>
        <w:t>指定地点。</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九、报价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被询价的供应商根据采购货物和要求，作出一次性书面报价，报价一经作出，不得修改和撤回，否则该供应商在今后一年内不得参与本单位的所有采购活动。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本次询价只允许有一个方案，一个报价，多方案、多报价的将不被接受。</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十、评审办法：最低价中标</w:t>
      </w:r>
    </w:p>
    <w:p>
      <w:pPr>
        <w:spacing w:line="580" w:lineRule="exact"/>
        <w:ind w:firstLine="640" w:firstLineChars="200"/>
        <w:rPr>
          <w:rFonts w:hint="eastAsia" w:ascii="仿宋" w:hAnsi="仿宋" w:eastAsia="仿宋" w:cs="仿宋"/>
          <w:b/>
          <w:bCs/>
          <w:color w:val="000000"/>
          <w:sz w:val="32"/>
          <w:szCs w:val="32"/>
          <w:shd w:val="clear" w:color="auto" w:fill="FFFFFF"/>
        </w:rPr>
      </w:pPr>
      <w:r>
        <w:rPr>
          <w:rFonts w:hint="eastAsia" w:ascii="仿宋" w:hAnsi="仿宋" w:eastAsia="仿宋" w:cs="仿宋"/>
          <w:sz w:val="32"/>
          <w:szCs w:val="32"/>
        </w:rPr>
        <w:t>成交原则：最低评标价法，即满足技术及服务等要求的报价函中，评标价最低的确定为成交供应商的方法。</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在商务、技术条款均满足的情况下：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潜在投标人数量</w:t>
      </w:r>
      <w:r>
        <w:rPr>
          <w:rFonts w:hint="eastAsia" w:ascii="仿宋" w:hAnsi="仿宋" w:eastAsia="仿宋" w:cs="仿宋"/>
          <w:sz w:val="32"/>
          <w:szCs w:val="32"/>
          <w:lang w:val="en-US" w:eastAsia="zh-CN"/>
        </w:rPr>
        <w:t>不少于</w:t>
      </w:r>
      <w:r>
        <w:rPr>
          <w:rFonts w:hint="eastAsia" w:ascii="仿宋" w:hAnsi="仿宋" w:eastAsia="仿宋" w:cs="仿宋"/>
          <w:sz w:val="32"/>
          <w:szCs w:val="32"/>
        </w:rPr>
        <w:t>3家，根据投标人的评审价格由低到高进行排序，依据排名顺序推荐排名第一的投标人为中标候选人, 如果出现评审价格相同，则由同时具备</w:t>
      </w:r>
      <w:r>
        <w:rPr>
          <w:rFonts w:hint="eastAsia" w:ascii="仿宋" w:hAnsi="仿宋" w:eastAsia="仿宋" w:cs="仿宋"/>
          <w:b/>
          <w:bCs/>
          <w:sz w:val="32"/>
          <w:szCs w:val="32"/>
        </w:rPr>
        <w:t>网络安全能力认证（CCSC）培训机构证书</w:t>
      </w:r>
      <w:r>
        <w:rPr>
          <w:rFonts w:hint="eastAsia" w:ascii="仿宋" w:hAnsi="仿宋" w:eastAsia="仿宋" w:cs="仿宋"/>
          <w:sz w:val="32"/>
          <w:szCs w:val="32"/>
        </w:rPr>
        <w:t>、</w:t>
      </w:r>
      <w:r>
        <w:rPr>
          <w:rFonts w:hint="eastAsia" w:ascii="仿宋" w:hAnsi="仿宋" w:eastAsia="仿宋" w:cs="仿宋"/>
          <w:b/>
          <w:bCs/>
          <w:sz w:val="32"/>
          <w:szCs w:val="32"/>
        </w:rPr>
        <w:t>国家信息安全水平考试运营中心颁发的国家信息安全水平考试（NISP）授权认证机构证书</w:t>
      </w:r>
      <w:r>
        <w:rPr>
          <w:rFonts w:hint="eastAsia" w:ascii="仿宋" w:hAnsi="仿宋" w:eastAsia="仿宋" w:cs="仿宋"/>
          <w:sz w:val="32"/>
          <w:szCs w:val="32"/>
        </w:rPr>
        <w:t>和</w:t>
      </w:r>
      <w:r>
        <w:rPr>
          <w:rFonts w:hint="eastAsia" w:ascii="仿宋" w:hAnsi="仿宋" w:eastAsia="仿宋" w:cs="仿宋"/>
          <w:b/>
          <w:bCs/>
          <w:sz w:val="32"/>
          <w:szCs w:val="32"/>
        </w:rPr>
        <w:t>国家网络安全等级保护工作协调小组办公室颁发的全国网络安全等级保护测评机构“先进单位”称号证书（自2018年</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月1日以来）</w:t>
      </w:r>
      <w:r>
        <w:rPr>
          <w:rFonts w:hint="eastAsia" w:ascii="仿宋" w:hAnsi="仿宋" w:eastAsia="仿宋" w:cs="仿宋"/>
          <w:sz w:val="32"/>
          <w:szCs w:val="32"/>
        </w:rPr>
        <w:t>的为成交候选人，如果都具备，则在具备证书的供应商中现场随机抽取确定成交候选人。</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十一、其他</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成交服务供应商确定后，将电话方式通知其正式签约。</w:t>
      </w:r>
    </w:p>
    <w:p>
      <w:pPr>
        <w:ind w:firstLine="562" w:firstLineChars="200"/>
        <w:rPr>
          <w:rFonts w:ascii="仿宋" w:hAnsi="仿宋" w:eastAsia="仿宋" w:cs="Times New Roman"/>
          <w:b/>
          <w:bCs/>
          <w:sz w:val="28"/>
          <w:szCs w:val="28"/>
        </w:rPr>
      </w:pPr>
    </w:p>
    <w:p>
      <w:pPr>
        <w:spacing w:line="600" w:lineRule="exact"/>
        <w:ind w:firstLine="640" w:firstLineChars="200"/>
        <w:jc w:val="left"/>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color w:val="333333"/>
          <w:sz w:val="32"/>
          <w:szCs w:val="32"/>
        </w:rPr>
        <w:t>1. 服务响应表</w:t>
      </w:r>
    </w:p>
    <w:p>
      <w:pPr>
        <w:spacing w:line="600" w:lineRule="exact"/>
        <w:ind w:left="1918" w:leftChars="304" w:hanging="1280" w:hangingChars="400"/>
        <w:jc w:val="left"/>
        <w:rPr>
          <w:rFonts w:hint="default" w:ascii="Times New Roman" w:hAnsi="Times New Roman" w:eastAsia="仿宋_GB2312" w:cs="Times New Roman"/>
          <w:color w:val="333333"/>
          <w:spacing w:val="-11"/>
          <w:sz w:val="32"/>
          <w:szCs w:val="32"/>
        </w:rPr>
      </w:pPr>
      <w:r>
        <w:rPr>
          <w:rFonts w:hint="default" w:ascii="Times New Roman" w:hAnsi="Times New Roman" w:eastAsia="仿宋_GB2312" w:cs="Times New Roman"/>
          <w:color w:val="333333"/>
          <w:sz w:val="32"/>
          <w:szCs w:val="32"/>
        </w:rPr>
        <w:t xml:space="preserve">      2. </w:t>
      </w:r>
      <w:r>
        <w:rPr>
          <w:rFonts w:hint="default" w:ascii="Times New Roman" w:hAnsi="Times New Roman" w:eastAsia="仿宋_GB2312" w:cs="Times New Roman"/>
          <w:color w:val="333333"/>
          <w:spacing w:val="-11"/>
          <w:sz w:val="32"/>
          <w:szCs w:val="32"/>
        </w:rPr>
        <w:t>投标企业符合《政府采购法》</w:t>
      </w:r>
      <w:r>
        <w:rPr>
          <w:rFonts w:hint="default" w:ascii="Times New Roman" w:hAnsi="Times New Roman" w:eastAsia="仿宋_GB2312" w:cs="Times New Roman"/>
          <w:color w:val="333333"/>
          <w:spacing w:val="-11"/>
          <w:sz w:val="32"/>
          <w:szCs w:val="32"/>
          <w:lang w:val="zh-CN"/>
        </w:rPr>
        <w:t>第二十二条</w:t>
      </w:r>
      <w:r>
        <w:rPr>
          <w:rFonts w:hint="default" w:ascii="Times New Roman" w:hAnsi="Times New Roman" w:eastAsia="仿宋_GB2312" w:cs="Times New Roman"/>
          <w:color w:val="333333"/>
          <w:spacing w:val="-11"/>
          <w:sz w:val="32"/>
          <w:szCs w:val="32"/>
        </w:rPr>
        <w:t>规定声明函</w:t>
      </w:r>
    </w:p>
    <w:p>
      <w:pPr>
        <w:spacing w:line="600" w:lineRule="exact"/>
        <w:ind w:firstLine="1600" w:firstLineChars="500"/>
        <w:jc w:val="left"/>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 无不良信用记录声明函</w:t>
      </w:r>
    </w:p>
    <w:p>
      <w:pPr>
        <w:spacing w:line="580" w:lineRule="exact"/>
        <w:ind w:firstLine="1600" w:firstLineChars="500"/>
        <w:rPr>
          <w:rFonts w:hint="eastAsia" w:ascii="仿宋" w:hAnsi="仿宋" w:eastAsia="仿宋"/>
          <w:sz w:val="28"/>
          <w:szCs w:val="28"/>
        </w:rPr>
      </w:pPr>
      <w:r>
        <w:rPr>
          <w:rFonts w:hint="default" w:ascii="Times New Roman" w:hAnsi="Times New Roman" w:eastAsia="仿宋_GB2312" w:cs="Times New Roman"/>
          <w:color w:val="333333"/>
          <w:sz w:val="32"/>
          <w:szCs w:val="32"/>
        </w:rPr>
        <w:t>4. 无重大违法记录声明函</w:t>
      </w:r>
    </w:p>
    <w:p>
      <w:pPr>
        <w:ind w:firstLine="562" w:firstLineChars="200"/>
        <w:rPr>
          <w:rFonts w:ascii="仿宋" w:hAnsi="仿宋" w:eastAsia="仿宋"/>
          <w:b/>
          <w:bCs/>
          <w:sz w:val="28"/>
          <w:szCs w:val="28"/>
        </w:rPr>
      </w:pPr>
    </w:p>
    <w:p>
      <w:pPr>
        <w:ind w:firstLine="3920" w:firstLineChars="1400"/>
        <w:rPr>
          <w:rFonts w:ascii="仿宋" w:hAnsi="仿宋" w:eastAsia="仿宋"/>
          <w:color w:val="000000"/>
          <w:sz w:val="28"/>
          <w:szCs w:val="28"/>
        </w:rPr>
      </w:pPr>
    </w:p>
    <w:p>
      <w:pPr>
        <w:spacing w:line="580" w:lineRule="exact"/>
        <w:ind w:firstLine="5120" w:firstLineChars="16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20</w:t>
      </w:r>
      <w:r>
        <w:rPr>
          <w:rFonts w:hint="eastAsia" w:ascii="Times New Roman" w:hAnsi="Times New Roman" w:eastAsia="仿宋_GB2312" w:cs="Times New Roman"/>
          <w:color w:val="333333"/>
          <w:sz w:val="32"/>
          <w:szCs w:val="32"/>
        </w:rPr>
        <w:t>21</w:t>
      </w:r>
      <w:r>
        <w:rPr>
          <w:rFonts w:hint="default" w:ascii="Times New Roman" w:hAnsi="Times New Roman" w:eastAsia="仿宋_GB2312" w:cs="Times New Roman"/>
          <w:color w:val="333333"/>
          <w:sz w:val="32"/>
          <w:szCs w:val="32"/>
        </w:rPr>
        <w:t>年</w:t>
      </w:r>
      <w:r>
        <w:rPr>
          <w:rFonts w:hint="eastAsia" w:ascii="Times New Roman" w:hAnsi="Times New Roman" w:eastAsia="仿宋_GB2312" w:cs="Times New Roman"/>
          <w:color w:val="333333"/>
          <w:sz w:val="32"/>
          <w:szCs w:val="32"/>
        </w:rPr>
        <w:t>10</w:t>
      </w:r>
      <w:r>
        <w:rPr>
          <w:rFonts w:hint="default"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19</w:t>
      </w:r>
      <w:r>
        <w:rPr>
          <w:rFonts w:hint="default" w:ascii="Times New Roman" w:hAnsi="Times New Roman" w:eastAsia="仿宋_GB2312" w:cs="Times New Roman"/>
          <w:color w:val="333333"/>
          <w:sz w:val="32"/>
          <w:szCs w:val="32"/>
        </w:rPr>
        <w:t>日</w:t>
      </w:r>
    </w:p>
    <w:p>
      <w:pPr>
        <w:pStyle w:val="2"/>
        <w:rPr>
          <w:rFonts w:ascii="仿宋" w:hAnsi="仿宋" w:eastAsia="仿宋"/>
          <w:color w:val="000000"/>
          <w:sz w:val="28"/>
          <w:szCs w:val="28"/>
        </w:rPr>
      </w:pPr>
    </w:p>
    <w:p>
      <w:pPr>
        <w:pStyle w:val="2"/>
        <w:rPr>
          <w:rFonts w:ascii="仿宋" w:hAnsi="仿宋" w:eastAsia="仿宋"/>
          <w:color w:val="000000"/>
          <w:sz w:val="28"/>
          <w:szCs w:val="28"/>
        </w:rPr>
      </w:pPr>
    </w:p>
    <w:p>
      <w:pPr>
        <w:pStyle w:val="2"/>
        <w:rPr>
          <w:rFonts w:ascii="仿宋" w:hAnsi="仿宋" w:eastAsia="仿宋"/>
          <w:color w:val="000000"/>
          <w:sz w:val="28"/>
          <w:szCs w:val="28"/>
        </w:rPr>
      </w:pPr>
    </w:p>
    <w:p>
      <w:pPr>
        <w:pStyle w:val="2"/>
        <w:rPr>
          <w:rFonts w:ascii="仿宋" w:hAnsi="仿宋" w:eastAsia="仿宋"/>
          <w:color w:val="000000"/>
          <w:sz w:val="28"/>
          <w:szCs w:val="28"/>
        </w:rPr>
      </w:pPr>
    </w:p>
    <w:p>
      <w:pPr>
        <w:pStyle w:val="2"/>
        <w:rPr>
          <w:rFonts w:ascii="仿宋" w:hAnsi="仿宋" w:eastAsia="仿宋"/>
          <w:color w:val="000000"/>
          <w:sz w:val="28"/>
          <w:szCs w:val="28"/>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附件1</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服务响应表</w:t>
      </w:r>
    </w:p>
    <w:p>
      <w:pPr>
        <w:jc w:val="center"/>
        <w:rPr>
          <w:rFonts w:hint="default" w:ascii="Times New Roman" w:hAnsi="Times New Roman" w:cs="Times New Roman"/>
          <w:b/>
          <w:bCs/>
          <w:sz w:val="24"/>
          <w:szCs w:val="24"/>
        </w:rPr>
      </w:pPr>
    </w:p>
    <w:tbl>
      <w:tblPr>
        <w:tblStyle w:val="12"/>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568"/>
        <w:gridCol w:w="2686"/>
        <w:gridCol w:w="204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5150" w:type="dxa"/>
            <w:gridSpan w:val="3"/>
            <w:noWrap w:val="0"/>
            <w:vAlign w:val="center"/>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按招标文件规定填写</w:t>
            </w:r>
          </w:p>
        </w:tc>
        <w:tc>
          <w:tcPr>
            <w:tcW w:w="3829" w:type="dxa"/>
            <w:gridSpan w:val="2"/>
            <w:noWrap w:val="0"/>
            <w:vAlign w:val="center"/>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96" w:type="dxa"/>
            <w:noWrap w:val="0"/>
            <w:vAlign w:val="center"/>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序号</w:t>
            </w:r>
          </w:p>
        </w:tc>
        <w:tc>
          <w:tcPr>
            <w:tcW w:w="1568" w:type="dxa"/>
            <w:noWrap w:val="0"/>
            <w:vAlign w:val="center"/>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品名</w:t>
            </w:r>
          </w:p>
        </w:tc>
        <w:tc>
          <w:tcPr>
            <w:tcW w:w="4730" w:type="dxa"/>
            <w:gridSpan w:val="2"/>
            <w:noWrap w:val="0"/>
            <w:vAlign w:val="center"/>
          </w:tcPr>
          <w:p>
            <w:pPr>
              <w:ind w:firstLine="2058" w:firstLineChars="735"/>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服务内容</w:t>
            </w:r>
          </w:p>
        </w:tc>
        <w:tc>
          <w:tcPr>
            <w:tcW w:w="1785" w:type="dxa"/>
            <w:noWrap w:val="0"/>
            <w:vAlign w:val="center"/>
          </w:tcPr>
          <w:p>
            <w:pPr>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6"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w:t>
            </w:r>
          </w:p>
        </w:tc>
        <w:tc>
          <w:tcPr>
            <w:tcW w:w="1568" w:type="dxa"/>
            <w:noWrap w:val="0"/>
            <w:vAlign w:val="top"/>
          </w:tcPr>
          <w:p>
            <w:pPr>
              <w:rPr>
                <w:rFonts w:hint="default" w:ascii="Times New Roman" w:hAnsi="Times New Roman" w:cs="Times New Roman"/>
                <w:sz w:val="24"/>
                <w:szCs w:val="24"/>
              </w:rPr>
            </w:pPr>
          </w:p>
        </w:tc>
        <w:tc>
          <w:tcPr>
            <w:tcW w:w="4730" w:type="dxa"/>
            <w:gridSpan w:val="2"/>
            <w:noWrap w:val="0"/>
            <w:vAlign w:val="top"/>
          </w:tcPr>
          <w:p>
            <w:pPr>
              <w:rPr>
                <w:rFonts w:hint="default" w:ascii="Times New Roman" w:hAnsi="Times New Roman" w:cs="Times New Roman"/>
                <w:sz w:val="24"/>
                <w:szCs w:val="24"/>
              </w:rPr>
            </w:pPr>
          </w:p>
        </w:tc>
        <w:tc>
          <w:tcPr>
            <w:tcW w:w="1785" w:type="dxa"/>
            <w:noWrap w:val="0"/>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6"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w:t>
            </w:r>
          </w:p>
        </w:tc>
        <w:tc>
          <w:tcPr>
            <w:tcW w:w="1568" w:type="dxa"/>
            <w:noWrap w:val="0"/>
            <w:vAlign w:val="top"/>
          </w:tcPr>
          <w:p>
            <w:pPr>
              <w:rPr>
                <w:rFonts w:hint="default" w:ascii="Times New Roman" w:hAnsi="Times New Roman" w:cs="Times New Roman"/>
                <w:sz w:val="24"/>
                <w:szCs w:val="24"/>
              </w:rPr>
            </w:pPr>
          </w:p>
        </w:tc>
        <w:tc>
          <w:tcPr>
            <w:tcW w:w="4730" w:type="dxa"/>
            <w:gridSpan w:val="2"/>
            <w:noWrap w:val="0"/>
            <w:vAlign w:val="top"/>
          </w:tcPr>
          <w:p>
            <w:pPr>
              <w:rPr>
                <w:rFonts w:hint="default" w:ascii="Times New Roman" w:hAnsi="Times New Roman" w:cs="Times New Roman"/>
                <w:sz w:val="24"/>
                <w:szCs w:val="24"/>
              </w:rPr>
            </w:pPr>
          </w:p>
        </w:tc>
        <w:tc>
          <w:tcPr>
            <w:tcW w:w="1785" w:type="dxa"/>
            <w:noWrap w:val="0"/>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6"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w:t>
            </w:r>
          </w:p>
        </w:tc>
        <w:tc>
          <w:tcPr>
            <w:tcW w:w="1568" w:type="dxa"/>
            <w:noWrap w:val="0"/>
            <w:vAlign w:val="top"/>
          </w:tcPr>
          <w:p>
            <w:pPr>
              <w:rPr>
                <w:rFonts w:hint="default" w:ascii="Times New Roman" w:hAnsi="Times New Roman" w:cs="Times New Roman"/>
                <w:sz w:val="24"/>
                <w:szCs w:val="24"/>
              </w:rPr>
            </w:pPr>
          </w:p>
        </w:tc>
        <w:tc>
          <w:tcPr>
            <w:tcW w:w="4730" w:type="dxa"/>
            <w:gridSpan w:val="2"/>
            <w:noWrap w:val="0"/>
            <w:vAlign w:val="top"/>
          </w:tcPr>
          <w:p>
            <w:pPr>
              <w:rPr>
                <w:rFonts w:hint="default" w:ascii="Times New Roman" w:hAnsi="Times New Roman" w:cs="Times New Roman"/>
                <w:sz w:val="24"/>
              </w:rPr>
            </w:pPr>
          </w:p>
        </w:tc>
        <w:tc>
          <w:tcPr>
            <w:tcW w:w="1785" w:type="dxa"/>
            <w:noWrap w:val="0"/>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6" w:type="dxa"/>
            <w:noWrap w:val="0"/>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w:t>
            </w:r>
          </w:p>
        </w:tc>
        <w:tc>
          <w:tcPr>
            <w:tcW w:w="1568" w:type="dxa"/>
            <w:noWrap w:val="0"/>
            <w:vAlign w:val="top"/>
          </w:tcPr>
          <w:p>
            <w:pPr>
              <w:rPr>
                <w:rFonts w:hint="default" w:ascii="Times New Roman" w:hAnsi="Times New Roman" w:cs="Times New Roman"/>
                <w:sz w:val="24"/>
                <w:szCs w:val="24"/>
              </w:rPr>
            </w:pPr>
          </w:p>
        </w:tc>
        <w:tc>
          <w:tcPr>
            <w:tcW w:w="4730" w:type="dxa"/>
            <w:gridSpan w:val="2"/>
            <w:noWrap w:val="0"/>
            <w:vAlign w:val="top"/>
          </w:tcPr>
          <w:p>
            <w:pPr>
              <w:rPr>
                <w:rFonts w:hint="default" w:ascii="Times New Roman" w:hAnsi="Times New Roman" w:cs="Times New Roman"/>
                <w:sz w:val="24"/>
                <w:szCs w:val="24"/>
              </w:rPr>
            </w:pPr>
          </w:p>
        </w:tc>
        <w:tc>
          <w:tcPr>
            <w:tcW w:w="1785" w:type="dxa"/>
            <w:noWrap w:val="0"/>
            <w:vAlign w:val="top"/>
          </w:tcPr>
          <w:p>
            <w:pPr>
              <w:rPr>
                <w:rFonts w:hint="default" w:ascii="Times New Roman" w:hAnsi="Times New Roman" w:cs="Times New Roman"/>
                <w:sz w:val="24"/>
                <w:szCs w:val="24"/>
              </w:rPr>
            </w:pPr>
          </w:p>
        </w:tc>
      </w:tr>
    </w:tbl>
    <w:p>
      <w:pPr>
        <w:snapToGrid w:val="0"/>
        <w:spacing w:line="360" w:lineRule="auto"/>
        <w:rPr>
          <w:rFonts w:hint="default" w:ascii="Times New Roman" w:hAnsi="Times New Roman" w:cs="Times New Roman"/>
          <w:sz w:val="24"/>
          <w:szCs w:val="24"/>
        </w:rPr>
      </w:pPr>
      <w:r>
        <w:rPr>
          <w:rFonts w:hint="eastAsia" w:ascii="Times New Roman" w:hAnsi="Times New Roman" w:cs="Times New Roman"/>
          <w:sz w:val="24"/>
          <w:szCs w:val="24"/>
          <w:lang w:eastAsia="zh-CN"/>
        </w:rPr>
        <w:t>投标</w:t>
      </w:r>
      <w:bookmarkStart w:id="8" w:name="_GoBack"/>
      <w:bookmarkEnd w:id="8"/>
      <w:r>
        <w:rPr>
          <w:rFonts w:hint="default" w:ascii="Times New Roman" w:hAnsi="Times New Roman" w:cs="Times New Roman"/>
          <w:sz w:val="24"/>
          <w:szCs w:val="24"/>
        </w:rPr>
        <w:t xml:space="preserve">供应商签章：                    </w:t>
      </w:r>
    </w:p>
    <w:p>
      <w:pPr>
        <w:spacing w:line="360" w:lineRule="auto"/>
        <w:jc w:val="right"/>
        <w:rPr>
          <w:rFonts w:hint="default" w:ascii="Times New Roman" w:hAnsi="Times New Roman" w:cs="Times New Roman"/>
          <w:bCs/>
          <w:sz w:val="24"/>
        </w:rPr>
      </w:pPr>
      <w:r>
        <w:rPr>
          <w:rFonts w:hint="default" w:ascii="Times New Roman" w:hAnsi="Times New Roman" w:cs="Times New Roman"/>
          <w:bCs/>
          <w:sz w:val="24"/>
        </w:rPr>
        <w:t>年  月  日</w:t>
      </w:r>
    </w:p>
    <w:p>
      <w:pPr>
        <w:spacing w:before="156" w:beforeLines="50" w:after="156" w:afterLines="50" w:line="360" w:lineRule="auto"/>
        <w:rPr>
          <w:rFonts w:hint="default" w:ascii="Times New Roman" w:hAnsi="Times New Roman" w:eastAsia="仿宋" w:cs="Times New Roman"/>
          <w:b/>
          <w:bCs/>
          <w:sz w:val="24"/>
          <w:szCs w:val="28"/>
        </w:rPr>
      </w:pPr>
      <w:r>
        <w:rPr>
          <w:rFonts w:hint="default" w:ascii="Times New Roman" w:hAnsi="Times New Roman" w:eastAsia="仿宋" w:cs="Times New Roman"/>
          <w:b/>
          <w:sz w:val="24"/>
          <w:szCs w:val="24"/>
        </w:rPr>
        <w:t>注：</w:t>
      </w:r>
      <w:r>
        <w:rPr>
          <w:rFonts w:hint="default" w:ascii="Times New Roman" w:hAnsi="Times New Roman" w:eastAsia="仿宋" w:cs="Times New Roman"/>
          <w:b/>
          <w:bCs/>
          <w:sz w:val="24"/>
          <w:szCs w:val="28"/>
        </w:rPr>
        <w:t>1、供应商必须逐项对应描述服务要求，如不进行描述，仅在响应栏填“响应”或未填写或复制（包括全部复制或部分复制）招标文件采购需求的，包括有选择性的技术响应（例如在某一分项中出现两个及以上的或两种及两种以上的技术规格），均可能导致响应无效；</w:t>
      </w:r>
    </w:p>
    <w:p>
      <w:pPr>
        <w:adjustRightInd w:val="0"/>
        <w:snapToGrid w:val="0"/>
        <w:spacing w:line="360" w:lineRule="auto"/>
        <w:rPr>
          <w:rFonts w:hint="default" w:ascii="Times New Roman" w:hAnsi="Times New Roman" w:eastAsia="仿宋" w:cs="Times New Roman"/>
          <w:b/>
          <w:bCs/>
          <w:sz w:val="24"/>
          <w:szCs w:val="28"/>
        </w:rPr>
      </w:pPr>
      <w:r>
        <w:rPr>
          <w:rFonts w:hint="default" w:ascii="Times New Roman" w:hAnsi="Times New Roman" w:eastAsia="仿宋" w:cs="Times New Roman"/>
          <w:b/>
          <w:bCs/>
          <w:sz w:val="24"/>
          <w:szCs w:val="28"/>
        </w:rPr>
        <w:t>2、偏离说明项需注明：完全响应或正偏离或负偏离（满足用户需求）。正偏离或负偏离还需详细描述偏离情况。</w:t>
      </w:r>
    </w:p>
    <w:p>
      <w:pPr>
        <w:adjustRightInd w:val="0"/>
        <w:snapToGrid w:val="0"/>
        <w:spacing w:line="360" w:lineRule="auto"/>
        <w:rPr>
          <w:rFonts w:hint="default" w:ascii="Times New Roman" w:hAnsi="Times New Roman" w:cs="Times New Roman"/>
          <w:b/>
          <w:sz w:val="24"/>
          <w:szCs w:val="22"/>
        </w:rPr>
      </w:pPr>
      <w:r>
        <w:rPr>
          <w:rFonts w:hint="default" w:ascii="Times New Roman" w:hAnsi="Times New Roman" w:eastAsia="仿宋" w:cs="Times New Roman"/>
          <w:b/>
          <w:bCs/>
          <w:sz w:val="24"/>
          <w:szCs w:val="28"/>
        </w:rPr>
        <w:t>3、响应部分可后附详细说明及技术资料</w:t>
      </w:r>
      <w:r>
        <w:rPr>
          <w:rFonts w:hint="default" w:ascii="Times New Roman" w:hAnsi="Times New Roman" w:cs="Times New Roman"/>
          <w:b/>
          <w:bCs/>
          <w:sz w:val="24"/>
          <w:szCs w:val="28"/>
        </w:rPr>
        <w:t>。</w:t>
      </w:r>
    </w:p>
    <w:p>
      <w:pPr>
        <w:pStyle w:val="2"/>
        <w:spacing w:line="580" w:lineRule="exact"/>
        <w:ind w:left="0" w:leftChars="0" w:firstLine="0" w:firstLineChars="0"/>
        <w:rPr>
          <w:rFonts w:hint="default" w:ascii="Times New Roman" w:hAnsi="Times New Roman" w:eastAsia="黑体" w:cs="Times New Roman"/>
          <w:color w:val="333333"/>
          <w:sz w:val="32"/>
          <w:szCs w:val="32"/>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附件2</w:t>
      </w:r>
    </w:p>
    <w:p>
      <w:pPr>
        <w:spacing w:line="360" w:lineRule="auto"/>
        <w:outlineLvl w:val="2"/>
        <w:rPr>
          <w:rFonts w:hint="default" w:ascii="Times New Roman" w:hAnsi="Times New Roman" w:cs="Times New Roman"/>
          <w:b/>
          <w:sz w:val="24"/>
          <w:szCs w:val="22"/>
        </w:rPr>
      </w:pPr>
    </w:p>
    <w:p>
      <w:pPr>
        <w:spacing w:line="360" w:lineRule="auto"/>
        <w:jc w:val="center"/>
        <w:outlineLvl w:val="2"/>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bCs/>
          <w:sz w:val="36"/>
          <w:szCs w:val="36"/>
        </w:rPr>
        <w:t>投标企业符合《政府采购法》</w:t>
      </w:r>
      <w:r>
        <w:rPr>
          <w:rFonts w:hint="default" w:ascii="Times New Roman" w:hAnsi="Times New Roman" w:eastAsia="方正小标宋_GBK" w:cs="Times New Roman"/>
          <w:bCs/>
          <w:sz w:val="36"/>
          <w:szCs w:val="36"/>
          <w:lang w:val="zh-CN"/>
        </w:rPr>
        <w:t>第二十二条</w:t>
      </w:r>
      <w:r>
        <w:rPr>
          <w:rFonts w:hint="default" w:ascii="Times New Roman" w:hAnsi="Times New Roman" w:eastAsia="方正小标宋_GBK" w:cs="Times New Roman"/>
          <w:bCs/>
          <w:sz w:val="36"/>
          <w:szCs w:val="36"/>
        </w:rPr>
        <w:t>规定声明函</w:t>
      </w:r>
    </w:p>
    <w:p>
      <w:pPr>
        <w:jc w:val="center"/>
        <w:rPr>
          <w:rFonts w:hint="default" w:ascii="Times New Roman" w:hAnsi="Times New Roman" w:cs="Times New Roman"/>
          <w:b/>
          <w:sz w:val="24"/>
        </w:rPr>
      </w:pPr>
    </w:p>
    <w:p>
      <w:pPr>
        <w:autoSpaceDE w:val="0"/>
        <w:autoSpaceDN w:val="0"/>
        <w:spacing w:line="480" w:lineRule="auto"/>
        <w:ind w:left="80" w:leftChars="38" w:right="40"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根据《财政部关于促进政府采购公平竞争优化营商环境的通知》（财库〔201</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38</w:t>
      </w:r>
      <w:r>
        <w:rPr>
          <w:rFonts w:hint="default" w:ascii="Times New Roman" w:hAnsi="Times New Roman" w:eastAsia="仿宋_GB2312" w:cs="Times New Roman"/>
          <w:sz w:val="32"/>
          <w:szCs w:val="32"/>
          <w:lang w:val="zh-CN"/>
        </w:rPr>
        <w:t>号）的规定，本公司郑重声明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本公司同时满足以下条件：</w:t>
      </w:r>
    </w:p>
    <w:p>
      <w:pPr>
        <w:autoSpaceDE w:val="0"/>
        <w:autoSpaceDN w:val="0"/>
        <w:spacing w:line="480" w:lineRule="auto"/>
        <w:ind w:left="80" w:leftChars="38" w:right="40"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1.符合《中华人民共和国政府采购法》第二十二条规定。</w:t>
      </w:r>
    </w:p>
    <w:p>
      <w:pPr>
        <w:autoSpaceDE w:val="0"/>
        <w:autoSpaceDN w:val="0"/>
        <w:spacing w:line="480" w:lineRule="auto"/>
        <w:ind w:left="80" w:leftChars="38" w:right="40"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2.本公司参加</w:t>
      </w:r>
      <w:r>
        <w:rPr>
          <w:rFonts w:hint="default" w:ascii="Times New Roman" w:hAnsi="Times New Roman" w:eastAsia="仿宋_GB2312" w:cs="Times New Roman"/>
          <w:sz w:val="32"/>
          <w:szCs w:val="32"/>
        </w:rPr>
        <w:t>本项目</w:t>
      </w:r>
      <w:r>
        <w:rPr>
          <w:rFonts w:hint="default" w:ascii="Times New Roman" w:hAnsi="Times New Roman" w:eastAsia="仿宋_GB2312" w:cs="Times New Roman"/>
          <w:bCs/>
          <w:sz w:val="32"/>
          <w:szCs w:val="32"/>
        </w:rPr>
        <w:t>采购活动</w:t>
      </w:r>
      <w:r>
        <w:rPr>
          <w:rFonts w:hint="default" w:ascii="Times New Roman" w:hAnsi="Times New Roman" w:eastAsia="仿宋_GB2312" w:cs="Times New Roman"/>
          <w:sz w:val="32"/>
          <w:szCs w:val="32"/>
          <w:lang w:val="zh-CN"/>
        </w:rPr>
        <w:t>由本企业提供服务。</w:t>
      </w:r>
    </w:p>
    <w:p>
      <w:pPr>
        <w:tabs>
          <w:tab w:val="left" w:pos="4620"/>
        </w:tabs>
        <w:spacing w:line="360" w:lineRule="auto"/>
        <w:ind w:firstLine="800" w:firstLineChars="25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本公司对上述声明的真实性负责。如有虚假，将依法承担相应责任。</w:t>
      </w:r>
    </w:p>
    <w:p>
      <w:pPr>
        <w:tabs>
          <w:tab w:val="left" w:pos="4620"/>
        </w:tabs>
        <w:spacing w:line="360" w:lineRule="auto"/>
        <w:ind w:firstLine="800" w:firstLineChars="250"/>
        <w:rPr>
          <w:rFonts w:hint="default" w:ascii="Times New Roman" w:hAnsi="Times New Roman" w:eastAsia="仿宋_GB2312" w:cs="Times New Roman"/>
          <w:sz w:val="32"/>
          <w:szCs w:val="32"/>
          <w:lang w:val="zh-CN"/>
        </w:rPr>
      </w:pPr>
    </w:p>
    <w:p>
      <w:pPr>
        <w:tabs>
          <w:tab w:val="left" w:pos="4620"/>
        </w:tabs>
        <w:spacing w:line="360" w:lineRule="auto"/>
        <w:ind w:firstLine="800" w:firstLineChars="250"/>
        <w:rPr>
          <w:rFonts w:hint="default" w:ascii="Times New Roman" w:hAnsi="Times New Roman" w:eastAsia="仿宋_GB2312" w:cs="Times New Roman"/>
          <w:sz w:val="32"/>
          <w:szCs w:val="32"/>
        </w:rPr>
      </w:pPr>
    </w:p>
    <w:p>
      <w:pPr>
        <w:spacing w:line="360" w:lineRule="auto"/>
        <w:ind w:firstLine="4160" w:firstLineChars="1300"/>
        <w:rPr>
          <w:rFonts w:hint="default" w:ascii="Times New Roman" w:hAnsi="Times New Roman" w:eastAsia="仿宋_GB2312" w:cs="Times New Roman"/>
          <w:sz w:val="32"/>
          <w:szCs w:val="32"/>
          <w:u w:val="single"/>
        </w:rPr>
      </w:pPr>
      <w:r>
        <w:rPr>
          <w:rFonts w:hint="eastAsia" w:ascii="Times New Roman" w:hAnsi="Times New Roman" w:eastAsia="仿宋_GB2312" w:cs="Times New Roman"/>
          <w:sz w:val="32"/>
          <w:szCs w:val="32"/>
          <w:lang w:eastAsia="zh-CN"/>
        </w:rPr>
        <w:t>投标</w:t>
      </w:r>
      <w:r>
        <w:rPr>
          <w:rFonts w:hint="default" w:ascii="Times New Roman" w:hAnsi="Times New Roman" w:eastAsia="仿宋_GB2312" w:cs="Times New Roman"/>
          <w:sz w:val="32"/>
          <w:szCs w:val="32"/>
        </w:rPr>
        <w:t>供应商签章：</w:t>
      </w:r>
      <w:r>
        <w:rPr>
          <w:rFonts w:hint="default" w:ascii="Times New Roman" w:hAnsi="Times New Roman" w:eastAsia="仿宋_GB2312" w:cs="Times New Roman"/>
          <w:sz w:val="32"/>
          <w:szCs w:val="32"/>
          <w:u w:val="single"/>
        </w:rPr>
        <w:t xml:space="preserve">                  </w:t>
      </w:r>
    </w:p>
    <w:p>
      <w:pPr>
        <w:tabs>
          <w:tab w:val="left" w:pos="4620"/>
        </w:tabs>
        <w:spacing w:line="360" w:lineRule="auto"/>
        <w:ind w:firstLine="4160" w:firstLineChars="13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日     期：</w:t>
      </w:r>
      <w:r>
        <w:rPr>
          <w:rFonts w:hint="default" w:ascii="Times New Roman" w:hAnsi="Times New Roman" w:eastAsia="仿宋_GB2312" w:cs="Times New Roman"/>
          <w:sz w:val="32"/>
          <w:szCs w:val="32"/>
          <w:u w:val="single"/>
        </w:rPr>
        <w:t xml:space="preserve">                   </w:t>
      </w:r>
    </w:p>
    <w:p>
      <w:pPr>
        <w:pStyle w:val="7"/>
        <w:keepNext w:val="0"/>
        <w:keepLines w:val="0"/>
        <w:numPr>
          <w:ilvl w:val="2"/>
          <w:numId w:val="0"/>
        </w:numPr>
        <w:spacing w:line="415" w:lineRule="auto"/>
        <w:ind w:leftChars="0"/>
        <w:jc w:val="both"/>
        <w:rPr>
          <w:rFonts w:hint="default" w:ascii="Times New Roman" w:hAnsi="Times New Roman" w:eastAsia="仿宋_GB2312" w:cs="Times New Roman"/>
        </w:rPr>
      </w:pPr>
      <w:bookmarkStart w:id="2" w:name="_Toc38014477"/>
      <w:bookmarkStart w:id="3" w:name="_Toc31720"/>
      <w:bookmarkStart w:id="4" w:name="_Toc38014437"/>
    </w:p>
    <w:p>
      <w:pPr>
        <w:pStyle w:val="7"/>
        <w:keepNext w:val="0"/>
        <w:keepLines w:val="0"/>
        <w:numPr>
          <w:ilvl w:val="2"/>
          <w:numId w:val="0"/>
        </w:numPr>
        <w:spacing w:line="415" w:lineRule="auto"/>
        <w:ind w:leftChars="0"/>
        <w:jc w:val="both"/>
        <w:rPr>
          <w:rFonts w:hint="default" w:ascii="Times New Roman" w:hAnsi="Times New Roman" w:cs="Times New Roman"/>
          <w:sz w:val="28"/>
        </w:rPr>
      </w:pPr>
    </w:p>
    <w:p>
      <w:pPr>
        <w:pStyle w:val="7"/>
        <w:keepNext w:val="0"/>
        <w:keepLines w:val="0"/>
        <w:numPr>
          <w:ilvl w:val="2"/>
          <w:numId w:val="0"/>
        </w:numPr>
        <w:spacing w:line="415" w:lineRule="auto"/>
        <w:ind w:leftChars="0"/>
        <w:jc w:val="both"/>
        <w:rPr>
          <w:rFonts w:hint="default" w:ascii="Times New Roman" w:hAnsi="Times New Roman" w:cs="Times New Roman"/>
          <w:sz w:val="28"/>
        </w:rPr>
      </w:pPr>
    </w:p>
    <w:p>
      <w:pPr>
        <w:rPr>
          <w:rFonts w:hint="default" w:ascii="Times New Roman" w:hAnsi="Times New Roman" w:cs="Times New Roman"/>
          <w:sz w:val="28"/>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附件3</w:t>
      </w:r>
    </w:p>
    <w:p>
      <w:pPr>
        <w:pStyle w:val="7"/>
        <w:keepNext w:val="0"/>
        <w:keepLines w:val="0"/>
        <w:numPr>
          <w:ilvl w:val="2"/>
          <w:numId w:val="0"/>
        </w:numPr>
        <w:spacing w:line="415" w:lineRule="auto"/>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无不良信用记录声明函</w:t>
      </w:r>
      <w:bookmarkEnd w:id="2"/>
      <w:bookmarkEnd w:id="3"/>
      <w:bookmarkEnd w:id="4"/>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本公司郑重声明，我公司无以下不良信用记录情形：</w:t>
      </w:r>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1、公司被人民法院列入失信被执行人；</w:t>
      </w:r>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2、公司、法定代表人或拟派项目经理（项目负责人）被人民检察院列入行贿犯罪档案；</w:t>
      </w:r>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3、公司被工商行政管理部门列入企业经营异常名录；</w:t>
      </w:r>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4、公司被税务部门列入重大税收违法案件当事人名单；</w:t>
      </w:r>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5、公司被政府采购监管部门列入政府采购严重违法失信行为记录名单。</w:t>
      </w:r>
    </w:p>
    <w:p>
      <w:pPr>
        <w:spacing w:line="360" w:lineRule="auto"/>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我公司已就上述不良信用行为按照招标文件中投标供应商须知前附表规定进行了查询。</w:t>
      </w:r>
      <w:r>
        <w:rPr>
          <w:rFonts w:hint="default" w:ascii="Times New Roman" w:hAnsi="Times New Roman" w:eastAsia="仿宋_GB2312" w:cs="Times New Roman"/>
          <w:sz w:val="32"/>
          <w:szCs w:val="32"/>
        </w:rPr>
        <w:t xml:space="preserve">我公司承诺：合同签订前，若我公司具有不良信用记录情形，贵方可取消我公司中标资格或者不授予合同，所有责任由我公司自行承担。同时，我公司愿意无条件接受监管部门的调查处理。 </w:t>
      </w:r>
    </w:p>
    <w:p>
      <w:pPr>
        <w:tabs>
          <w:tab w:val="left" w:pos="630"/>
        </w:tabs>
        <w:spacing w:line="360" w:lineRule="auto"/>
        <w:ind w:firstLine="630"/>
        <w:rPr>
          <w:rFonts w:hint="default" w:ascii="Times New Roman" w:hAnsi="Times New Roman" w:eastAsia="仿宋_GB2312" w:cs="Times New Roman"/>
          <w:sz w:val="32"/>
          <w:szCs w:val="32"/>
        </w:rPr>
      </w:pPr>
    </w:p>
    <w:p>
      <w:pPr>
        <w:tabs>
          <w:tab w:val="left" w:pos="630"/>
        </w:tabs>
        <w:spacing w:line="360" w:lineRule="auto"/>
        <w:ind w:firstLine="630"/>
        <w:rPr>
          <w:rFonts w:hint="default" w:ascii="Times New Roman" w:hAnsi="Times New Roman" w:eastAsia="仿宋_GB2312" w:cs="Times New Roman"/>
          <w:sz w:val="32"/>
          <w:szCs w:val="32"/>
        </w:rPr>
      </w:pPr>
    </w:p>
    <w:p>
      <w:pPr>
        <w:spacing w:line="360" w:lineRule="auto"/>
        <w:ind w:firstLine="3520" w:firstLineChars="11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投标供应商签章：</w:t>
      </w:r>
      <w:r>
        <w:rPr>
          <w:rFonts w:hint="default" w:ascii="Times New Roman" w:hAnsi="Times New Roman" w:eastAsia="仿宋_GB2312" w:cs="Times New Roman"/>
          <w:sz w:val="32"/>
          <w:szCs w:val="32"/>
          <w:u w:val="single"/>
        </w:rPr>
        <w:t xml:space="preserve">                </w:t>
      </w:r>
    </w:p>
    <w:p>
      <w:pPr>
        <w:tabs>
          <w:tab w:val="left" w:pos="630"/>
        </w:tabs>
        <w:spacing w:line="360" w:lineRule="auto"/>
        <w:ind w:firstLine="3840"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     期：</w:t>
      </w:r>
      <w:r>
        <w:rPr>
          <w:rFonts w:hint="default" w:ascii="Times New Roman" w:hAnsi="Times New Roman" w:eastAsia="仿宋_GB2312" w:cs="Times New Roman"/>
          <w:sz w:val="32"/>
          <w:szCs w:val="32"/>
          <w:u w:val="single"/>
        </w:rPr>
        <w:t xml:space="preserve">                       </w:t>
      </w:r>
    </w:p>
    <w:p>
      <w:pPr>
        <w:rPr>
          <w:rFonts w:hint="default" w:ascii="Times New Roman" w:hAnsi="Times New Roman" w:cs="Times New Roman"/>
        </w:rPr>
      </w:pPr>
    </w:p>
    <w:p>
      <w:pPr>
        <w:rPr>
          <w:rFonts w:hint="default" w:ascii="Times New Roman" w:hAnsi="Times New Roman" w:cs="Times New Roman"/>
        </w:rPr>
      </w:pPr>
    </w:p>
    <w:p>
      <w:pPr>
        <w:pStyle w:val="2"/>
        <w:spacing w:line="580" w:lineRule="exact"/>
        <w:ind w:left="0" w:leftChars="0" w:firstLine="0" w:firstLineChars="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附件4</w:t>
      </w:r>
    </w:p>
    <w:p>
      <w:pPr>
        <w:pStyle w:val="2"/>
        <w:spacing w:line="580" w:lineRule="exact"/>
        <w:ind w:left="0" w:leftChars="0" w:firstLine="0" w:firstLineChars="0"/>
        <w:rPr>
          <w:rFonts w:hint="default" w:ascii="Times New Roman" w:hAnsi="Times New Roman" w:eastAsia="黑体" w:cs="Times New Roman"/>
          <w:color w:val="333333"/>
          <w:sz w:val="32"/>
          <w:szCs w:val="32"/>
        </w:rPr>
      </w:pPr>
    </w:p>
    <w:p>
      <w:pPr>
        <w:pStyle w:val="7"/>
        <w:keepNext w:val="0"/>
        <w:keepLines w:val="0"/>
        <w:numPr>
          <w:ilvl w:val="2"/>
          <w:numId w:val="0"/>
        </w:numPr>
        <w:spacing w:line="400" w:lineRule="exact"/>
        <w:ind w:leftChars="0"/>
        <w:jc w:val="center"/>
        <w:rPr>
          <w:rFonts w:hint="default" w:ascii="Times New Roman" w:hAnsi="Times New Roman" w:eastAsia="方正小标宋简体" w:cs="Times New Roman"/>
          <w:b w:val="0"/>
          <w:bCs w:val="0"/>
          <w:sz w:val="36"/>
          <w:szCs w:val="36"/>
        </w:rPr>
      </w:pPr>
      <w:bookmarkStart w:id="5" w:name="_Toc38014436"/>
      <w:bookmarkStart w:id="6" w:name="_Toc7042"/>
      <w:bookmarkStart w:id="7" w:name="_Toc38014476"/>
      <w:r>
        <w:rPr>
          <w:rFonts w:hint="default" w:ascii="Times New Roman" w:hAnsi="Times New Roman" w:eastAsia="方正小标宋简体" w:cs="Times New Roman"/>
          <w:b w:val="0"/>
          <w:bCs w:val="0"/>
          <w:sz w:val="36"/>
          <w:szCs w:val="36"/>
        </w:rPr>
        <w:t>无重大违法记录声明函</w:t>
      </w:r>
      <w:bookmarkEnd w:id="5"/>
      <w:bookmarkEnd w:id="6"/>
      <w:bookmarkEnd w:id="7"/>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本公司对上述声明的真实性负责。如有虚假，将依法承担相应责任。</w:t>
      </w:r>
    </w:p>
    <w:p>
      <w:pPr>
        <w:spacing w:line="360" w:lineRule="auto"/>
        <w:ind w:firstLine="435"/>
        <w:rPr>
          <w:rFonts w:hint="default" w:ascii="Times New Roman" w:hAnsi="Times New Roman" w:eastAsia="仿宋_GB2312" w:cs="Times New Roman"/>
          <w:sz w:val="32"/>
          <w:szCs w:val="32"/>
        </w:rPr>
      </w:pPr>
    </w:p>
    <w:p>
      <w:pPr>
        <w:tabs>
          <w:tab w:val="left" w:pos="630"/>
        </w:tabs>
        <w:spacing w:line="360" w:lineRule="auto"/>
        <w:ind w:firstLine="630"/>
        <w:rPr>
          <w:rFonts w:hint="default" w:ascii="Times New Roman" w:hAnsi="Times New Roman" w:eastAsia="仿宋_GB2312" w:cs="Times New Roman"/>
          <w:sz w:val="32"/>
          <w:szCs w:val="32"/>
        </w:rPr>
      </w:pPr>
    </w:p>
    <w:p>
      <w:pPr>
        <w:spacing w:line="360" w:lineRule="auto"/>
        <w:ind w:firstLine="3840" w:firstLineChars="1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投标供应商签章：</w:t>
      </w:r>
      <w:r>
        <w:rPr>
          <w:rFonts w:hint="default" w:ascii="Times New Roman" w:hAnsi="Times New Roman" w:eastAsia="仿宋_GB2312" w:cs="Times New Roman"/>
          <w:sz w:val="32"/>
          <w:szCs w:val="32"/>
          <w:u w:val="single"/>
        </w:rPr>
        <w:t xml:space="preserve">                </w:t>
      </w:r>
    </w:p>
    <w:p>
      <w:pPr>
        <w:tabs>
          <w:tab w:val="left" w:pos="630"/>
        </w:tabs>
        <w:spacing w:line="360" w:lineRule="auto"/>
        <w:ind w:firstLine="3840"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            期：</w:t>
      </w:r>
      <w:r>
        <w:rPr>
          <w:rFonts w:hint="default" w:ascii="Times New Roman" w:hAnsi="Times New Roman" w:eastAsia="仿宋_GB2312" w:cs="Times New Roman"/>
          <w:sz w:val="32"/>
          <w:szCs w:val="32"/>
          <w:u w:val="single"/>
        </w:rPr>
        <w:t xml:space="preserve">                       </w:t>
      </w:r>
    </w:p>
    <w:p>
      <w:pPr>
        <w:pStyle w:val="2"/>
        <w:ind w:left="0" w:leftChars="0" w:firstLine="0" w:firstLineChars="0"/>
        <w:rPr>
          <w:rFonts w:ascii="仿宋" w:hAnsi="仿宋" w:eastAsia="仿宋"/>
          <w:color w:val="000000"/>
          <w:sz w:val="28"/>
          <w:szCs w:val="28"/>
        </w:rPr>
      </w:pPr>
    </w:p>
    <w:p>
      <w:pPr>
        <w:rPr>
          <w:rFonts w:ascii="仿宋" w:hAnsi="仿宋" w:eastAsia="仿宋"/>
        </w:rPr>
      </w:pPr>
    </w:p>
    <w:sectPr>
      <w:pgSz w:w="11906" w:h="16838"/>
      <w:pgMar w:top="1984" w:right="1474" w:bottom="187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64019"/>
    <w:multiLevelType w:val="multilevel"/>
    <w:tmpl w:val="60D64019"/>
    <w:lvl w:ilvl="0" w:tentative="0">
      <w:start w:val="1"/>
      <w:numFmt w:val="decimal"/>
      <w:suff w:val="space"/>
      <w:lvlText w:val="%1"/>
      <w:lvlJc w:val="left"/>
      <w:pPr>
        <w:ind w:left="0" w:firstLine="0"/>
      </w:pPr>
      <w:rPr>
        <w:rFonts w:hint="eastAsia"/>
      </w:rPr>
    </w:lvl>
    <w:lvl w:ilvl="1" w:tentative="0">
      <w:start w:val="1"/>
      <w:numFmt w:val="decimal"/>
      <w:pStyle w:val="6"/>
      <w:suff w:val="space"/>
      <w:lvlText w:val="%1.%2"/>
      <w:lvlJc w:val="left"/>
      <w:pPr>
        <w:ind w:left="0" w:firstLine="0"/>
      </w:pPr>
      <w:rPr>
        <w:rFonts w:hint="eastAsia"/>
      </w:rPr>
    </w:lvl>
    <w:lvl w:ilvl="2" w:tentative="0">
      <w:start w:val="1"/>
      <w:numFmt w:val="decimal"/>
      <w:pStyle w:val="7"/>
      <w:suff w:val="space"/>
      <w:lvlText w:val="%1.%2.%3"/>
      <w:lvlJc w:val="left"/>
      <w:pPr>
        <w:ind w:left="0" w:firstLine="0"/>
      </w:pPr>
      <w:rPr>
        <w:rFonts w:hint="eastAsia"/>
      </w:rPr>
    </w:lvl>
    <w:lvl w:ilvl="3" w:tentative="0">
      <w:start w:val="1"/>
      <w:numFmt w:val="decimal"/>
      <w:pStyle w:val="8"/>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66"/>
    <w:rsid w:val="0006623E"/>
    <w:rsid w:val="00127CE3"/>
    <w:rsid w:val="00170F3C"/>
    <w:rsid w:val="002267CE"/>
    <w:rsid w:val="002A50E3"/>
    <w:rsid w:val="002B5587"/>
    <w:rsid w:val="002C38AB"/>
    <w:rsid w:val="00343873"/>
    <w:rsid w:val="0045198D"/>
    <w:rsid w:val="004C5431"/>
    <w:rsid w:val="0052421F"/>
    <w:rsid w:val="00561325"/>
    <w:rsid w:val="005A39BC"/>
    <w:rsid w:val="00657FC0"/>
    <w:rsid w:val="00663421"/>
    <w:rsid w:val="00675E07"/>
    <w:rsid w:val="006B579B"/>
    <w:rsid w:val="00791793"/>
    <w:rsid w:val="007B7FAE"/>
    <w:rsid w:val="007E34BD"/>
    <w:rsid w:val="007E38BC"/>
    <w:rsid w:val="008019AB"/>
    <w:rsid w:val="008252B4"/>
    <w:rsid w:val="00854327"/>
    <w:rsid w:val="00865D86"/>
    <w:rsid w:val="008F2459"/>
    <w:rsid w:val="008F4084"/>
    <w:rsid w:val="00971DE7"/>
    <w:rsid w:val="009A1B1A"/>
    <w:rsid w:val="00A319BE"/>
    <w:rsid w:val="00A36CAC"/>
    <w:rsid w:val="00A372BA"/>
    <w:rsid w:val="00A41B0C"/>
    <w:rsid w:val="00A83DDD"/>
    <w:rsid w:val="00A9025B"/>
    <w:rsid w:val="00AA5437"/>
    <w:rsid w:val="00B44545"/>
    <w:rsid w:val="00B94294"/>
    <w:rsid w:val="00BD5944"/>
    <w:rsid w:val="00BE43E6"/>
    <w:rsid w:val="00C04551"/>
    <w:rsid w:val="00C05B02"/>
    <w:rsid w:val="00C568DD"/>
    <w:rsid w:val="00C801D3"/>
    <w:rsid w:val="00CA16C0"/>
    <w:rsid w:val="00CA4F8F"/>
    <w:rsid w:val="00CF1EB2"/>
    <w:rsid w:val="00D17EC3"/>
    <w:rsid w:val="00D33366"/>
    <w:rsid w:val="00DB1731"/>
    <w:rsid w:val="00ED086E"/>
    <w:rsid w:val="00EE6B1D"/>
    <w:rsid w:val="00F55E76"/>
    <w:rsid w:val="00F73262"/>
    <w:rsid w:val="00F948B6"/>
    <w:rsid w:val="00FE3A8A"/>
    <w:rsid w:val="040F2A51"/>
    <w:rsid w:val="04E87BA0"/>
    <w:rsid w:val="0627662E"/>
    <w:rsid w:val="06995930"/>
    <w:rsid w:val="077C61E6"/>
    <w:rsid w:val="0A752C66"/>
    <w:rsid w:val="0CB1116A"/>
    <w:rsid w:val="112864E4"/>
    <w:rsid w:val="169151D3"/>
    <w:rsid w:val="222D10D0"/>
    <w:rsid w:val="225E0F00"/>
    <w:rsid w:val="261736A4"/>
    <w:rsid w:val="262E421C"/>
    <w:rsid w:val="29B72062"/>
    <w:rsid w:val="29E81823"/>
    <w:rsid w:val="2CC10AEE"/>
    <w:rsid w:val="380B075B"/>
    <w:rsid w:val="38AB4D88"/>
    <w:rsid w:val="3A410956"/>
    <w:rsid w:val="3E46024C"/>
    <w:rsid w:val="3F5F0492"/>
    <w:rsid w:val="3F7C40F9"/>
    <w:rsid w:val="422A219F"/>
    <w:rsid w:val="42613277"/>
    <w:rsid w:val="428D3318"/>
    <w:rsid w:val="486A2881"/>
    <w:rsid w:val="489644E8"/>
    <w:rsid w:val="50EB7504"/>
    <w:rsid w:val="531F3894"/>
    <w:rsid w:val="56D55F1C"/>
    <w:rsid w:val="57ED4E5F"/>
    <w:rsid w:val="57F94957"/>
    <w:rsid w:val="58DC3BA9"/>
    <w:rsid w:val="5D692704"/>
    <w:rsid w:val="5EB65DCB"/>
    <w:rsid w:val="5F0476F5"/>
    <w:rsid w:val="610E2DC6"/>
    <w:rsid w:val="613D4C1E"/>
    <w:rsid w:val="614F391B"/>
    <w:rsid w:val="64DB1467"/>
    <w:rsid w:val="66AD1EA6"/>
    <w:rsid w:val="6D4C04FF"/>
    <w:rsid w:val="6F810704"/>
    <w:rsid w:val="6F867978"/>
    <w:rsid w:val="70063299"/>
    <w:rsid w:val="71EA7E82"/>
    <w:rsid w:val="72322FE4"/>
    <w:rsid w:val="7356256E"/>
    <w:rsid w:val="74823469"/>
    <w:rsid w:val="77101665"/>
    <w:rsid w:val="773E176E"/>
    <w:rsid w:val="7E497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6">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unhideWhenUsed/>
    <w:qFormat/>
    <w:uiPriority w:val="0"/>
    <w:pPr>
      <w:keepNext/>
      <w:keepLines/>
      <w:numPr>
        <w:ilvl w:val="3"/>
        <w:numId w:val="1"/>
      </w:numPr>
      <w:spacing w:before="280" w:after="290" w:line="376" w:lineRule="auto"/>
      <w:outlineLvl w:val="3"/>
    </w:pPr>
    <w:rPr>
      <w:rFonts w:ascii="等线 Light" w:hAnsi="等线 Light" w:eastAsia="等线 Light"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等线" w:hAnsi="等线" w:eastAsia="等线" w:cs="Times New Roman"/>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rPr>
      <w:rFonts w:ascii="Arial" w:hAnsi="Arial"/>
    </w:rPr>
  </w:style>
  <w:style w:type="paragraph" w:styleId="9">
    <w:name w:val="Balloon Text"/>
    <w:basedOn w:val="1"/>
    <w:link w:val="22"/>
    <w:semiHidden/>
    <w:unhideWhenUsed/>
    <w:qFormat/>
    <w:uiPriority w:val="99"/>
    <w:rPr>
      <w:sz w:val="18"/>
      <w:szCs w:val="18"/>
    </w:rPr>
  </w:style>
  <w:style w:type="paragraph" w:styleId="10">
    <w:name w:val="footer"/>
    <w:basedOn w:val="1"/>
    <w:link w:val="16"/>
    <w:unhideWhenUsed/>
    <w:qFormat/>
    <w:uiPriority w:val="99"/>
    <w:pPr>
      <w:tabs>
        <w:tab w:val="center" w:pos="4153"/>
        <w:tab w:val="right" w:pos="8306"/>
      </w:tabs>
      <w:snapToGrid w:val="0"/>
      <w:jc w:val="left"/>
    </w:pPr>
    <w:rPr>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11"/>
    <w:qFormat/>
    <w:uiPriority w:val="99"/>
    <w:rPr>
      <w:sz w:val="18"/>
      <w:szCs w:val="18"/>
    </w:rPr>
  </w:style>
  <w:style w:type="character" w:customStyle="1" w:styleId="16">
    <w:name w:val="页脚 字符"/>
    <w:basedOn w:val="14"/>
    <w:link w:val="10"/>
    <w:qFormat/>
    <w:uiPriority w:val="99"/>
    <w:rPr>
      <w:sz w:val="18"/>
      <w:szCs w:val="18"/>
    </w:rPr>
  </w:style>
  <w:style w:type="character" w:customStyle="1" w:styleId="17">
    <w:name w:val="标题 1 字符"/>
    <w:basedOn w:val="14"/>
    <w:link w:val="5"/>
    <w:qFormat/>
    <w:uiPriority w:val="9"/>
    <w:rPr>
      <w:rFonts w:ascii="宋体" w:hAnsi="宋体" w:eastAsia="宋体" w:cs="宋体"/>
      <w:b/>
      <w:bCs/>
      <w:kern w:val="36"/>
      <w:sz w:val="48"/>
      <w:szCs w:val="48"/>
    </w:rPr>
  </w:style>
  <w:style w:type="character" w:customStyle="1" w:styleId="18">
    <w:name w:val="wenzib_1"/>
    <w:basedOn w:val="14"/>
    <w:qFormat/>
    <w:uiPriority w:val="0"/>
  </w:style>
  <w:style w:type="paragraph" w:styleId="19">
    <w:name w:val="List Paragraph"/>
    <w:basedOn w:val="1"/>
    <w:qFormat/>
    <w:uiPriority w:val="34"/>
    <w:pPr>
      <w:ind w:firstLine="420" w:firstLineChars="200"/>
    </w:pPr>
  </w:style>
  <w:style w:type="paragraph" w:customStyle="1" w:styleId="20">
    <w:name w:val="正文段"/>
    <w:basedOn w:val="1"/>
    <w:link w:val="21"/>
    <w:qFormat/>
    <w:uiPriority w:val="0"/>
    <w:pPr>
      <w:widowControl/>
      <w:snapToGrid w:val="0"/>
      <w:ind w:firstLine="200" w:firstLineChars="200"/>
    </w:pPr>
    <w:rPr>
      <w:rFonts w:ascii="Times New Roman" w:hAnsi="Times New Roman" w:eastAsia="宋体" w:cs="Times New Roman"/>
      <w:kern w:val="0"/>
      <w:sz w:val="24"/>
      <w:szCs w:val="20"/>
    </w:rPr>
  </w:style>
  <w:style w:type="character" w:customStyle="1" w:styleId="21">
    <w:name w:val="正文段 Char"/>
    <w:link w:val="20"/>
    <w:qFormat/>
    <w:uiPriority w:val="0"/>
    <w:rPr>
      <w:rFonts w:ascii="Times New Roman" w:hAnsi="Times New Roman" w:eastAsia="宋体" w:cs="Times New Roman"/>
      <w:kern w:val="0"/>
      <w:sz w:val="24"/>
      <w:szCs w:val="20"/>
    </w:rPr>
  </w:style>
  <w:style w:type="character" w:customStyle="1" w:styleId="22">
    <w:name w:val="批注框文本 字符"/>
    <w:basedOn w:val="14"/>
    <w:link w:val="9"/>
    <w:semiHidden/>
    <w:qFormat/>
    <w:uiPriority w:val="99"/>
    <w:rPr>
      <w:kern w:val="2"/>
      <w:sz w:val="18"/>
      <w:szCs w:val="18"/>
    </w:rPr>
  </w:style>
  <w:style w:type="paragraph" w:customStyle="1" w:styleId="23">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503</Words>
  <Characters>2870</Characters>
  <Lines>23</Lines>
  <Paragraphs>6</Paragraphs>
  <TotalTime>20</TotalTime>
  <ScaleCrop>false</ScaleCrop>
  <LinksUpToDate>false</LinksUpToDate>
  <CharactersWithSpaces>3367</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2020-05-18T01:19:00Z</dcterms:created>
  <dc:creator>User</dc:creator>
  <cp:lastModifiedBy>李振宇</cp:lastModifiedBy>
  <cp:lastPrinted>2021-10-18T01:44:00Z</cp:lastPrinted>
  <dcterms:modified xsi:type="dcterms:W3CDTF">2021-10-19T02:30:42Z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AE9A3877005A48FEBEC14C571B1E978D</vt:lpwstr>
  </property>
</Properties>
</file>